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25EEA" w14:textId="67C0C140" w:rsidR="001767B6" w:rsidRDefault="001767B6" w:rsidP="001767B6">
      <w:pPr>
        <w:spacing w:line="480" w:lineRule="auto"/>
      </w:pPr>
      <w:r>
        <w:t xml:space="preserve">Supplementary figures: </w:t>
      </w:r>
    </w:p>
    <w:p w14:paraId="59001ABC" w14:textId="77777777" w:rsidR="001767B6" w:rsidRDefault="001767B6" w:rsidP="001767B6">
      <w:pPr>
        <w:keepNext/>
        <w:spacing w:line="480" w:lineRule="auto"/>
      </w:pPr>
      <w:r>
        <w:rPr>
          <w:noProof/>
        </w:rPr>
        <w:drawing>
          <wp:inline distT="0" distB="0" distL="0" distR="0" wp14:anchorId="7F87CBEA" wp14:editId="4098890E">
            <wp:extent cx="5143500" cy="48196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259" b="-1191"/>
                    <a:stretch/>
                  </pic:blipFill>
                  <pic:spPr bwMode="auto">
                    <a:xfrm>
                      <a:off x="0" y="0"/>
                      <a:ext cx="5143500" cy="4819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0E956E" w14:textId="77777777" w:rsidR="001767B6" w:rsidRDefault="001767B6" w:rsidP="001767B6">
      <w:pPr>
        <w:pStyle w:val="Caption"/>
        <w:spacing w:line="480" w:lineRule="auto"/>
        <w:rPr>
          <w:i/>
          <w:iCs w:val="0"/>
        </w:rPr>
      </w:pPr>
      <w:r w:rsidRPr="004D31C2">
        <w:rPr>
          <w:b/>
          <w:bCs/>
        </w:rPr>
        <w:t>Figure S1</w:t>
      </w:r>
      <w:r>
        <w:t xml:space="preserve">. Wing length measurements of adult colony </w:t>
      </w:r>
      <w:r w:rsidRPr="00CB15D6">
        <w:rPr>
          <w:i/>
        </w:rPr>
        <w:t>Culex</w:t>
      </w:r>
      <w:r>
        <w:t xml:space="preserve"> </w:t>
      </w:r>
      <w:r w:rsidRPr="00F0735A">
        <w:rPr>
          <w:i/>
        </w:rPr>
        <w:t>pipiens</w:t>
      </w:r>
      <w:r>
        <w:rPr>
          <w:i/>
        </w:rPr>
        <w:t xml:space="preserve"> </w:t>
      </w:r>
      <w:r>
        <w:rPr>
          <w:iCs w:val="0"/>
        </w:rPr>
        <w:t>used within time trial experiments</w:t>
      </w:r>
      <w:r w:rsidRPr="00E0598B">
        <w:rPr>
          <w:iCs w:val="0"/>
        </w:rPr>
        <w:t xml:space="preserve"> </w:t>
      </w:r>
      <w:r>
        <w:t xml:space="preserve">A) </w:t>
      </w:r>
      <w:r w:rsidRPr="00E0598B">
        <w:rPr>
          <w:iCs w:val="0"/>
        </w:rPr>
        <w:t xml:space="preserve">Comparison of </w:t>
      </w:r>
      <w:r>
        <w:rPr>
          <w:iCs w:val="0"/>
        </w:rPr>
        <w:t xml:space="preserve">wing length measurements (mm) for each of the </w:t>
      </w:r>
      <w:r w:rsidRPr="009C39C7">
        <w:rPr>
          <w:i/>
          <w:iCs w:val="0"/>
        </w:rPr>
        <w:t>Culex</w:t>
      </w:r>
      <w:r w:rsidRPr="0077176A">
        <w:rPr>
          <w:i/>
          <w:iCs w:val="0"/>
        </w:rPr>
        <w:t xml:space="preserve"> </w:t>
      </w:r>
      <w:r w:rsidRPr="009C39C7">
        <w:rPr>
          <w:i/>
          <w:iCs w:val="0"/>
        </w:rPr>
        <w:t>pipiens</w:t>
      </w:r>
      <w:r>
        <w:rPr>
          <w:iCs w:val="0"/>
        </w:rPr>
        <w:t xml:space="preserve"> biotypes, according to the CQ11 assay</w:t>
      </w:r>
      <w:r w:rsidRPr="00E0598B">
        <w:rPr>
          <w:iCs w:val="0"/>
        </w:rPr>
        <w:t xml:space="preserve">. </w:t>
      </w:r>
      <w:r>
        <w:rPr>
          <w:iCs w:val="0"/>
        </w:rPr>
        <w:t>Horizontal black lines indicate median, 25</w:t>
      </w:r>
      <w:r w:rsidRPr="00473976">
        <w:rPr>
          <w:iCs w:val="0"/>
          <w:vertAlign w:val="superscript"/>
        </w:rPr>
        <w:t>th</w:t>
      </w:r>
      <w:r>
        <w:rPr>
          <w:iCs w:val="0"/>
        </w:rPr>
        <w:t xml:space="preserve"> and 75</w:t>
      </w:r>
      <w:r w:rsidRPr="00473976">
        <w:rPr>
          <w:iCs w:val="0"/>
          <w:vertAlign w:val="superscript"/>
        </w:rPr>
        <w:t>th</w:t>
      </w:r>
      <w:r>
        <w:rPr>
          <w:iCs w:val="0"/>
        </w:rPr>
        <w:t xml:space="preserve"> percentiles, whiskers extend to the largest and smallest values within 1.5 times the interquartile range from the 25</w:t>
      </w:r>
      <w:r w:rsidRPr="009F4458">
        <w:rPr>
          <w:iCs w:val="0"/>
          <w:vertAlign w:val="superscript"/>
        </w:rPr>
        <w:t>th</w:t>
      </w:r>
      <w:r>
        <w:rPr>
          <w:iCs w:val="0"/>
        </w:rPr>
        <w:t xml:space="preserve"> and 75</w:t>
      </w:r>
      <w:r w:rsidRPr="009F4458">
        <w:rPr>
          <w:iCs w:val="0"/>
          <w:vertAlign w:val="superscript"/>
        </w:rPr>
        <w:t>th</w:t>
      </w:r>
      <w:r>
        <w:rPr>
          <w:iCs w:val="0"/>
        </w:rPr>
        <w:t xml:space="preserve"> percentiles. </w:t>
      </w:r>
      <w:r>
        <w:t>The letters above the boxplots indicate which groups differ significantly (</w:t>
      </w:r>
      <w:r w:rsidRPr="001462D9">
        <w:rPr>
          <w:i/>
          <w:iCs w:val="0"/>
        </w:rPr>
        <w:t>P</w:t>
      </w:r>
      <w:r>
        <w:t xml:space="preserve"> &lt; 0.05) from one another. Specifically, groups which share a common letter are not significantly (</w:t>
      </w:r>
      <w:r w:rsidRPr="001462D9">
        <w:rPr>
          <w:i/>
          <w:iCs w:val="0"/>
        </w:rPr>
        <w:t>P</w:t>
      </w:r>
      <w:r>
        <w:t xml:space="preserve"> &lt; 0.05) different from one another. B) </w:t>
      </w:r>
      <w:r>
        <w:rPr>
          <w:iCs w:val="0"/>
        </w:rPr>
        <w:t>Comparison of n</w:t>
      </w:r>
      <w:r w:rsidRPr="00035A52">
        <w:rPr>
          <w:iCs w:val="0"/>
        </w:rPr>
        <w:t xml:space="preserve">ucleic acid concentrations </w:t>
      </w:r>
      <w:r>
        <w:rPr>
          <w:iCs w:val="0"/>
        </w:rPr>
        <w:t>(ng/µl) with mean</w:t>
      </w:r>
      <w:r w:rsidRPr="00035A52">
        <w:rPr>
          <w:iCs w:val="0"/>
        </w:rPr>
        <w:t xml:space="preserve"> </w:t>
      </w:r>
      <w:r>
        <w:rPr>
          <w:iCs w:val="0"/>
        </w:rPr>
        <w:t>wing length (mm)</w:t>
      </w:r>
      <w:r w:rsidRPr="00035A52">
        <w:rPr>
          <w:iCs w:val="0"/>
        </w:rPr>
        <w:t xml:space="preserve"> for </w:t>
      </w:r>
      <w:r>
        <w:rPr>
          <w:iCs w:val="0"/>
        </w:rPr>
        <w:t xml:space="preserve">DNA extracts obtained from individual </w:t>
      </w:r>
      <w:r w:rsidRPr="00C6774C">
        <w:rPr>
          <w:i/>
          <w:iCs w:val="0"/>
        </w:rPr>
        <w:t>Culex</w:t>
      </w:r>
      <w:r>
        <w:rPr>
          <w:iCs w:val="0"/>
        </w:rPr>
        <w:t xml:space="preserve"> </w:t>
      </w:r>
      <w:r w:rsidRPr="00C6774C">
        <w:rPr>
          <w:i/>
          <w:iCs w:val="0"/>
        </w:rPr>
        <w:t>pipiens</w:t>
      </w:r>
      <w:r>
        <w:rPr>
          <w:iCs w:val="0"/>
        </w:rPr>
        <w:t xml:space="preserve"> pupal exuviae at six different </w:t>
      </w:r>
      <w:r w:rsidRPr="00035A52">
        <w:rPr>
          <w:iCs w:val="0"/>
        </w:rPr>
        <w:t>time points post-eclosion.</w:t>
      </w:r>
      <w:r>
        <w:rPr>
          <w:iCs w:val="0"/>
        </w:rPr>
        <w:t xml:space="preserve"> Grey shaded area indicates the 95% confidence interval.</w:t>
      </w:r>
    </w:p>
    <w:p w14:paraId="628B72AD" w14:textId="77777777" w:rsidR="001767B6" w:rsidRDefault="001767B6" w:rsidP="001767B6">
      <w:pPr>
        <w:spacing w:line="480" w:lineRule="auto"/>
      </w:pPr>
    </w:p>
    <w:p w14:paraId="1ABB4B83" w14:textId="77777777" w:rsidR="001767B6" w:rsidRDefault="001767B6" w:rsidP="001767B6">
      <w:pPr>
        <w:keepNext/>
        <w:spacing w:line="480" w:lineRule="auto"/>
      </w:pPr>
      <w:r>
        <w:rPr>
          <w:noProof/>
        </w:rPr>
        <w:drawing>
          <wp:inline distT="0" distB="0" distL="0" distR="0" wp14:anchorId="76AB0CA2" wp14:editId="1B109831">
            <wp:extent cx="5731510" cy="5731510"/>
            <wp:effectExtent l="0" t="0" r="2540" b="254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7A72C" w14:textId="036FF88C" w:rsidR="00E43615" w:rsidRDefault="001767B6" w:rsidP="001767B6">
      <w:pPr>
        <w:spacing w:line="480" w:lineRule="auto"/>
      </w:pPr>
      <w:r w:rsidRPr="004D31C2">
        <w:rPr>
          <w:b/>
          <w:bCs/>
        </w:rPr>
        <w:t>Figure S2.</w:t>
      </w:r>
      <w:r>
        <w:t xml:space="preserve"> </w:t>
      </w:r>
      <w:r w:rsidRPr="0074309F">
        <w:t xml:space="preserve">Comparison </w:t>
      </w:r>
      <w:r>
        <w:t xml:space="preserve">between individually and pooled processed field collected </w:t>
      </w:r>
      <w:r w:rsidRPr="00CB15D6">
        <w:rPr>
          <w:i/>
        </w:rPr>
        <w:t>Culex</w:t>
      </w:r>
      <w:r>
        <w:t xml:space="preserve"> </w:t>
      </w:r>
      <w:r w:rsidRPr="00F0735A">
        <w:rPr>
          <w:i/>
        </w:rPr>
        <w:t>pipiens</w:t>
      </w:r>
      <w:r>
        <w:t xml:space="preserve"> pupal exuviae. A) DNA </w:t>
      </w:r>
      <w:r w:rsidRPr="0074309F">
        <w:t xml:space="preserve">quantity (ng/µl) </w:t>
      </w:r>
      <w:r>
        <w:t>from DNA extracts obtained from</w:t>
      </w:r>
      <w:r w:rsidRPr="0074309F">
        <w:t xml:space="preserve"> </w:t>
      </w:r>
      <w:r>
        <w:t xml:space="preserve">individual and pooled field collected </w:t>
      </w:r>
      <w:r w:rsidRPr="009C39C7">
        <w:rPr>
          <w:i/>
        </w:rPr>
        <w:t>Culex</w:t>
      </w:r>
      <w:r w:rsidRPr="0077176A">
        <w:rPr>
          <w:i/>
        </w:rPr>
        <w:t xml:space="preserve"> </w:t>
      </w:r>
      <w:r w:rsidRPr="009C39C7">
        <w:rPr>
          <w:i/>
        </w:rPr>
        <w:t>pipiens</w:t>
      </w:r>
      <w:r>
        <w:t xml:space="preserve"> pupal exuviae. Horizontal </w:t>
      </w:r>
      <w:r w:rsidRPr="0022431A">
        <w:t>black lines</w:t>
      </w:r>
      <w:r>
        <w:t xml:space="preserve"> indicate median, 25</w:t>
      </w:r>
      <w:r w:rsidRPr="00473976">
        <w:rPr>
          <w:vertAlign w:val="superscript"/>
        </w:rPr>
        <w:t>th</w:t>
      </w:r>
      <w:r>
        <w:t xml:space="preserve"> and 75</w:t>
      </w:r>
      <w:r w:rsidRPr="00473976">
        <w:rPr>
          <w:vertAlign w:val="superscript"/>
        </w:rPr>
        <w:t>th</w:t>
      </w:r>
      <w:r>
        <w:t xml:space="preserve"> percentiles, whiskers extend to the largest and smallest values within 1.5 times the interquartile range from the 25</w:t>
      </w:r>
      <w:r w:rsidRPr="009F4458">
        <w:rPr>
          <w:vertAlign w:val="superscript"/>
        </w:rPr>
        <w:t>th</w:t>
      </w:r>
      <w:r>
        <w:t xml:space="preserve"> and 75</w:t>
      </w:r>
      <w:r w:rsidRPr="009F4458">
        <w:rPr>
          <w:vertAlign w:val="superscript"/>
        </w:rPr>
        <w:t>th</w:t>
      </w:r>
      <w:r>
        <w:t xml:space="preserve"> percentiles. B) </w:t>
      </w:r>
      <w:r w:rsidRPr="000669D0">
        <w:t xml:space="preserve">Comparison of </w:t>
      </w:r>
      <w:r>
        <w:t>PCR amplification</w:t>
      </w:r>
      <w:r w:rsidRPr="000669D0">
        <w:t xml:space="preserve"> success </w:t>
      </w:r>
      <w:r>
        <w:t xml:space="preserve">(%) </w:t>
      </w:r>
      <w:r w:rsidRPr="000669D0">
        <w:t>for</w:t>
      </w:r>
      <w:r>
        <w:t xml:space="preserve"> PCR extract obtained from</w:t>
      </w:r>
      <w:r w:rsidRPr="000669D0">
        <w:t xml:space="preserve"> </w:t>
      </w:r>
      <w:r>
        <w:t xml:space="preserve">individual and pooled field collected </w:t>
      </w:r>
      <w:r w:rsidRPr="009C39C7">
        <w:rPr>
          <w:i/>
        </w:rPr>
        <w:t>Culex</w:t>
      </w:r>
      <w:r w:rsidRPr="0077176A">
        <w:rPr>
          <w:i/>
        </w:rPr>
        <w:t xml:space="preserve"> </w:t>
      </w:r>
      <w:r w:rsidRPr="009C39C7">
        <w:rPr>
          <w:i/>
        </w:rPr>
        <w:t>pipiens</w:t>
      </w:r>
      <w:r>
        <w:t xml:space="preserve"> pupal exuviae</w:t>
      </w:r>
      <w:r w:rsidRPr="000669D0">
        <w:t>. Error bars indicate mean ± SD.</w:t>
      </w:r>
      <w:r>
        <w:t xml:space="preserve"> C) </w:t>
      </w:r>
      <w:r w:rsidRPr="00B05CCE">
        <w:t>Comparison of nucleic acid concentrations</w:t>
      </w:r>
      <w:r>
        <w:t xml:space="preserve"> (ng/µl)</w:t>
      </w:r>
      <w:r w:rsidRPr="00B05CCE">
        <w:t xml:space="preserve"> with mean </w:t>
      </w:r>
      <w:proofErr w:type="spellStart"/>
      <w:r w:rsidRPr="00B05CCE">
        <w:t>C</w:t>
      </w:r>
      <w:r w:rsidRPr="00D846C4">
        <w:rPr>
          <w:vertAlign w:val="subscript"/>
        </w:rPr>
        <w:t>q</w:t>
      </w:r>
      <w:proofErr w:type="spellEnd"/>
      <w:r w:rsidRPr="00B05CCE">
        <w:t xml:space="preserve"> values for</w:t>
      </w:r>
      <w:r>
        <w:t xml:space="preserve"> </w:t>
      </w:r>
      <w:r>
        <w:lastRenderedPageBreak/>
        <w:t>PCR extracts obtained from</w:t>
      </w:r>
      <w:r w:rsidRPr="00B05CCE">
        <w:t xml:space="preserve"> </w:t>
      </w:r>
      <w:r>
        <w:t xml:space="preserve">individual and pooled field collected </w:t>
      </w:r>
      <w:r w:rsidRPr="009C39C7">
        <w:rPr>
          <w:i/>
        </w:rPr>
        <w:t>Culex</w:t>
      </w:r>
      <w:r w:rsidRPr="0077176A">
        <w:rPr>
          <w:i/>
        </w:rPr>
        <w:t xml:space="preserve"> </w:t>
      </w:r>
      <w:r w:rsidRPr="009C39C7">
        <w:rPr>
          <w:i/>
        </w:rPr>
        <w:t>pipiens</w:t>
      </w:r>
      <w:r>
        <w:t xml:space="preserve"> pupal exuviae. Grey shaded area indicates the 95% confidence interval. The letters above the boxplots indicate which groups differ significantly (</w:t>
      </w:r>
      <w:r w:rsidRPr="001462D9">
        <w:rPr>
          <w:i/>
        </w:rPr>
        <w:t>P</w:t>
      </w:r>
      <w:r>
        <w:t xml:space="preserve"> &lt; 0.05) from one another. Specifically, groups which share a common letter are not significantly (</w:t>
      </w:r>
      <w:r w:rsidRPr="001462D9">
        <w:rPr>
          <w:i/>
        </w:rPr>
        <w:t>P</w:t>
      </w:r>
      <w:r>
        <w:t xml:space="preserve"> &lt; 0.05) different from one another.</w:t>
      </w:r>
    </w:p>
    <w:sectPr w:rsidR="00E436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7B6"/>
    <w:rsid w:val="00150EF2"/>
    <w:rsid w:val="001767B6"/>
    <w:rsid w:val="00193732"/>
    <w:rsid w:val="002476C2"/>
    <w:rsid w:val="00257C45"/>
    <w:rsid w:val="00356BC4"/>
    <w:rsid w:val="00376B34"/>
    <w:rsid w:val="00386E4D"/>
    <w:rsid w:val="00595328"/>
    <w:rsid w:val="00822AC6"/>
    <w:rsid w:val="00AA24C7"/>
    <w:rsid w:val="00AC535A"/>
    <w:rsid w:val="00BE7F3D"/>
    <w:rsid w:val="00C15E01"/>
    <w:rsid w:val="00C22751"/>
    <w:rsid w:val="00C33F5A"/>
    <w:rsid w:val="00CC5CF9"/>
    <w:rsid w:val="00D601C5"/>
    <w:rsid w:val="00DE687F"/>
    <w:rsid w:val="00E43615"/>
    <w:rsid w:val="00F5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DD9FC"/>
  <w15:chartTrackingRefBased/>
  <w15:docId w15:val="{1E47AC3E-8763-4313-B640-D5C49D51C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7B6"/>
    <w:pPr>
      <w:spacing w:after="200" w:line="276" w:lineRule="auto"/>
      <w:jc w:val="both"/>
    </w:pPr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767B6"/>
    <w:pPr>
      <w:spacing w:line="240" w:lineRule="auto"/>
    </w:pPr>
    <w:rPr>
      <w:i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Jones</dc:creator>
  <cp:keywords/>
  <dc:description/>
  <cp:lastModifiedBy>Laura Jones</cp:lastModifiedBy>
  <cp:revision>1</cp:revision>
  <dcterms:created xsi:type="dcterms:W3CDTF">2024-02-07T22:17:00Z</dcterms:created>
  <dcterms:modified xsi:type="dcterms:W3CDTF">2024-02-07T22:47:00Z</dcterms:modified>
</cp:coreProperties>
</file>