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0A334" w14:textId="77777777" w:rsidR="00273B85" w:rsidRDefault="00273B85" w:rsidP="00037422">
      <w:pPr>
        <w:spacing w:line="360" w:lineRule="auto"/>
        <w:jc w:val="center"/>
        <w:rPr>
          <w:rFonts w:asciiTheme="majorBidi" w:hAnsiTheme="majorBidi"/>
          <w:b/>
          <w:bCs/>
          <w:sz w:val="24"/>
          <w:szCs w:val="24"/>
        </w:rPr>
      </w:pPr>
      <w:r w:rsidRPr="00273B85">
        <w:rPr>
          <w:rFonts w:asciiTheme="majorBidi" w:hAnsiTheme="majorBidi"/>
          <w:b/>
          <w:bCs/>
          <w:sz w:val="24"/>
          <w:szCs w:val="24"/>
        </w:rPr>
        <w:t>Electronic Supplementary Information for</w:t>
      </w:r>
    </w:p>
    <w:p w14:paraId="3F01EA3D" w14:textId="77777777" w:rsidR="008015BD" w:rsidRPr="008015BD" w:rsidRDefault="008015BD" w:rsidP="008015BD">
      <w:pPr>
        <w:spacing w:line="360" w:lineRule="auto"/>
        <w:jc w:val="both"/>
        <w:rPr>
          <w:rFonts w:asciiTheme="majorBidi" w:hAnsiTheme="majorBidi"/>
          <w:b/>
          <w:bCs/>
          <w:sz w:val="32"/>
          <w:szCs w:val="32"/>
        </w:rPr>
      </w:pPr>
      <w:bookmarkStart w:id="0" w:name="_Hlk154748768"/>
      <w:r w:rsidRPr="008015BD">
        <w:rPr>
          <w:rFonts w:asciiTheme="majorBidi" w:hAnsiTheme="majorBidi"/>
          <w:b/>
          <w:bCs/>
          <w:sz w:val="32"/>
          <w:szCs w:val="32"/>
        </w:rPr>
        <w:t>Graphsene: a new porous two-dimensional carbon-based material with anisotropic behavior in electronic and mechanical properties and highly efficient ORR electrocatalytic activity</w:t>
      </w:r>
    </w:p>
    <w:p w14:paraId="4783EC4B" w14:textId="77777777" w:rsidR="008015BD" w:rsidRPr="008015BD" w:rsidRDefault="008015BD" w:rsidP="008015BD">
      <w:pPr>
        <w:spacing w:line="360" w:lineRule="auto"/>
        <w:jc w:val="both"/>
        <w:rPr>
          <w:rFonts w:asciiTheme="majorBidi" w:hAnsiTheme="majorBidi"/>
          <w:b/>
          <w:bCs/>
        </w:rPr>
      </w:pPr>
      <w:r w:rsidRPr="008015BD">
        <w:rPr>
          <w:rFonts w:asciiTheme="majorBidi" w:hAnsiTheme="majorBidi"/>
          <w:b/>
          <w:bCs/>
        </w:rPr>
        <w:t xml:space="preserve">Mohammadreza </w:t>
      </w:r>
      <w:proofErr w:type="spellStart"/>
      <w:r w:rsidRPr="008015BD">
        <w:rPr>
          <w:rFonts w:asciiTheme="majorBidi" w:hAnsiTheme="majorBidi"/>
          <w:b/>
          <w:bCs/>
        </w:rPr>
        <w:t>Hosseini</w:t>
      </w:r>
      <w:r w:rsidRPr="008015BD">
        <w:rPr>
          <w:rFonts w:asciiTheme="majorBidi" w:hAnsiTheme="majorBidi"/>
          <w:b/>
          <w:bCs/>
          <w:vertAlign w:val="superscript"/>
        </w:rPr>
        <w:t>a</w:t>
      </w:r>
      <w:proofErr w:type="spellEnd"/>
      <w:r w:rsidRPr="008015BD">
        <w:rPr>
          <w:rFonts w:asciiTheme="majorBidi" w:hAnsiTheme="majorBidi"/>
          <w:b/>
          <w:bCs/>
        </w:rPr>
        <w:t xml:space="preserve">, Maryam </w:t>
      </w:r>
      <w:proofErr w:type="spellStart"/>
      <w:r w:rsidRPr="008015BD">
        <w:rPr>
          <w:rFonts w:asciiTheme="majorBidi" w:hAnsiTheme="majorBidi"/>
          <w:b/>
          <w:bCs/>
        </w:rPr>
        <w:t>Soleimani</w:t>
      </w:r>
      <w:r w:rsidRPr="008015BD">
        <w:rPr>
          <w:rFonts w:asciiTheme="majorBidi" w:hAnsiTheme="majorBidi"/>
          <w:b/>
          <w:bCs/>
          <w:vertAlign w:val="superscript"/>
        </w:rPr>
        <w:t>b</w:t>
      </w:r>
      <w:proofErr w:type="spellEnd"/>
      <w:r w:rsidRPr="008015BD">
        <w:rPr>
          <w:rFonts w:asciiTheme="majorBidi" w:hAnsiTheme="majorBidi"/>
          <w:b/>
          <w:bCs/>
        </w:rPr>
        <w:t xml:space="preserve">, Fazel </w:t>
      </w:r>
      <w:proofErr w:type="spellStart"/>
      <w:r w:rsidRPr="008015BD">
        <w:rPr>
          <w:rFonts w:asciiTheme="majorBidi" w:hAnsiTheme="majorBidi"/>
          <w:b/>
          <w:bCs/>
        </w:rPr>
        <w:t>Shojaei</w:t>
      </w:r>
      <w:r w:rsidRPr="008015BD">
        <w:rPr>
          <w:rFonts w:asciiTheme="majorBidi" w:hAnsiTheme="majorBidi"/>
          <w:b/>
          <w:bCs/>
          <w:vertAlign w:val="superscript"/>
        </w:rPr>
        <w:t>c</w:t>
      </w:r>
      <w:proofErr w:type="spellEnd"/>
      <w:r w:rsidRPr="008015BD">
        <w:rPr>
          <w:rFonts w:asciiTheme="majorBidi" w:hAnsiTheme="majorBidi"/>
          <w:b/>
          <w:bCs/>
        </w:rPr>
        <w:t xml:space="preserve">, Mahdi </w:t>
      </w:r>
      <w:proofErr w:type="spellStart"/>
      <w:r w:rsidRPr="008015BD">
        <w:rPr>
          <w:rFonts w:asciiTheme="majorBidi" w:hAnsiTheme="majorBidi"/>
          <w:b/>
          <w:bCs/>
        </w:rPr>
        <w:t>Pourfath</w:t>
      </w:r>
      <w:r w:rsidRPr="008015BD">
        <w:rPr>
          <w:rFonts w:asciiTheme="majorBidi" w:hAnsiTheme="majorBidi"/>
          <w:b/>
          <w:bCs/>
          <w:vertAlign w:val="superscript"/>
        </w:rPr>
        <w:t>b</w:t>
      </w:r>
      <w:proofErr w:type="spellEnd"/>
      <w:r w:rsidRPr="008015BD">
        <w:rPr>
          <w:rFonts w:asciiTheme="majorBidi" w:hAnsiTheme="majorBidi"/>
          <w:b/>
          <w:bCs/>
          <w:vertAlign w:val="superscript"/>
        </w:rPr>
        <w:t>,*</w:t>
      </w:r>
    </w:p>
    <w:p w14:paraId="2B0CD3B0" w14:textId="77777777" w:rsidR="008015BD" w:rsidRPr="008015BD" w:rsidRDefault="008015BD" w:rsidP="008015BD">
      <w:pPr>
        <w:spacing w:line="240" w:lineRule="auto"/>
        <w:jc w:val="both"/>
        <w:rPr>
          <w:rFonts w:asciiTheme="majorBidi" w:hAnsiTheme="majorBidi"/>
          <w:color w:val="auto"/>
          <w:sz w:val="22"/>
          <w:szCs w:val="22"/>
        </w:rPr>
      </w:pPr>
      <w:r w:rsidRPr="008015BD">
        <w:rPr>
          <w:rFonts w:asciiTheme="majorBidi" w:hAnsiTheme="majorBidi"/>
          <w:b/>
          <w:bCs/>
          <w:vertAlign w:val="superscript"/>
        </w:rPr>
        <w:t>a</w:t>
      </w:r>
      <w:r w:rsidRPr="008015BD">
        <w:rPr>
          <w:rFonts w:asciiTheme="majorBidi" w:hAnsiTheme="majorBidi"/>
          <w:b/>
          <w:bCs/>
        </w:rPr>
        <w:t xml:space="preserve"> </w:t>
      </w:r>
      <w:r w:rsidRPr="008015BD">
        <w:rPr>
          <w:rFonts w:asciiTheme="majorBidi" w:hAnsiTheme="majorBidi"/>
          <w:color w:val="auto"/>
          <w:sz w:val="22"/>
          <w:szCs w:val="22"/>
        </w:rPr>
        <w:t>Department of Physical Chemistry, Tarbiat Modares University, Tehran, Iran</w:t>
      </w:r>
    </w:p>
    <w:p w14:paraId="2621C3A2" w14:textId="77777777" w:rsidR="008015BD" w:rsidRPr="008015BD" w:rsidRDefault="008015BD" w:rsidP="008015BD">
      <w:pPr>
        <w:spacing w:line="240" w:lineRule="auto"/>
        <w:jc w:val="both"/>
        <w:rPr>
          <w:rFonts w:asciiTheme="majorBidi" w:hAnsiTheme="majorBidi"/>
          <w:color w:val="auto"/>
          <w:sz w:val="22"/>
          <w:szCs w:val="22"/>
        </w:rPr>
      </w:pPr>
      <w:r w:rsidRPr="008015BD">
        <w:rPr>
          <w:rFonts w:asciiTheme="majorBidi" w:hAnsiTheme="majorBidi"/>
          <w:color w:val="auto"/>
          <w:sz w:val="22"/>
          <w:szCs w:val="22"/>
          <w:vertAlign w:val="superscript"/>
        </w:rPr>
        <w:t>b</w:t>
      </w:r>
      <w:r w:rsidRPr="008015BD">
        <w:rPr>
          <w:rFonts w:asciiTheme="majorBidi" w:hAnsiTheme="majorBidi"/>
          <w:color w:val="auto"/>
          <w:sz w:val="22"/>
          <w:szCs w:val="22"/>
        </w:rPr>
        <w:t xml:space="preserve"> School of Electrical and Computer Engineering, University of Tehran, 14395-515 Tehran, Iran</w:t>
      </w:r>
    </w:p>
    <w:p w14:paraId="785AD645" w14:textId="77777777" w:rsidR="008015BD" w:rsidRPr="008015BD" w:rsidRDefault="008015BD" w:rsidP="008015BD">
      <w:pPr>
        <w:spacing w:line="240" w:lineRule="auto"/>
        <w:jc w:val="both"/>
        <w:rPr>
          <w:rFonts w:asciiTheme="majorBidi" w:hAnsiTheme="majorBidi"/>
          <w:b/>
          <w:bCs/>
          <w:sz w:val="22"/>
          <w:szCs w:val="22"/>
        </w:rPr>
      </w:pPr>
      <w:r w:rsidRPr="008015BD">
        <w:rPr>
          <w:rFonts w:asciiTheme="majorBidi" w:hAnsiTheme="majorBidi"/>
          <w:color w:val="auto"/>
          <w:sz w:val="22"/>
          <w:szCs w:val="22"/>
          <w:vertAlign w:val="superscript"/>
        </w:rPr>
        <w:t>c</w:t>
      </w:r>
      <w:r w:rsidRPr="008015BD">
        <w:rPr>
          <w:rFonts w:asciiTheme="majorBidi" w:hAnsiTheme="majorBidi"/>
          <w:color w:val="auto"/>
          <w:sz w:val="22"/>
          <w:szCs w:val="22"/>
        </w:rPr>
        <w:t xml:space="preserve"> </w:t>
      </w:r>
      <w:r w:rsidRPr="008015BD">
        <w:rPr>
          <w:rFonts w:asciiTheme="majorBidi" w:hAnsiTheme="majorBidi"/>
          <w:sz w:val="22"/>
          <w:szCs w:val="22"/>
        </w:rPr>
        <w:t>Department of Chemistry, Faculty of Nano and Bioscience and Technology, Persian Gulf University, Bushehr 75169, Iran</w:t>
      </w:r>
    </w:p>
    <w:p w14:paraId="6A4D910E" w14:textId="47170918" w:rsidR="00C077C5" w:rsidRDefault="00C077C5" w:rsidP="003454F9">
      <w:pPr>
        <w:jc w:val="center"/>
        <w:rPr>
          <w:rFonts w:asciiTheme="majorBidi" w:hAnsiTheme="majorBidi"/>
          <w:lang w:val="de-DE"/>
        </w:rPr>
      </w:pPr>
      <w:bookmarkStart w:id="1" w:name="_GoBack"/>
      <w:bookmarkEnd w:id="0"/>
      <w:bookmarkEnd w:id="1"/>
    </w:p>
    <w:p w14:paraId="59C4C245" w14:textId="1CEA5664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65010135" w14:textId="72984802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570F7B4C" w14:textId="07F9F525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1B3E3A73" w14:textId="3D55157C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0426095F" w14:textId="42423463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00E0A09F" w14:textId="447EA165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49026AEC" w14:textId="7CCCACC2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530C8430" w14:textId="22380D11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5B5A00AB" w14:textId="26D88281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5B13554B" w14:textId="0FBC1490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3D6D8485" w14:textId="2D81C29A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66135114" w14:textId="0E1A62E1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255019D2" w14:textId="0CFB5D17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222EFFFE" w14:textId="77777777" w:rsidR="00BD5C6E" w:rsidRDefault="00BD5C6E" w:rsidP="003454F9">
      <w:pPr>
        <w:jc w:val="center"/>
        <w:rPr>
          <w:rFonts w:asciiTheme="majorBidi" w:hAnsiTheme="majorBidi"/>
          <w:lang w:val="de-DE"/>
        </w:rPr>
      </w:pPr>
    </w:p>
    <w:p w14:paraId="2DDD5F74" w14:textId="77777777" w:rsidR="00C077C5" w:rsidRDefault="00C077C5" w:rsidP="00EE67D1">
      <w:pPr>
        <w:rPr>
          <w:rFonts w:asciiTheme="majorBidi" w:hAnsiTheme="majorBidi"/>
          <w:lang w:val="de-DE"/>
        </w:rPr>
      </w:pPr>
    </w:p>
    <w:p w14:paraId="12203981" w14:textId="36491CA9" w:rsidR="003454F9" w:rsidRPr="00B6539E" w:rsidRDefault="003454F9" w:rsidP="003454F9">
      <w:pPr>
        <w:jc w:val="center"/>
        <w:rPr>
          <w:rFonts w:asciiTheme="majorBidi" w:eastAsiaTheme="minorEastAsia" w:hAnsiTheme="majorBidi"/>
          <w:iCs/>
        </w:rPr>
      </w:pPr>
      <w:r w:rsidRPr="00B6539E">
        <w:rPr>
          <w:rFonts w:asciiTheme="majorBidi" w:hAnsiTheme="majorBidi"/>
          <w:lang w:val="de-DE"/>
        </w:rPr>
        <w:t>E(</w:t>
      </w:r>
      <w:r w:rsidRPr="00B6539E">
        <w:rPr>
          <w:rFonts w:asciiTheme="majorBidi" w:hAnsiTheme="majorBidi"/>
        </w:rPr>
        <w:t>θ</w:t>
      </w:r>
      <w:r w:rsidRPr="00B6539E">
        <w:rPr>
          <w:rFonts w:asciiTheme="majorBidi" w:hAnsiTheme="majorBidi"/>
          <w:lang w:val="de-DE"/>
        </w:rPr>
        <w:t xml:space="preserve">) = </w:t>
      </w:r>
      <m:oMath>
        <m:f>
          <m:fPr>
            <m:ctrlPr>
              <w:rPr>
                <w:rFonts w:ascii="Cambria Math" w:hAnsi="Cambria Math"/>
                <w:iCs/>
              </w:rPr>
            </m:ctrlPr>
          </m:fPr>
          <m:num>
            <w:bookmarkStart w:id="2" w:name="_Hlk141443636"/>
            <w:bookmarkStart w:id="3" w:name="_Hlk141443687"/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11</m:t>
                </m:r>
              </m:sub>
            </m:sSub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22</m:t>
                </m:r>
              </m:sub>
            </m:sSub>
            <w:bookmarkEnd w:id="2"/>
            <m:r>
              <m:rPr>
                <m:sty m:val="p"/>
              </m:rPr>
              <w:rPr>
                <w:rFonts w:ascii="Cambria Math" w:hAnsi="Cambria Math"/>
                <w:lang w:val="de-DE"/>
              </w:rPr>
              <m:t xml:space="preserve">- </m:t>
            </m:r>
            <m:sSubSup>
              <m:sSubSupPr>
                <m:ctrlPr>
                  <w:rPr>
                    <w:rFonts w:ascii="Cambria Math" w:hAnsi="Cambria Math"/>
                    <w:iCs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12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bSup>
            <w:bookmarkEnd w:id="3"/>
          </m:num>
          <m:den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lang w:val="de-DE"/>
              </w:rPr>
              <m:t>+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 xml:space="preserve">- 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</m:t>
                            </m:r>
                          </m:sup>
                        </m:sSubSup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66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-2</m:t>
                </m:r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12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lang w:val="de-DE"/>
              </w:rPr>
              <m:t>+</m:t>
            </m:r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22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lang w:val="de-DE"/>
              </w:rPr>
              <m:t xml:space="preserve"> </m:t>
            </m:r>
          </m:den>
        </m:f>
      </m:oMath>
      <w:r w:rsidR="00E80DD1">
        <w:rPr>
          <w:rFonts w:asciiTheme="majorBidi" w:eastAsiaTheme="minorEastAsia" w:hAnsiTheme="majorBidi"/>
          <w:iCs/>
        </w:rPr>
        <w:t xml:space="preserve">                     (S1)</w:t>
      </w:r>
    </w:p>
    <w:p w14:paraId="796C3015" w14:textId="467D9947" w:rsidR="003454F9" w:rsidRPr="00B6539E" w:rsidRDefault="003454F9" w:rsidP="003454F9">
      <w:pPr>
        <w:jc w:val="center"/>
        <w:rPr>
          <w:rFonts w:asciiTheme="majorBidi" w:eastAsiaTheme="minorEastAsia" w:hAnsiTheme="majorBidi"/>
          <w:iCs/>
        </w:rPr>
      </w:pPr>
    </w:p>
    <w:p w14:paraId="5B6E182D" w14:textId="4F5B3CFA" w:rsidR="003454F9" w:rsidRDefault="003454F9" w:rsidP="003454F9">
      <w:pPr>
        <w:jc w:val="center"/>
        <w:rPr>
          <w:rFonts w:asciiTheme="majorBidi" w:eastAsiaTheme="minorEastAsia" w:hAnsiTheme="majorBidi"/>
          <w:iCs/>
        </w:rPr>
      </w:pPr>
      <w:r w:rsidRPr="00B6539E">
        <w:rPr>
          <w:rFonts w:asciiTheme="majorBidi" w:hAnsiTheme="majorBidi"/>
        </w:rPr>
        <w:t>ν</w:t>
      </w:r>
      <w:r w:rsidRPr="00B6539E">
        <w:rPr>
          <w:rFonts w:asciiTheme="majorBidi" w:hAnsiTheme="majorBidi"/>
          <w:lang w:val="de-DE"/>
        </w:rPr>
        <w:t>(</w:t>
      </w:r>
      <w:r w:rsidRPr="00B6539E">
        <w:rPr>
          <w:rFonts w:asciiTheme="majorBidi" w:hAnsiTheme="majorBidi"/>
        </w:rPr>
        <w:t>θ</w:t>
      </w:r>
      <w:r w:rsidRPr="00B6539E">
        <w:rPr>
          <w:rFonts w:asciiTheme="majorBidi" w:hAnsiTheme="majorBidi"/>
          <w:lang w:val="de-DE"/>
        </w:rPr>
        <w:t xml:space="preserve">) = </w:t>
      </w:r>
      <m:oMath>
        <m:f>
          <m:fPr>
            <m:ctrlPr>
              <w:rPr>
                <w:rFonts w:ascii="Cambria Math" w:hAnsi="Cambria Math"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12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w:rPr>
                <w:rFonts w:ascii="Cambria Math" w:hAnsi="Cambria Math"/>
                <w:lang w:val="de-DE"/>
              </w:rPr>
              <m:t xml:space="preserve">- 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Cs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11</m:t>
                    </m:r>
                  </m:sub>
                </m:sSub>
                <m:r>
                  <w:rPr>
                    <w:rFonts w:ascii="Cambria Math" w:hAnsi="Cambria Math"/>
                    <w:lang w:val="de-DE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22</m:t>
                    </m:r>
                  </m:sub>
                </m:sSub>
                <m:r>
                  <w:rPr>
                    <w:rFonts w:ascii="Cambria Math" w:hAnsi="Cambria Math"/>
                    <w:lang w:val="de-DE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 xml:space="preserve">- 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</m:t>
                            </m:r>
                          </m:sup>
                        </m:sSubSup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66</m:t>
                        </m:r>
                      </m:sub>
                    </m:sSub>
                  </m:den>
                </m:f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w:rPr>
                <w:rFonts w:ascii="Cambria Math" w:hAnsi="Cambria Math"/>
                <w:lang w:val="de-DE"/>
              </w:rPr>
              <m:t>+</m:t>
            </m:r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12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11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lang w:val="de-DE"/>
              </w:rPr>
              <m:t>+</m:t>
            </m:r>
            <w:bookmarkStart w:id="4" w:name="_Hlk141444010"/>
            <m:d>
              <m:dPr>
                <m:begChr m:val="["/>
                <m:endChr m:val="]"/>
                <m:ctrlPr>
                  <w:rPr>
                    <w:rFonts w:ascii="Cambria Math" w:hAnsi="Cambria Math"/>
                    <w:i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11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 xml:space="preserve">- 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12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lang w:val="de-DE"/>
                              </w:rPr>
                              <m:t>2</m:t>
                            </m:r>
                          </m:sup>
                        </m:sSubSup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val="de-DE"/>
                          </w:rPr>
                          <m:t>66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-2</m:t>
                </m:r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de-DE"/>
                      </w:rPr>
                      <m:t>12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w:bookmarkEnd w:id="4"/>
            <m:r>
              <m:rPr>
                <m:sty m:val="p"/>
              </m:rPr>
              <w:rPr>
                <w:rFonts w:ascii="Cambria Math" w:hAnsi="Cambria Math"/>
                <w:lang w:val="de-DE"/>
              </w:rPr>
              <m:t>+</m:t>
            </m:r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22</m:t>
                </m:r>
              </m:sub>
            </m:s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de-DE"/>
                  </w:rPr>
                  <m:t>4</m:t>
                </m:r>
              </m:sup>
            </m:sSup>
            <m:d>
              <m:dPr>
                <m:ctrlPr>
                  <w:rPr>
                    <w:rFonts w:ascii="Cambria Math" w:hAnsi="Cambria Math"/>
                    <w:i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θ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lang w:val="de-DE"/>
              </w:rPr>
              <m:t xml:space="preserve"> </m:t>
            </m:r>
          </m:den>
        </m:f>
      </m:oMath>
      <w:r w:rsidR="00E80DD1">
        <w:rPr>
          <w:rFonts w:asciiTheme="majorBidi" w:eastAsiaTheme="minorEastAsia" w:hAnsiTheme="majorBidi"/>
          <w:iCs/>
        </w:rPr>
        <w:t xml:space="preserve">                  (S2)</w:t>
      </w:r>
    </w:p>
    <w:p w14:paraId="3DDCC5D1" w14:textId="3781CBF0" w:rsidR="006A4770" w:rsidRDefault="006A4770" w:rsidP="00EE67D1">
      <w:pPr>
        <w:rPr>
          <w:rFonts w:asciiTheme="majorBidi" w:eastAsiaTheme="minorEastAsia" w:hAnsiTheme="majorBidi"/>
          <w:iCs/>
        </w:rPr>
      </w:pPr>
    </w:p>
    <w:p w14:paraId="097979C7" w14:textId="144174A1" w:rsidR="00057D49" w:rsidRDefault="00057D49" w:rsidP="003454F9">
      <w:pPr>
        <w:jc w:val="center"/>
        <w:rPr>
          <w:rFonts w:asciiTheme="majorBidi" w:eastAsiaTheme="minorEastAsia" w:hAnsiTheme="majorBidi"/>
          <w:iCs/>
        </w:rPr>
      </w:pPr>
    </w:p>
    <w:p w14:paraId="02CCD272" w14:textId="6660611C" w:rsidR="00057D49" w:rsidRDefault="00EE67D1" w:rsidP="00EE67D1">
      <w:pPr>
        <w:jc w:val="center"/>
        <w:rPr>
          <w:rFonts w:asciiTheme="majorBidi" w:eastAsiaTheme="minorEastAsia" w:hAnsiTheme="majorBidi"/>
          <w:iCs/>
        </w:rPr>
      </w:pPr>
      <w:r>
        <w:rPr>
          <w:rFonts w:asciiTheme="majorBidi" w:eastAsiaTheme="minorEastAsia" w:hAnsiTheme="majorBidi"/>
          <w:iCs/>
          <w:noProof/>
        </w:rPr>
        <w:drawing>
          <wp:inline distT="0" distB="0" distL="0" distR="0" wp14:anchorId="287E2FB3" wp14:editId="372B23D5">
            <wp:extent cx="4998645" cy="365754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BEbando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8645" cy="365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5D73E" w14:textId="789AD9F8" w:rsidR="00057D49" w:rsidRPr="0065080D" w:rsidRDefault="00EE67D1" w:rsidP="0065080D">
      <w:pPr>
        <w:jc w:val="center"/>
        <w:rPr>
          <w:rFonts w:asciiTheme="majorBidi" w:eastAsiaTheme="minorEastAsia" w:hAnsiTheme="majorBidi"/>
          <w:iCs/>
          <w:sz w:val="22"/>
          <w:szCs w:val="22"/>
        </w:rPr>
      </w:pPr>
      <w:r w:rsidRPr="002E7E6C">
        <w:rPr>
          <w:rFonts w:asciiTheme="majorBidi" w:eastAsiaTheme="minorEastAsia" w:hAnsiTheme="majorBidi"/>
          <w:iCs/>
          <w:sz w:val="22"/>
          <w:szCs w:val="22"/>
        </w:rPr>
        <w:t xml:space="preserve">Figure S1. Electronic band structure and density of states </w:t>
      </w:r>
      <w:r w:rsidR="002E7E6C" w:rsidRPr="002E7E6C">
        <w:rPr>
          <w:rFonts w:asciiTheme="majorBidi" w:eastAsiaTheme="minorEastAsia" w:hAnsiTheme="majorBidi"/>
          <w:iCs/>
          <w:sz w:val="22"/>
          <w:szCs w:val="22"/>
        </w:rPr>
        <w:t>of GrS in PBE framework</w:t>
      </w:r>
    </w:p>
    <w:sectPr w:rsidR="00057D49" w:rsidRPr="006508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4F9"/>
    <w:rsid w:val="00037422"/>
    <w:rsid w:val="00057D49"/>
    <w:rsid w:val="00273B85"/>
    <w:rsid w:val="002E7E6C"/>
    <w:rsid w:val="003454F9"/>
    <w:rsid w:val="006456A8"/>
    <w:rsid w:val="0065080D"/>
    <w:rsid w:val="006A4770"/>
    <w:rsid w:val="00712A48"/>
    <w:rsid w:val="008015BD"/>
    <w:rsid w:val="009F2773"/>
    <w:rsid w:val="00B6539E"/>
    <w:rsid w:val="00BD5C6E"/>
    <w:rsid w:val="00C077C5"/>
    <w:rsid w:val="00E80DD1"/>
    <w:rsid w:val="00EE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3DC72"/>
  <w15:chartTrackingRefBased/>
  <w15:docId w15:val="{D9C150E4-9A9A-41D0-A140-3369E66DD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ajorBidi"/>
        <w:color w:val="000000" w:themeColor="text1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F27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90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mohammadreza</dc:creator>
  <cp:keywords/>
  <dc:description/>
  <cp:lastModifiedBy>mohammadreza</cp:lastModifiedBy>
  <cp:revision>5</cp:revision>
  <dcterms:created xsi:type="dcterms:W3CDTF">2023-12-26T05:07:00Z</dcterms:created>
  <dcterms:modified xsi:type="dcterms:W3CDTF">2023-12-30T02:08:00Z</dcterms:modified>
</cp:coreProperties>
</file>