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3F6B8" w14:textId="0AE1A791" w:rsidR="009F1B12" w:rsidRDefault="009F1B12" w:rsidP="009F1B12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DATA</w:t>
      </w:r>
    </w:p>
    <w:p w14:paraId="722CAE35" w14:textId="77777777" w:rsidR="009F1B12" w:rsidRDefault="009F1B12" w:rsidP="009F1B12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C6120D" w14:textId="7056A97B" w:rsidR="00E8711A" w:rsidRDefault="009F1B12" w:rsidP="00E8711A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Title of Paper: </w:t>
      </w:r>
      <w:r w:rsidR="00E8711A">
        <w:rPr>
          <w:rFonts w:ascii="Times New Roman" w:eastAsia="Times New Roman" w:hAnsi="Times New Roman" w:cs="Times New Roman"/>
          <w:b/>
          <w:sz w:val="24"/>
          <w:szCs w:val="24"/>
        </w:rPr>
        <w:t>Calcifediol boosts the efficacy of ChAdOx1 nCoV-19 (COVISHIELD) vaccine via upregulation of key genes associated with memory T cell responses</w:t>
      </w:r>
    </w:p>
    <w:p w14:paraId="2BAF4E3F" w14:textId="77777777" w:rsidR="00E8711A" w:rsidRDefault="00E8711A" w:rsidP="00E8711A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7F599256" w14:textId="77777777" w:rsidR="00E8711A" w:rsidRDefault="00E8711A" w:rsidP="00E8711A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Himanshu Singh Saroha MSc,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Swati Bhat MTech,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Liza Das DM,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Pinaki Dutta DM,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Michael F. Holick PhD,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Naresh Sachdeva PhD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#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Raman Kumar Marwaha DNB#</w:t>
      </w:r>
    </w:p>
    <w:p w14:paraId="2A4FEA13" w14:textId="77777777" w:rsidR="00E8711A" w:rsidRDefault="00E8711A" w:rsidP="00E8711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Departments of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Endocrinology, Post Graduate Institute of Medical Education and Research (PGIMER), Chandigarh 160012, India.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Section on Endocrinology, Diabetes, Nutrition &amp; Weight Management, Department of Medicine, School of Medicine, Boston University, Boston, MA, USA.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Department of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Endocrinology, International Life Sciences Institute (ILSI) and Society for Endocrine Health Care of Elderly, Adolescents and Children (SEHEAC), New Delhi, India.</w:t>
      </w:r>
    </w:p>
    <w:p w14:paraId="36712CCB" w14:textId="77777777" w:rsidR="009F1B12" w:rsidRDefault="009F1B12" w:rsidP="009F1B12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0000001" w14:textId="77777777" w:rsidR="000B6525" w:rsidRPr="00B43C60" w:rsidRDefault="0000000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t>PCA plot</w:t>
      </w:r>
    </w:p>
    <w:p w14:paraId="00000002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03" w14:textId="77777777" w:rsidR="000B6525" w:rsidRPr="00B43C60" w:rsidRDefault="00000000">
      <w:pPr>
        <w:rPr>
          <w:rFonts w:ascii="Times New Roman" w:hAnsi="Times New Roman" w:cs="Times New Roman"/>
          <w:sz w:val="24"/>
          <w:szCs w:val="24"/>
        </w:rPr>
      </w:pPr>
      <w:r w:rsidRPr="00B43C60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8DBF8BE" wp14:editId="49E24A0B">
            <wp:extent cx="5943600" cy="4140200"/>
            <wp:effectExtent l="0" t="0" r="0" b="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4" w14:textId="12065AF4" w:rsidR="000B6525" w:rsidRPr="00B43C60" w:rsidRDefault="00000000">
      <w:pPr>
        <w:rPr>
          <w:rFonts w:ascii="Times New Roman" w:eastAsia="Calibri" w:hAnsi="Times New Roman" w:cs="Times New Roman"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t xml:space="preserve">Supplementary Figure 1: </w:t>
      </w:r>
      <w:r w:rsidRPr="00B43C60">
        <w:rPr>
          <w:rFonts w:ascii="Times New Roman" w:eastAsia="Calibri" w:hAnsi="Times New Roman" w:cs="Times New Roman"/>
          <w:sz w:val="24"/>
          <w:szCs w:val="24"/>
        </w:rPr>
        <w:t xml:space="preserve">Principal Component Analysis (PCA) of calcifediol supplemented (treated) cohorts where blue bubbles represent </w:t>
      </w:r>
      <w:r w:rsidR="00CA0F6E" w:rsidRPr="00B43C60">
        <w:rPr>
          <w:rFonts w:ascii="Times New Roman" w:eastAsia="Calibri" w:hAnsi="Times New Roman" w:cs="Times New Roman"/>
          <w:sz w:val="24"/>
          <w:szCs w:val="24"/>
        </w:rPr>
        <w:t>baseline;</w:t>
      </w:r>
      <w:r w:rsidRPr="00B43C60">
        <w:rPr>
          <w:rFonts w:ascii="Times New Roman" w:eastAsia="Calibri" w:hAnsi="Times New Roman" w:cs="Times New Roman"/>
          <w:sz w:val="24"/>
          <w:szCs w:val="24"/>
        </w:rPr>
        <w:t xml:space="preserve"> red bubbles represent 3rd month and green bubbles represent 6th month.</w:t>
      </w:r>
    </w:p>
    <w:p w14:paraId="00000005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06" w14:textId="77777777" w:rsidR="000B6525" w:rsidRPr="00B43C60" w:rsidRDefault="00000000">
      <w:pPr>
        <w:rPr>
          <w:rFonts w:ascii="Times New Roman" w:hAnsi="Times New Roman" w:cs="Times New Roman"/>
          <w:sz w:val="24"/>
          <w:szCs w:val="24"/>
        </w:rPr>
      </w:pPr>
      <w:r w:rsidRPr="00B43C60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093F6A9B" wp14:editId="60E97148">
            <wp:extent cx="5652135" cy="5678126"/>
            <wp:effectExtent l="0" t="0" r="0" b="0"/>
            <wp:docPr id="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t="8043"/>
                    <a:stretch>
                      <a:fillRect/>
                    </a:stretch>
                  </pic:blipFill>
                  <pic:spPr>
                    <a:xfrm>
                      <a:off x="0" y="0"/>
                      <a:ext cx="5652135" cy="56781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7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08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09" w14:textId="77777777" w:rsidR="000B6525" w:rsidRPr="00B43C60" w:rsidRDefault="00000000">
      <w:pPr>
        <w:rPr>
          <w:rFonts w:ascii="Times New Roman" w:hAnsi="Times New Roman" w:cs="Times New Roman"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t xml:space="preserve">Supplementary Figure 2: </w:t>
      </w:r>
      <w:r w:rsidRPr="00B43C60">
        <w:rPr>
          <w:rFonts w:ascii="Times New Roman" w:eastAsia="Calibri" w:hAnsi="Times New Roman" w:cs="Times New Roman"/>
          <w:sz w:val="24"/>
          <w:szCs w:val="24"/>
        </w:rPr>
        <w:t>Time series analysis showing the pattern of upregulation of genes related to vitamin D supplementation at baseline, 3</w:t>
      </w:r>
      <w:r w:rsidRPr="00B43C60">
        <w:rPr>
          <w:rFonts w:ascii="Times New Roman" w:eastAsia="Calibri" w:hAnsi="Times New Roman" w:cs="Times New Roman"/>
          <w:sz w:val="24"/>
          <w:szCs w:val="24"/>
          <w:vertAlign w:val="superscript"/>
        </w:rPr>
        <w:t>rd</w:t>
      </w:r>
      <w:r w:rsidRPr="00B43C60">
        <w:rPr>
          <w:rFonts w:ascii="Times New Roman" w:eastAsia="Calibri" w:hAnsi="Times New Roman" w:cs="Times New Roman"/>
          <w:sz w:val="24"/>
          <w:szCs w:val="24"/>
        </w:rPr>
        <w:t xml:space="preserve"> and 6</w:t>
      </w:r>
      <w:r w:rsidRPr="00B43C60">
        <w:rPr>
          <w:rFonts w:ascii="Times New Roman" w:eastAsia="Calibri" w:hAnsi="Times New Roman" w:cs="Times New Roman"/>
          <w:sz w:val="24"/>
          <w:szCs w:val="24"/>
          <w:vertAlign w:val="superscript"/>
        </w:rPr>
        <w:t>th</w:t>
      </w:r>
      <w:r w:rsidRPr="00B43C60">
        <w:rPr>
          <w:rFonts w:ascii="Times New Roman" w:eastAsia="Calibri" w:hAnsi="Times New Roman" w:cs="Times New Roman"/>
          <w:sz w:val="24"/>
          <w:szCs w:val="24"/>
        </w:rPr>
        <w:t xml:space="preserve"> month in relation to vitamin D concentration in the 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0"/>
          <w:id w:val="2093346041"/>
        </w:sdtPr>
        <w:sdtContent/>
      </w:sdt>
      <w:r w:rsidRPr="00B43C60">
        <w:rPr>
          <w:rFonts w:ascii="Times New Roman" w:eastAsia="Calibri" w:hAnsi="Times New Roman" w:cs="Times New Roman"/>
          <w:sz w:val="24"/>
          <w:szCs w:val="24"/>
        </w:rPr>
        <w:t>Calcifediol supplemented (treated) group.</w:t>
      </w:r>
      <w:r w:rsidRPr="00B43C60">
        <w:rPr>
          <w:rFonts w:ascii="Times New Roman" w:hAnsi="Times New Roman" w:cs="Times New Roman"/>
          <w:sz w:val="24"/>
          <w:szCs w:val="24"/>
        </w:rPr>
        <w:br w:type="page"/>
      </w:r>
    </w:p>
    <w:p w14:paraId="0000000A" w14:textId="77777777" w:rsidR="000B6525" w:rsidRPr="00B43C60" w:rsidRDefault="0000000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Upregulated Pathways</w:t>
      </w:r>
    </w:p>
    <w:p w14:paraId="0000000B" w14:textId="77777777" w:rsidR="000B6525" w:rsidRPr="00B43C60" w:rsidRDefault="000B6525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00000C" w14:textId="77777777" w:rsidR="000B6525" w:rsidRPr="00B43C60" w:rsidRDefault="00000000">
      <w:pPr>
        <w:rPr>
          <w:rFonts w:ascii="Times New Roman" w:hAnsi="Times New Roman" w:cs="Times New Roman"/>
          <w:sz w:val="24"/>
          <w:szCs w:val="24"/>
        </w:rPr>
      </w:pPr>
      <w:r w:rsidRPr="00B43C60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76ABC11A" wp14:editId="361BFC81">
            <wp:extent cx="5943600" cy="5956300"/>
            <wp:effectExtent l="0" t="0" r="0" b="0"/>
            <wp:docPr id="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5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D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0E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0F" w14:textId="77777777" w:rsidR="000B6525" w:rsidRPr="00B43C60" w:rsidRDefault="00000000">
      <w:pPr>
        <w:rPr>
          <w:rFonts w:ascii="Times New Roman" w:eastAsia="Calibri" w:hAnsi="Times New Roman" w:cs="Times New Roman"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t xml:space="preserve">Supplementary Figure 3: </w:t>
      </w:r>
      <w:r w:rsidRPr="00B43C60">
        <w:rPr>
          <w:rFonts w:ascii="Times New Roman" w:eastAsia="Calibri" w:hAnsi="Times New Roman" w:cs="Times New Roman"/>
          <w:sz w:val="24"/>
          <w:szCs w:val="24"/>
        </w:rPr>
        <w:t>Bubble plot showing KEGG analysis of upregulated pathways in calcifediol supplemented (treated) group at 6th month in comparison to baseline of the same group</w:t>
      </w:r>
    </w:p>
    <w:p w14:paraId="00000010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11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12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13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15" w14:textId="77777777" w:rsidR="000B6525" w:rsidRPr="00B43C60" w:rsidRDefault="00000000">
      <w:pPr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tag w:val="goog_rdk_1"/>
          <w:id w:val="1514884767"/>
        </w:sdtPr>
        <w:sdtContent/>
      </w:sdt>
    </w:p>
    <w:p w14:paraId="00000016" w14:textId="77777777" w:rsidR="000B6525" w:rsidRPr="00B43C60" w:rsidRDefault="00000000">
      <w:pPr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tag w:val="goog_rdk_3"/>
          <w:id w:val="1862933211"/>
        </w:sdtPr>
        <w:sdtContent>
          <w:r w:rsidRPr="00B43C60">
            <w:rPr>
              <w:rFonts w:ascii="Times New Roman" w:hAnsi="Times New Roman" w:cs="Times New Roman"/>
              <w:noProof/>
              <w:sz w:val="24"/>
              <w:szCs w:val="24"/>
            </w:rPr>
            <w:drawing>
              <wp:inline distT="114300" distB="114300" distL="114300" distR="114300" wp14:anchorId="6AB2B6A7" wp14:editId="1E335621">
                <wp:extent cx="6392562" cy="4926227"/>
                <wp:effectExtent l="0" t="0" r="8255" b="8255"/>
                <wp:docPr id="2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3090" cy="493434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sdtContent>
      </w:sdt>
    </w:p>
    <w:p w14:paraId="00000017" w14:textId="4B0F39D6" w:rsidR="000B6525" w:rsidRPr="00B43C60" w:rsidRDefault="00000000">
      <w:pPr>
        <w:rPr>
          <w:rFonts w:ascii="Times New Roman" w:eastAsia="Calibri" w:hAnsi="Times New Roman" w:cs="Times New Roman"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t xml:space="preserve">Supplementary Figure 4: </w:t>
      </w:r>
      <w:r w:rsidRPr="00B43C60">
        <w:rPr>
          <w:rFonts w:ascii="Times New Roman" w:eastAsia="Calibri" w:hAnsi="Times New Roman" w:cs="Times New Roman"/>
          <w:sz w:val="24"/>
          <w:szCs w:val="24"/>
        </w:rPr>
        <w:t xml:space="preserve">Bubble plot showing KEGG analysis of upregulated pathways in calcifediol supplemented (treated) group at 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4"/>
          <w:id w:val="-1706783432"/>
        </w:sdtPr>
        <w:sdtContent>
          <w:r w:rsidRPr="00B43C60">
            <w:rPr>
              <w:rFonts w:ascii="Times New Roman" w:eastAsia="Calibri" w:hAnsi="Times New Roman" w:cs="Times New Roman"/>
              <w:sz w:val="24"/>
              <w:szCs w:val="24"/>
            </w:rPr>
            <w:t>6th</w:t>
          </w:r>
        </w:sdtContent>
      </w:sdt>
      <w:r w:rsidRPr="00B43C60">
        <w:rPr>
          <w:rFonts w:ascii="Times New Roman" w:eastAsia="Calibri" w:hAnsi="Times New Roman" w:cs="Times New Roman"/>
          <w:sz w:val="24"/>
          <w:szCs w:val="24"/>
        </w:rPr>
        <w:t xml:space="preserve"> month in comparison to 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6"/>
          <w:id w:val="1902713301"/>
        </w:sdtPr>
        <w:sdtContent>
          <w:r w:rsidRPr="00B43C60">
            <w:rPr>
              <w:rFonts w:ascii="Times New Roman" w:eastAsia="Calibri" w:hAnsi="Times New Roman" w:cs="Times New Roman"/>
              <w:sz w:val="24"/>
              <w:szCs w:val="24"/>
            </w:rPr>
            <w:t>3rd month</w:t>
          </w:r>
        </w:sdtContent>
      </w:sdt>
      <w:r w:rsidRPr="00B43C60">
        <w:rPr>
          <w:rFonts w:ascii="Times New Roman" w:eastAsia="Calibri" w:hAnsi="Times New Roman" w:cs="Times New Roman"/>
          <w:sz w:val="24"/>
          <w:szCs w:val="24"/>
        </w:rPr>
        <w:t xml:space="preserve"> of the same group</w:t>
      </w:r>
    </w:p>
    <w:p w14:paraId="00000018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19" w14:textId="77777777" w:rsidR="000B6525" w:rsidRPr="00B43C60" w:rsidRDefault="00000000">
      <w:pPr>
        <w:rPr>
          <w:rFonts w:ascii="Times New Roman" w:eastAsia="Calibri" w:hAnsi="Times New Roman" w:cs="Times New Roman"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Supplementary Figure 5: </w:t>
      </w:r>
      <w:r w:rsidRPr="00B43C60">
        <w:rPr>
          <w:rFonts w:ascii="Times New Roman" w:eastAsia="Calibri" w:hAnsi="Times New Roman" w:cs="Times New Roman"/>
          <w:sz w:val="24"/>
          <w:szCs w:val="24"/>
        </w:rPr>
        <w:t>Bubble plot showing KEGG analysis of upregulated pathways in the calcifediol supplemented (treated) group at 6th month in comparison to placebo group at 6th month.</w:t>
      </w:r>
      <w:r w:rsidRPr="00B43C60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58240" behindDoc="0" locked="0" layoutInCell="1" hidden="0" allowOverlap="1" wp14:anchorId="1D71B21C" wp14:editId="2DCA962B">
            <wp:simplePos x="0" y="0"/>
            <wp:positionH relativeFrom="column">
              <wp:posOffset>19053</wp:posOffset>
            </wp:positionH>
            <wp:positionV relativeFrom="paragraph">
              <wp:posOffset>114300</wp:posOffset>
            </wp:positionV>
            <wp:extent cx="5943600" cy="5956300"/>
            <wp:effectExtent l="0" t="0" r="0" b="0"/>
            <wp:wrapTopAndBottom distT="114300" distB="11430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5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1A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1B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1C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1D" w14:textId="77777777" w:rsidR="000B6525" w:rsidRPr="00B43C60" w:rsidRDefault="00000000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B43C60">
        <w:rPr>
          <w:rFonts w:ascii="Times New Roman" w:hAnsi="Times New Roman" w:cs="Times New Roman"/>
          <w:sz w:val="24"/>
          <w:szCs w:val="24"/>
        </w:rPr>
        <w:br w:type="page"/>
      </w:r>
    </w:p>
    <w:p w14:paraId="0000001E" w14:textId="77777777" w:rsidR="000B6525" w:rsidRPr="00B43C60" w:rsidRDefault="0000000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Down Regulated Pathways</w:t>
      </w:r>
    </w:p>
    <w:p w14:paraId="0000001F" w14:textId="77777777" w:rsidR="000B6525" w:rsidRPr="00B43C60" w:rsidRDefault="000B6525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000020" w14:textId="77777777" w:rsidR="000B6525" w:rsidRPr="00B43C60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 w:rsidRPr="00B43C60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4FEFB9B9" wp14:editId="3AB4E0B3">
            <wp:extent cx="5943600" cy="5956300"/>
            <wp:effectExtent l="0" t="0" r="0" b="0"/>
            <wp:docPr id="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5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1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23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24" w14:textId="77777777" w:rsidR="000B6525" w:rsidRPr="00B43C60" w:rsidRDefault="00000000">
      <w:pPr>
        <w:rPr>
          <w:rFonts w:ascii="Times New Roman" w:eastAsia="Calibri" w:hAnsi="Times New Roman" w:cs="Times New Roman"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t xml:space="preserve">Supplementary Figure 6: </w:t>
      </w:r>
      <w:r w:rsidRPr="00B43C60">
        <w:rPr>
          <w:rFonts w:ascii="Times New Roman" w:eastAsia="Calibri" w:hAnsi="Times New Roman" w:cs="Times New Roman"/>
          <w:sz w:val="24"/>
          <w:szCs w:val="24"/>
        </w:rPr>
        <w:t>Bubble plot showing KEGG analysis of downregulated pathways in calcifediol supplemented (treated) group at 6th month in comparison to baseline of the same group</w:t>
      </w:r>
    </w:p>
    <w:p w14:paraId="00000025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26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27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28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29" w14:textId="77777777" w:rsidR="000B6525" w:rsidRPr="00B43C60" w:rsidRDefault="00000000">
      <w:pPr>
        <w:rPr>
          <w:rFonts w:ascii="Times New Roman" w:hAnsi="Times New Roman" w:cs="Times New Roman"/>
          <w:sz w:val="24"/>
          <w:szCs w:val="24"/>
        </w:rPr>
      </w:pPr>
      <w:r w:rsidRPr="00B43C6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481CFB7C" wp14:editId="3DDCCC34">
            <wp:extent cx="6598508" cy="5338119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10488" cy="53478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A" w14:textId="4B85529E" w:rsidR="000B6525" w:rsidRPr="00B43C60" w:rsidRDefault="00000000">
      <w:pPr>
        <w:rPr>
          <w:rFonts w:ascii="Times New Roman" w:eastAsia="Calibri" w:hAnsi="Times New Roman" w:cs="Times New Roman"/>
          <w:sz w:val="24"/>
          <w:szCs w:val="24"/>
        </w:rPr>
      </w:pPr>
      <w:bookmarkStart w:id="0" w:name="_heading=h.gjdgxs" w:colFirst="0" w:colLast="0"/>
      <w:bookmarkEnd w:id="0"/>
      <w:r w:rsidRPr="00B43C60">
        <w:rPr>
          <w:rFonts w:ascii="Times New Roman" w:eastAsia="Calibri" w:hAnsi="Times New Roman" w:cs="Times New Roman"/>
          <w:b/>
          <w:sz w:val="24"/>
          <w:szCs w:val="24"/>
        </w:rPr>
        <w:t xml:space="preserve">Supplementary Figure 7: </w:t>
      </w:r>
      <w:r w:rsidRPr="00B43C60">
        <w:rPr>
          <w:rFonts w:ascii="Times New Roman" w:eastAsia="Calibri" w:hAnsi="Times New Roman" w:cs="Times New Roman"/>
          <w:sz w:val="24"/>
          <w:szCs w:val="24"/>
        </w:rPr>
        <w:t xml:space="preserve">Bubble plot showing KEGG analysis of downregulated pathways in calcifediol supplemented (treated) group at 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8"/>
          <w:id w:val="-37360680"/>
        </w:sdtPr>
        <w:sdtContent>
          <w:r w:rsidRPr="00B43C60">
            <w:rPr>
              <w:rFonts w:ascii="Times New Roman" w:eastAsia="Calibri" w:hAnsi="Times New Roman" w:cs="Times New Roman"/>
              <w:sz w:val="24"/>
              <w:szCs w:val="24"/>
            </w:rPr>
            <w:t>6th</w:t>
          </w:r>
        </w:sdtContent>
      </w:sdt>
      <w:r w:rsidRPr="00B43C60">
        <w:rPr>
          <w:rFonts w:ascii="Times New Roman" w:eastAsia="Calibri" w:hAnsi="Times New Roman" w:cs="Times New Roman"/>
          <w:sz w:val="24"/>
          <w:szCs w:val="24"/>
        </w:rPr>
        <w:t xml:space="preserve"> month in comparison to 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10"/>
          <w:id w:val="-1928256926"/>
        </w:sdtPr>
        <w:sdtContent>
          <w:r w:rsidRPr="00B43C60">
            <w:rPr>
              <w:rFonts w:ascii="Times New Roman" w:eastAsia="Calibri" w:hAnsi="Times New Roman" w:cs="Times New Roman"/>
              <w:sz w:val="24"/>
              <w:szCs w:val="24"/>
            </w:rPr>
            <w:t>3</w:t>
          </w:r>
          <w:r w:rsidRPr="00637776">
            <w:rPr>
              <w:rFonts w:ascii="Times New Roman" w:eastAsia="Calibri" w:hAnsi="Times New Roman" w:cs="Times New Roman"/>
              <w:sz w:val="24"/>
              <w:szCs w:val="24"/>
              <w:vertAlign w:val="superscript"/>
            </w:rPr>
            <w:t>rd</w:t>
          </w:r>
        </w:sdtContent>
      </w:sdt>
      <w:r w:rsidR="00637776">
        <w:rPr>
          <w:rFonts w:ascii="Times New Roman" w:hAnsi="Times New Roman" w:cs="Times New Roman"/>
          <w:sz w:val="24"/>
          <w:szCs w:val="24"/>
        </w:rPr>
        <w:t xml:space="preserve"> month</w:t>
      </w:r>
      <w:r w:rsidRPr="00B43C60">
        <w:rPr>
          <w:rFonts w:ascii="Times New Roman" w:eastAsia="Calibri" w:hAnsi="Times New Roman" w:cs="Times New Roman"/>
          <w:sz w:val="24"/>
          <w:szCs w:val="24"/>
        </w:rPr>
        <w:t xml:space="preserve"> of the same group</w:t>
      </w:r>
    </w:p>
    <w:p w14:paraId="0000002B" w14:textId="77777777" w:rsidR="000B6525" w:rsidRPr="00B43C60" w:rsidRDefault="00000000">
      <w:pPr>
        <w:rPr>
          <w:rFonts w:ascii="Times New Roman" w:hAnsi="Times New Roman" w:cs="Times New Roman"/>
          <w:sz w:val="24"/>
          <w:szCs w:val="24"/>
        </w:rPr>
      </w:pPr>
      <w:r w:rsidRPr="00B43C6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114300" distB="114300" distL="114300" distR="114300" simplePos="0" relativeHeight="251659264" behindDoc="0" locked="0" layoutInCell="1" hidden="0" allowOverlap="1" wp14:anchorId="66F5968B" wp14:editId="769D3CE4">
            <wp:simplePos x="0" y="0"/>
            <wp:positionH relativeFrom="column">
              <wp:posOffset>19053</wp:posOffset>
            </wp:positionH>
            <wp:positionV relativeFrom="paragraph">
              <wp:posOffset>114300</wp:posOffset>
            </wp:positionV>
            <wp:extent cx="5943600" cy="5956300"/>
            <wp:effectExtent l="0" t="0" r="0" b="0"/>
            <wp:wrapTopAndBottom distT="114300" distB="11430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5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2C" w14:textId="77777777" w:rsidR="000B6525" w:rsidRPr="00B43C60" w:rsidRDefault="00000000">
      <w:pPr>
        <w:rPr>
          <w:rFonts w:ascii="Times New Roman" w:eastAsia="Calibri" w:hAnsi="Times New Roman" w:cs="Times New Roman"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t xml:space="preserve">Supplementary Figure 8: </w:t>
      </w:r>
      <w:r w:rsidRPr="00B43C60">
        <w:rPr>
          <w:rFonts w:ascii="Times New Roman" w:eastAsia="Calibri" w:hAnsi="Times New Roman" w:cs="Times New Roman"/>
          <w:sz w:val="24"/>
          <w:szCs w:val="24"/>
        </w:rPr>
        <w:t>Bubble plot showing KEGG analysis of downregulated pathways in the calcifediol supplemented (treated) group at 6th month in comparison to placebo group at 6th month.</w:t>
      </w:r>
    </w:p>
    <w:p w14:paraId="0000002D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2E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2F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30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31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32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037" w14:textId="77777777" w:rsidR="000B6525" w:rsidRPr="00B43C60" w:rsidRDefault="000B6525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000038" w14:textId="77777777" w:rsidR="000B6525" w:rsidRPr="00B43C60" w:rsidRDefault="00000000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t>Supplementary table 1: Complete List of Biological functions found differentially upregulated upon calcifediol supplementation (Treated 6 months versus Treated baseline).</w:t>
      </w:r>
    </w:p>
    <w:p w14:paraId="00000039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"/>
        <w:tblW w:w="85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520"/>
      </w:tblGrid>
      <w:tr w:rsidR="000B6525" w:rsidRPr="00B43C60" w14:paraId="75B2888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3A" w14:textId="0407EF71" w:rsidR="000B6525" w:rsidRPr="00B43C60" w:rsidRDefault="00D51653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Biological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B43C60">
              <w:rPr>
                <w:rFonts w:ascii="Times New Roman" w:hAnsi="Times New Roman" w:cs="Times New Roman"/>
                <w:b/>
                <w:sz w:val="24"/>
                <w:szCs w:val="24"/>
              </w:rPr>
              <w:t>rocess</w:t>
            </w:r>
          </w:p>
        </w:tc>
      </w:tr>
      <w:tr w:rsidR="000B6525" w:rsidRPr="00B43C60" w14:paraId="5D2D5A8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3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protein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deubiquitination</w:t>
            </w:r>
            <w:proofErr w:type="spellEnd"/>
          </w:p>
        </w:tc>
      </w:tr>
      <w:tr w:rsidR="000B6525" w:rsidRPr="00B43C60" w14:paraId="2FF67D4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3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ubiquitination</w:t>
            </w:r>
          </w:p>
        </w:tc>
      </w:tr>
      <w:tr w:rsidR="000B6525" w:rsidRPr="00B43C60" w14:paraId="1E31DCC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3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DNA damage stimulus</w:t>
            </w:r>
          </w:p>
        </w:tc>
      </w:tr>
      <w:tr w:rsidR="000B6525" w:rsidRPr="00B43C60" w14:paraId="79EF5DA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3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protein K63-linked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deubiquitination</w:t>
            </w:r>
            <w:proofErr w:type="spellEnd"/>
          </w:p>
        </w:tc>
      </w:tr>
      <w:tr w:rsidR="000B6525" w:rsidRPr="00B43C60" w14:paraId="6EEA06E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3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centriole replication</w:t>
            </w:r>
          </w:p>
        </w:tc>
      </w:tr>
      <w:tr w:rsidR="000B6525" w:rsidRPr="00B43C60" w14:paraId="2317770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transcription by RNA polymerase II</w:t>
            </w:r>
          </w:p>
        </w:tc>
      </w:tr>
      <w:tr w:rsidR="000B6525" w:rsidRPr="00B43C60" w14:paraId="563D25E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chromatin remodeling</w:t>
            </w:r>
          </w:p>
        </w:tc>
      </w:tr>
      <w:tr w:rsidR="000B6525" w:rsidRPr="00B43C60" w14:paraId="02E4B04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protein K48-linked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deubiquitination</w:t>
            </w:r>
            <w:proofErr w:type="spellEnd"/>
          </w:p>
        </w:tc>
      </w:tr>
      <w:tr w:rsidR="000B6525" w:rsidRPr="00B43C60" w14:paraId="1A4BF3C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hippo signaling</w:t>
            </w:r>
          </w:p>
        </w:tc>
      </w:tr>
      <w:tr w:rsidR="000B6525" w:rsidRPr="00B43C60" w14:paraId="6ED30A08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small GTPase mediated signal transduction</w:t>
            </w:r>
          </w:p>
        </w:tc>
      </w:tr>
      <w:tr w:rsidR="000B6525" w:rsidRPr="00B43C60" w14:paraId="3134BA5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ubiquitin-dependent protein catabolic process</w:t>
            </w:r>
          </w:p>
        </w:tc>
      </w:tr>
      <w:tr w:rsidR="000B6525" w:rsidRPr="00B43C60" w14:paraId="4EDE332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peptidyl-serine phosphorylation</w:t>
            </w:r>
          </w:p>
        </w:tc>
      </w:tr>
      <w:tr w:rsidR="000B6525" w:rsidRPr="00B43C60" w14:paraId="3D5DA0A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RNA splicing</w:t>
            </w:r>
          </w:p>
        </w:tc>
      </w:tr>
      <w:tr w:rsidR="000B6525" w:rsidRPr="00B43C60" w14:paraId="4BE8408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COPII-coated vesicle cargo loading</w:t>
            </w:r>
          </w:p>
        </w:tc>
      </w:tr>
      <w:tr w:rsidR="000B6525" w:rsidRPr="00B43C60" w14:paraId="2800D83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DNA-templated transcription</w:t>
            </w:r>
          </w:p>
        </w:tc>
      </w:tr>
      <w:tr w:rsidR="000B6525" w:rsidRPr="00B43C60" w14:paraId="4374311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autophosphorylation</w:t>
            </w:r>
          </w:p>
        </w:tc>
      </w:tr>
      <w:tr w:rsidR="000B6525" w:rsidRPr="00B43C60" w14:paraId="5B8B26A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cell cycle</w:t>
            </w:r>
          </w:p>
        </w:tc>
      </w:tr>
      <w:tr w:rsidR="000B6525" w:rsidRPr="00B43C60" w14:paraId="0456A77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double-strand break repair</w:t>
            </w:r>
          </w:p>
        </w:tc>
      </w:tr>
      <w:tr w:rsidR="000B6525" w:rsidRPr="00B43C60" w14:paraId="0B634F0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alternative mRNA splicing, via spliceosome</w:t>
            </w:r>
          </w:p>
        </w:tc>
      </w:tr>
      <w:tr w:rsidR="000B6525" w:rsidRPr="00B43C60" w14:paraId="7BDCA93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miRNA processing</w:t>
            </w:r>
          </w:p>
        </w:tc>
      </w:tr>
      <w:tr w:rsidR="000B6525" w:rsidRPr="00B43C60" w14:paraId="5B54C114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4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miRNA-mediated gene silencing by inhibition of translation</w:t>
            </w:r>
          </w:p>
        </w:tc>
      </w:tr>
      <w:tr w:rsidR="000B6525" w:rsidRPr="00B43C60" w14:paraId="5D80004B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I-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kinase/NF-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signaling</w:t>
            </w:r>
          </w:p>
        </w:tc>
      </w:tr>
      <w:tr w:rsidR="000B6525" w:rsidRPr="00B43C60" w14:paraId="129829E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clathrin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coat assembly</w:t>
            </w:r>
          </w:p>
        </w:tc>
      </w:tr>
      <w:tr w:rsidR="000B6525" w:rsidRPr="00B43C60" w14:paraId="728BF83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localization to centrosome</w:t>
            </w:r>
          </w:p>
        </w:tc>
      </w:tr>
      <w:tr w:rsidR="000B6525" w:rsidRPr="00B43C60" w14:paraId="7EBDBDB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polyubiquitination</w:t>
            </w:r>
          </w:p>
        </w:tc>
      </w:tr>
      <w:tr w:rsidR="000B6525" w:rsidRPr="00B43C60" w14:paraId="502381EC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proteasome-mediated ubiquitin-dependent protein catabolic process</w:t>
            </w:r>
          </w:p>
        </w:tc>
      </w:tr>
      <w:tr w:rsidR="000B6525" w:rsidRPr="00B43C60" w14:paraId="7D3C2B5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mRNA export from nucleus</w:t>
            </w:r>
          </w:p>
        </w:tc>
      </w:tr>
      <w:tr w:rsidR="000B6525" w:rsidRPr="00B43C60" w14:paraId="0857F5C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translation</w:t>
            </w:r>
          </w:p>
        </w:tc>
      </w:tr>
      <w:tr w:rsidR="000B6525" w:rsidRPr="00B43C60" w14:paraId="317BFA34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alternative mRNA splicing, via spliceosome</w:t>
            </w:r>
          </w:p>
        </w:tc>
      </w:tr>
      <w:tr w:rsidR="000B6525" w:rsidRPr="00B43C60" w14:paraId="7C3A77D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mitotic spindle assembly</w:t>
            </w:r>
          </w:p>
        </w:tc>
      </w:tr>
      <w:tr w:rsidR="000B6525" w:rsidRPr="00B43C60" w14:paraId="6A14D3AA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transcription factor activity</w:t>
            </w:r>
          </w:p>
        </w:tc>
      </w:tr>
      <w:tr w:rsidR="000B6525" w:rsidRPr="00B43C60" w14:paraId="3C09092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BMP signaling pathway</w:t>
            </w:r>
          </w:p>
        </w:tc>
      </w:tr>
      <w:tr w:rsidR="000B6525" w:rsidRPr="00B43C60" w14:paraId="41B0382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intrinsic apoptotic signaling pathway</w:t>
            </w:r>
          </w:p>
        </w:tc>
      </w:tr>
      <w:tr w:rsidR="000B6525" w:rsidRPr="00B43C60" w14:paraId="206782CB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double-strand break repair via homologous recombination</w:t>
            </w:r>
          </w:p>
        </w:tc>
      </w:tr>
      <w:tr w:rsidR="000B6525" w:rsidRPr="00B43C60" w14:paraId="3E116FE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DNA repair</w:t>
            </w:r>
          </w:p>
        </w:tc>
      </w:tr>
      <w:tr w:rsidR="000B6525" w:rsidRPr="00B43C60" w14:paraId="3DFFAA3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signal transduction by p53 class mediator</w:t>
            </w:r>
          </w:p>
        </w:tc>
      </w:tr>
      <w:tr w:rsidR="000B6525" w:rsidRPr="00B43C60" w14:paraId="1431048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5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intracellular signal transduction</w:t>
            </w:r>
          </w:p>
        </w:tc>
      </w:tr>
      <w:tr w:rsidR="000B6525" w:rsidRPr="00B43C60" w14:paraId="37866F2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RNA processing</w:t>
            </w:r>
          </w:p>
        </w:tc>
      </w:tr>
      <w:tr w:rsidR="000B6525" w:rsidRPr="00B43C60" w14:paraId="3B62FE0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microtubule cytoskeleton organization</w:t>
            </w:r>
          </w:p>
        </w:tc>
      </w:tr>
      <w:tr w:rsidR="000B6525" w:rsidRPr="00B43C60" w14:paraId="5FB89B6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circadian rhythm</w:t>
            </w:r>
          </w:p>
        </w:tc>
      </w:tr>
      <w:tr w:rsidR="000B6525" w:rsidRPr="00B43C60" w14:paraId="482F7D9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post-transcriptional regulation of gene expression</w:t>
            </w:r>
          </w:p>
        </w:tc>
      </w:tr>
      <w:tr w:rsidR="000B6525" w:rsidRPr="00B43C60" w14:paraId="60F2C1C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ephrin receptor signaling pathway</w:t>
            </w:r>
          </w:p>
        </w:tc>
      </w:tr>
      <w:tr w:rsidR="000B6525" w:rsidRPr="00B43C60" w14:paraId="5C00F60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nuclear pore complex assembly</w:t>
            </w:r>
          </w:p>
        </w:tc>
      </w:tr>
      <w:tr w:rsidR="000B6525" w:rsidRPr="00B43C60" w14:paraId="2BEAC18F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SCF-dependent proteasomal ubiquitin-dependent protein catabolic process</w:t>
            </w:r>
          </w:p>
        </w:tc>
      </w:tr>
      <w:tr w:rsidR="000B6525" w:rsidRPr="00B43C60" w14:paraId="6810571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histone H4 acetylation</w:t>
            </w:r>
          </w:p>
        </w:tc>
      </w:tr>
      <w:tr w:rsidR="000B6525" w:rsidRPr="00B43C60" w14:paraId="55E962B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insulin stimulus</w:t>
            </w:r>
          </w:p>
        </w:tc>
      </w:tr>
      <w:tr w:rsidR="000B6525" w:rsidRPr="00B43C60" w14:paraId="757D1F7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mRNA splice site selection</w:t>
            </w:r>
          </w:p>
        </w:tc>
      </w:tr>
      <w:tr w:rsidR="000B6525" w:rsidRPr="00B43C60" w14:paraId="5C2DAE7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mRNA processing</w:t>
            </w:r>
          </w:p>
        </w:tc>
      </w:tr>
      <w:tr w:rsidR="000B6525" w:rsidRPr="00B43C60" w14:paraId="5F89E92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circadian regulation of gene expression</w:t>
            </w:r>
          </w:p>
        </w:tc>
      </w:tr>
      <w:tr w:rsidR="000B6525" w:rsidRPr="00B43C60" w14:paraId="48C2A80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mRNA stability</w:t>
            </w:r>
          </w:p>
        </w:tc>
      </w:tr>
      <w:tr w:rsidR="000B6525" w:rsidRPr="00B43C60" w14:paraId="6EB40D9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protein K11-linked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deubiquitination</w:t>
            </w:r>
            <w:proofErr w:type="spellEnd"/>
          </w:p>
        </w:tc>
      </w:tr>
      <w:tr w:rsidR="000B6525" w:rsidRPr="00B43C60" w14:paraId="0C7A7B4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peptidyl-threonine phosphorylation</w:t>
            </w:r>
          </w:p>
        </w:tc>
      </w:tr>
      <w:tr w:rsidR="000B6525" w:rsidRPr="00B43C60" w14:paraId="51D729FB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6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DNA-templated transcription, elongation</w:t>
            </w:r>
          </w:p>
        </w:tc>
      </w:tr>
      <w:tr w:rsidR="000B6525" w:rsidRPr="00B43C60" w14:paraId="467252F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histone H3 acetylation</w:t>
            </w:r>
          </w:p>
        </w:tc>
      </w:tr>
      <w:tr w:rsidR="000B6525" w:rsidRPr="00B43C60" w14:paraId="2AE5538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DNA repair</w:t>
            </w:r>
          </w:p>
        </w:tc>
      </w:tr>
      <w:tr w:rsidR="000B6525" w:rsidRPr="00B43C60" w14:paraId="3AC12ED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epidermal growth factor receptor signaling pathway</w:t>
            </w:r>
          </w:p>
        </w:tc>
      </w:tr>
      <w:tr w:rsidR="000B6525" w:rsidRPr="00B43C60" w14:paraId="202DCF2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negative regulation of cilium assembly</w:t>
            </w:r>
          </w:p>
        </w:tc>
      </w:tr>
      <w:tr w:rsidR="000B6525" w:rsidRPr="00B43C60" w14:paraId="18720DF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 migration</w:t>
            </w:r>
          </w:p>
        </w:tc>
      </w:tr>
      <w:tr w:rsidR="000B6525" w:rsidRPr="00B43C60" w14:paraId="6A8DEEE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centrosome cycle</w:t>
            </w:r>
          </w:p>
        </w:tc>
      </w:tr>
      <w:tr w:rsidR="000B6525" w:rsidRPr="00B43C60" w14:paraId="6212122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translation</w:t>
            </w:r>
          </w:p>
        </w:tc>
      </w:tr>
      <w:tr w:rsidR="000B6525" w:rsidRPr="00B43C60" w14:paraId="6A4ED83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centrosome duplication</w:t>
            </w:r>
          </w:p>
        </w:tc>
      </w:tr>
      <w:tr w:rsidR="000B6525" w:rsidRPr="00B43C60" w14:paraId="6DC916A8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endoplasmic reticulum to Golgi vesicle-mediated transport</w:t>
            </w:r>
          </w:p>
        </w:tc>
      </w:tr>
      <w:tr w:rsidR="000B6525" w:rsidRPr="00B43C60" w14:paraId="56772E14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double-strand break repair via homologous recombination</w:t>
            </w:r>
          </w:p>
        </w:tc>
      </w:tr>
      <w:tr w:rsidR="000B6525" w:rsidRPr="00B43C60" w14:paraId="352FA9A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Golgi organization</w:t>
            </w:r>
          </w:p>
        </w:tc>
      </w:tr>
      <w:tr w:rsidR="000B6525" w:rsidRPr="00B43C60" w14:paraId="008B62B4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transcription by RNA polymerase III</w:t>
            </w:r>
          </w:p>
        </w:tc>
      </w:tr>
      <w:tr w:rsidR="000B6525" w:rsidRPr="00B43C60" w14:paraId="7E56455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substrate adhesion-dependent cell spreading</w:t>
            </w:r>
          </w:p>
        </w:tc>
      </w:tr>
      <w:tr w:rsidR="000B6525" w:rsidRPr="00B43C60" w14:paraId="4EB006E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ionizing radiation</w:t>
            </w:r>
          </w:p>
        </w:tc>
      </w:tr>
      <w:tr w:rsidR="000B6525" w:rsidRPr="00B43C60" w14:paraId="5205DCE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phosphatidylinositol phosphate biosynthetic process</w:t>
            </w:r>
          </w:p>
        </w:tc>
      </w:tr>
      <w:tr w:rsidR="000B6525" w:rsidRPr="00B43C60" w14:paraId="45F875F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7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histone H2A acetylation</w:t>
            </w:r>
          </w:p>
        </w:tc>
      </w:tr>
      <w:tr w:rsidR="000B6525" w:rsidRPr="00B43C60" w14:paraId="67D25BB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histone deacetylation</w:t>
            </w:r>
          </w:p>
        </w:tc>
      </w:tr>
      <w:tr w:rsidR="000B6525" w:rsidRPr="00B43C60" w14:paraId="0C159DA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DNA duplex unwinding</w:t>
            </w:r>
          </w:p>
        </w:tc>
      </w:tr>
      <w:tr w:rsidR="000B6525" w:rsidRPr="00B43C60" w14:paraId="344CDFA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mitotic cytokinesis</w:t>
            </w:r>
          </w:p>
        </w:tc>
      </w:tr>
      <w:tr w:rsidR="000B6525" w:rsidRPr="00B43C60" w14:paraId="042D3CC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stress granule assembly</w:t>
            </w:r>
          </w:p>
        </w:tc>
      </w:tr>
      <w:tr w:rsidR="000B6525" w:rsidRPr="00B43C60" w14:paraId="568049D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 ubiquitination</w:t>
            </w:r>
          </w:p>
        </w:tc>
      </w:tr>
      <w:tr w:rsidR="000B6525" w:rsidRPr="00B43C60" w14:paraId="129ECBB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acetylation</w:t>
            </w:r>
          </w:p>
        </w:tc>
      </w:tr>
      <w:tr w:rsidR="000B6525" w:rsidRPr="00B43C60" w14:paraId="70FA5EA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activation of GTPase activity</w:t>
            </w:r>
          </w:p>
        </w:tc>
      </w:tr>
      <w:tr w:rsidR="000B6525" w:rsidRPr="00B43C60" w14:paraId="500D524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G1/S transition of mitotic cell cycle</w:t>
            </w:r>
          </w:p>
        </w:tc>
      </w:tr>
      <w:tr w:rsidR="000B6525" w:rsidRPr="00B43C60" w14:paraId="2A1B5214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positive regulation of nuclear-transcribed mRNA catabolic process,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deadenylation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-dependent decay</w:t>
            </w:r>
          </w:p>
        </w:tc>
      </w:tr>
      <w:tr w:rsidR="000B6525" w:rsidRPr="00B43C60" w14:paraId="752897A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cytokine-mediated signaling pathway</w:t>
            </w:r>
          </w:p>
        </w:tc>
      </w:tr>
      <w:tr w:rsidR="000B6525" w:rsidRPr="00B43C60" w14:paraId="314E484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mRNA transcription by RNA polymerase II</w:t>
            </w:r>
          </w:p>
        </w:tc>
      </w:tr>
      <w:tr w:rsidR="000B6525" w:rsidRPr="00B43C60" w14:paraId="233742E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stabilization</w:t>
            </w:r>
          </w:p>
        </w:tc>
      </w:tr>
      <w:tr w:rsidR="000B6525" w:rsidRPr="00B43C60" w14:paraId="1A0D73F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DNA replication</w:t>
            </w:r>
          </w:p>
        </w:tc>
      </w:tr>
      <w:tr w:rsidR="000B6525" w:rsidRPr="00B43C60" w14:paraId="1127072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mRNA splicing, via spliceosome</w:t>
            </w:r>
          </w:p>
        </w:tc>
      </w:tr>
      <w:tr w:rsidR="000B6525" w:rsidRPr="00B43C60" w14:paraId="214B1C8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transcription initiation-coupled chromatin remodeling</w:t>
            </w:r>
          </w:p>
        </w:tc>
      </w:tr>
      <w:tr w:rsidR="000B6525" w:rsidRPr="00B43C60" w14:paraId="5991E59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8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RNA polymerase II preinitiation complex assembly</w:t>
            </w:r>
          </w:p>
        </w:tc>
      </w:tr>
      <w:tr w:rsidR="000B6525" w:rsidRPr="00B43C60" w14:paraId="4D22CD4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mRNA splicing, via spliceosome</w:t>
            </w:r>
          </w:p>
        </w:tc>
      </w:tr>
      <w:tr w:rsidR="000B6525" w:rsidRPr="00B43C60" w14:paraId="4B2A897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retrograde transport, endosome to Golgi</w:t>
            </w:r>
          </w:p>
        </w:tc>
      </w:tr>
      <w:tr w:rsidR="000B6525" w:rsidRPr="00B43C60" w14:paraId="39E9790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mismatch repair</w:t>
            </w:r>
          </w:p>
        </w:tc>
      </w:tr>
      <w:tr w:rsidR="000B6525" w:rsidRPr="00B43C60" w14:paraId="4CD585C5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transcription factor activity</w:t>
            </w:r>
          </w:p>
        </w:tc>
      </w:tr>
      <w:tr w:rsidR="000B6525" w:rsidRPr="00B43C60" w14:paraId="3679AA3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phosphorylation</w:t>
            </w:r>
          </w:p>
        </w:tc>
      </w:tr>
      <w:tr w:rsidR="000B6525" w:rsidRPr="00B43C60" w14:paraId="7482C22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ionizing radiation</w:t>
            </w:r>
          </w:p>
        </w:tc>
      </w:tr>
      <w:tr w:rsidR="000B6525" w:rsidRPr="00B43C60" w14:paraId="5760819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insulin receptor signaling pathway</w:t>
            </w:r>
          </w:p>
        </w:tc>
      </w:tr>
      <w:tr w:rsidR="000B6525" w:rsidRPr="00B43C60" w14:paraId="2C58ECF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mRNA destabilization</w:t>
            </w:r>
          </w:p>
        </w:tc>
      </w:tr>
      <w:tr w:rsidR="000B6525" w:rsidRPr="00B43C60" w14:paraId="6A8717B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K48-linked ubiquitination</w:t>
            </w:r>
          </w:p>
        </w:tc>
      </w:tr>
      <w:tr w:rsidR="000B6525" w:rsidRPr="00B43C60" w14:paraId="5BA5C7D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K11-linked ubiquitination</w:t>
            </w:r>
          </w:p>
        </w:tc>
      </w:tr>
      <w:tr w:rsidR="000B6525" w:rsidRPr="00B43C60" w14:paraId="01F015F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localization to plasma membrane</w:t>
            </w:r>
          </w:p>
        </w:tc>
      </w:tr>
      <w:tr w:rsidR="000B6525" w:rsidRPr="00B43C60" w14:paraId="72885C0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intracellular estrogen receptor signaling pathway</w:t>
            </w:r>
          </w:p>
        </w:tc>
      </w:tr>
      <w:tr w:rsidR="000B6525" w:rsidRPr="00B43C60" w14:paraId="74407A6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nucleotide-excision repair</w:t>
            </w:r>
          </w:p>
        </w:tc>
      </w:tr>
      <w:tr w:rsidR="000B6525" w:rsidRPr="00B43C60" w14:paraId="68A58362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transcription initiation by RNA polymerase II</w:t>
            </w:r>
          </w:p>
        </w:tc>
      </w:tr>
      <w:tr w:rsidR="000B6525" w:rsidRPr="00B43C60" w14:paraId="30AE341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cytokinesis</w:t>
            </w:r>
          </w:p>
        </w:tc>
      </w:tr>
      <w:tr w:rsidR="000B6525" w:rsidRPr="00B43C60" w14:paraId="26107ED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9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actin cytoskeleton organization</w:t>
            </w:r>
          </w:p>
        </w:tc>
      </w:tr>
      <w:tr w:rsidR="000B6525" w:rsidRPr="00B43C60" w14:paraId="61DED1F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cellular response to heat</w:t>
            </w:r>
          </w:p>
        </w:tc>
      </w:tr>
      <w:tr w:rsidR="000B6525" w:rsidRPr="00B43C60" w14:paraId="3C293AE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histone H3 deacetylation</w:t>
            </w:r>
          </w:p>
        </w:tc>
      </w:tr>
      <w:tr w:rsidR="000B6525" w:rsidRPr="00B43C60" w14:paraId="14C6ACA2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blood vessel endothelial cell migration</w:t>
            </w:r>
          </w:p>
        </w:tc>
      </w:tr>
      <w:tr w:rsidR="000B6525" w:rsidRPr="00B43C60" w14:paraId="24D9731B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phosphatidylinositol 3-kinase signaling</w:t>
            </w:r>
          </w:p>
        </w:tc>
      </w:tr>
      <w:tr w:rsidR="000B6525" w:rsidRPr="00B43C60" w14:paraId="4521ABC0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nuclear-transcribed mRNA poly(A) tail shortening</w:t>
            </w:r>
          </w:p>
        </w:tc>
      </w:tr>
      <w:tr w:rsidR="000B6525" w:rsidRPr="00B43C60" w14:paraId="37C6AF8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protein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sumoylation</w:t>
            </w:r>
            <w:proofErr w:type="spellEnd"/>
          </w:p>
        </w:tc>
      </w:tr>
      <w:tr w:rsidR="000B6525" w:rsidRPr="00B43C60" w14:paraId="5C48B285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extrinsic apoptotic signaling pathway</w:t>
            </w:r>
          </w:p>
        </w:tc>
      </w:tr>
      <w:tr w:rsidR="000B6525" w:rsidRPr="00B43C60" w14:paraId="6BF5886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replication fork processing</w:t>
            </w:r>
          </w:p>
        </w:tc>
      </w:tr>
      <w:tr w:rsidR="000B6525" w:rsidRPr="00B43C60" w14:paraId="457EF3C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mitotic G2 DNA damage checkpoint signaling</w:t>
            </w:r>
          </w:p>
        </w:tc>
      </w:tr>
      <w:tr w:rsidR="000B6525" w:rsidRPr="00B43C60" w14:paraId="325B8FE2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telomere maintenance via telomerase</w:t>
            </w:r>
          </w:p>
        </w:tc>
      </w:tr>
      <w:tr w:rsidR="000B6525" w:rsidRPr="00B43C60" w14:paraId="7DABA27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UV</w:t>
            </w:r>
          </w:p>
        </w:tc>
      </w:tr>
      <w:tr w:rsidR="000B6525" w:rsidRPr="00B43C60" w14:paraId="3C84DFD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positive regulation of canonical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Wnt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0B6525" w:rsidRPr="00B43C60" w14:paraId="508BF38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autoubiquitination</w:t>
            </w:r>
          </w:p>
        </w:tc>
      </w:tr>
      <w:tr w:rsidR="000B6525" w:rsidRPr="00B43C60" w14:paraId="240A534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localization</w:t>
            </w:r>
          </w:p>
        </w:tc>
      </w:tr>
      <w:tr w:rsidR="000B6525" w:rsidRPr="00B43C60" w14:paraId="3B292DA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pre-miRNA processing</w:t>
            </w:r>
          </w:p>
        </w:tc>
      </w:tr>
      <w:tr w:rsidR="000B6525" w:rsidRPr="00B43C60" w14:paraId="35C8F9E5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A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ventricular cardiac muscle cell action potential</w:t>
            </w:r>
          </w:p>
        </w:tc>
      </w:tr>
      <w:tr w:rsidR="000B6525" w:rsidRPr="00B43C60" w14:paraId="7A278FB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microtubule polymerization</w:t>
            </w:r>
          </w:p>
        </w:tc>
      </w:tr>
      <w:tr w:rsidR="000B6525" w:rsidRPr="00B43C60" w14:paraId="5AC080C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amyloid fibril formation</w:t>
            </w:r>
          </w:p>
        </w:tc>
      </w:tr>
      <w:tr w:rsidR="000B6525" w:rsidRPr="00B43C60" w14:paraId="2618EEF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DNA replication</w:t>
            </w:r>
          </w:p>
        </w:tc>
      </w:tr>
      <w:tr w:rsidR="000B6525" w:rsidRPr="00B43C60" w14:paraId="25954F8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GTPase activity</w:t>
            </w:r>
          </w:p>
        </w:tc>
      </w:tr>
      <w:tr w:rsidR="000B6525" w:rsidRPr="00B43C60" w14:paraId="6C19C6C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interferon-alpha production</w:t>
            </w:r>
          </w:p>
        </w:tc>
      </w:tr>
      <w:tr w:rsidR="000B6525" w:rsidRPr="00B43C60" w14:paraId="33EC02C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androgen receptor signaling pathway</w:t>
            </w:r>
          </w:p>
        </w:tc>
      </w:tr>
      <w:tr w:rsidR="000B6525" w:rsidRPr="00B43C60" w14:paraId="0034875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gene expression</w:t>
            </w:r>
          </w:p>
        </w:tc>
      </w:tr>
      <w:tr w:rsidR="000B6525" w:rsidRPr="00B43C60" w14:paraId="7A3984D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synaptic vesicle endocytosis</w:t>
            </w:r>
          </w:p>
        </w:tc>
      </w:tr>
      <w:tr w:rsidR="000B6525" w:rsidRPr="00B43C60" w14:paraId="0BA9798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microvillus assembly</w:t>
            </w:r>
          </w:p>
        </w:tc>
      </w:tr>
      <w:tr w:rsidR="000B6525" w:rsidRPr="00B43C60" w14:paraId="7FA8276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chromatin organization</w:t>
            </w:r>
          </w:p>
        </w:tc>
      </w:tr>
      <w:tr w:rsidR="000B6525" w:rsidRPr="00B43C60" w14:paraId="70FC81D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glucose import</w:t>
            </w:r>
          </w:p>
        </w:tc>
      </w:tr>
      <w:tr w:rsidR="000B6525" w:rsidRPr="00B43C60" w14:paraId="220D223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DNA replication initiation</w:t>
            </w:r>
          </w:p>
        </w:tc>
      </w:tr>
      <w:tr w:rsidR="000B6525" w:rsidRPr="00B43C60" w14:paraId="6CE76CF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insulin-like growth factor receptor signaling pathway</w:t>
            </w:r>
          </w:p>
        </w:tc>
      </w:tr>
      <w:tr w:rsidR="000B6525" w:rsidRPr="00B43C60" w14:paraId="054CA577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DNA-binding transcription factor activity</w:t>
            </w:r>
          </w:p>
        </w:tc>
      </w:tr>
      <w:tr w:rsidR="000B6525" w:rsidRPr="00B43C60" w14:paraId="6874766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heart rate by cardiac conduction</w:t>
            </w:r>
          </w:p>
        </w:tc>
      </w:tr>
      <w:tr w:rsidR="000B6525" w:rsidRPr="00B43C60" w14:paraId="56EF6C1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B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mitotic spindle organization</w:t>
            </w:r>
          </w:p>
        </w:tc>
      </w:tr>
      <w:tr w:rsidR="000B6525" w:rsidRPr="00B43C60" w14:paraId="3A1389CC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intrinsic apoptotic signaling pathway in response to DNA damage by p53 class mediator</w:t>
            </w:r>
          </w:p>
        </w:tc>
      </w:tr>
      <w:tr w:rsidR="000B6525" w:rsidRPr="00B43C60" w14:paraId="1A9A3B3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phosphatidylinositol 3-kinase signaling</w:t>
            </w:r>
          </w:p>
        </w:tc>
      </w:tr>
      <w:tr w:rsidR="000B6525" w:rsidRPr="00B43C60" w14:paraId="29DE7A3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 adhesion</w:t>
            </w:r>
          </w:p>
        </w:tc>
      </w:tr>
      <w:tr w:rsidR="000B6525" w:rsidRPr="00B43C60" w14:paraId="57040DB0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double-strand break repair via nonhomologous end joining</w:t>
            </w:r>
          </w:p>
        </w:tc>
      </w:tr>
      <w:tr w:rsidR="000B6525" w:rsidRPr="00B43C60" w14:paraId="518DF42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integrin-mediated signaling pathway</w:t>
            </w:r>
          </w:p>
        </w:tc>
      </w:tr>
      <w:tr w:rsidR="000B6525" w:rsidRPr="00B43C60" w14:paraId="4DDB4BA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import into nucleus</w:t>
            </w:r>
          </w:p>
        </w:tc>
      </w:tr>
      <w:tr w:rsidR="000B6525" w:rsidRPr="00B43C60" w14:paraId="70F1882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mRNA catabolic process</w:t>
            </w:r>
          </w:p>
        </w:tc>
      </w:tr>
      <w:tr w:rsidR="000B6525" w:rsidRPr="00B43C60" w14:paraId="7D011522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proteasomal ubiquitin-dependent protein catabolic process</w:t>
            </w:r>
          </w:p>
        </w:tc>
      </w:tr>
      <w:tr w:rsidR="000B6525" w:rsidRPr="00B43C60" w14:paraId="2D94B8F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miRNA-mediated gene silencing</w:t>
            </w:r>
          </w:p>
        </w:tc>
      </w:tr>
      <w:tr w:rsidR="000B6525" w:rsidRPr="00B43C60" w14:paraId="3D884F5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mitotic spindle assembly checkpoint signaling</w:t>
            </w:r>
          </w:p>
        </w:tc>
      </w:tr>
      <w:tr w:rsidR="000B6525" w:rsidRPr="00B43C60" w14:paraId="3159A41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negative regulation of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anoikis</w:t>
            </w:r>
            <w:proofErr w:type="spellEnd"/>
          </w:p>
        </w:tc>
      </w:tr>
      <w:tr w:rsidR="000B6525" w:rsidRPr="00B43C60" w14:paraId="56F9B3A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negative regulation of stress fiber assembly</w:t>
            </w:r>
          </w:p>
        </w:tc>
      </w:tr>
      <w:tr w:rsidR="000B6525" w:rsidRPr="00B43C60" w14:paraId="446D82E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viral genome replication</w:t>
            </w:r>
          </w:p>
        </w:tc>
      </w:tr>
      <w:tr w:rsidR="000B6525" w:rsidRPr="00B43C60" w14:paraId="3842C59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isotype switching</w:t>
            </w:r>
          </w:p>
        </w:tc>
      </w:tr>
      <w:tr w:rsidR="000B6525" w:rsidRPr="00B43C60" w14:paraId="74A2C8C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K63-linked ubiquitination</w:t>
            </w:r>
          </w:p>
        </w:tc>
      </w:tr>
      <w:tr w:rsidR="000B6525" w:rsidRPr="00B43C60" w14:paraId="23FD90D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C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destabilization</w:t>
            </w:r>
          </w:p>
        </w:tc>
      </w:tr>
      <w:tr w:rsidR="000B6525" w:rsidRPr="00B43C60" w14:paraId="51A9C55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lipid biosynthetic process</w:t>
            </w:r>
          </w:p>
        </w:tc>
      </w:tr>
      <w:tr w:rsidR="000B6525" w:rsidRPr="00B43C60" w14:paraId="7904A0E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lamellipodium assembly</w:t>
            </w:r>
          </w:p>
        </w:tc>
      </w:tr>
      <w:tr w:rsidR="000B6525" w:rsidRPr="00B43C60" w14:paraId="419C9E6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cytoplasmic translation</w:t>
            </w:r>
          </w:p>
        </w:tc>
      </w:tr>
      <w:tr w:rsidR="000B6525" w:rsidRPr="00B43C60" w14:paraId="30756D9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endoplasmic reticulum organization</w:t>
            </w:r>
          </w:p>
        </w:tc>
      </w:tr>
      <w:tr w:rsidR="000B6525" w:rsidRPr="00B43C60" w14:paraId="23FB39F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autophagosome maturation</w:t>
            </w:r>
          </w:p>
        </w:tc>
      </w:tr>
      <w:tr w:rsidR="000B6525" w:rsidRPr="00B43C60" w14:paraId="77EA8978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I-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kinase/NF-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signaling</w:t>
            </w:r>
          </w:p>
        </w:tc>
      </w:tr>
      <w:tr w:rsidR="000B6525" w:rsidRPr="00B43C60" w14:paraId="7BA8C64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interleukin-1-mediated signaling pathway</w:t>
            </w:r>
          </w:p>
        </w:tc>
      </w:tr>
      <w:tr w:rsidR="000B6525" w:rsidRPr="00B43C60" w14:paraId="14CAFA5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hematopoietic stem cell differentiation</w:t>
            </w:r>
          </w:p>
        </w:tc>
      </w:tr>
      <w:tr w:rsidR="000B6525" w:rsidRPr="00B43C60" w14:paraId="49F2BB2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telomere maintenance</w:t>
            </w:r>
          </w:p>
        </w:tc>
      </w:tr>
      <w:tr w:rsidR="000B6525" w:rsidRPr="00B43C60" w14:paraId="00021E4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mitotic cell cycle</w:t>
            </w:r>
          </w:p>
        </w:tc>
      </w:tr>
      <w:tr w:rsidR="000B6525" w:rsidRPr="00B43C60" w14:paraId="6C4F9D12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transcription elongation by RNA polymerase II</w:t>
            </w:r>
          </w:p>
        </w:tc>
      </w:tr>
      <w:tr w:rsidR="000B6525" w:rsidRPr="00B43C60" w14:paraId="4549A63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cilium assembly</w:t>
            </w:r>
          </w:p>
        </w:tc>
      </w:tr>
      <w:tr w:rsidR="000B6525" w:rsidRPr="00B43C60" w14:paraId="357B4CC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microtubule depolymerization</w:t>
            </w:r>
          </w:p>
        </w:tc>
      </w:tr>
      <w:tr w:rsidR="000B6525" w:rsidRPr="00B43C60" w14:paraId="563C2C6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dephosphorylation</w:t>
            </w:r>
          </w:p>
        </w:tc>
      </w:tr>
      <w:tr w:rsidR="000B6525" w:rsidRPr="00B43C60" w14:paraId="5D7F5BC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UV</w:t>
            </w:r>
          </w:p>
        </w:tc>
      </w:tr>
      <w:tr w:rsidR="000B6525" w:rsidRPr="00B43C60" w14:paraId="79F0D9A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D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clathrin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-dependent endocytosis</w:t>
            </w:r>
          </w:p>
        </w:tc>
      </w:tr>
      <w:tr w:rsidR="000B6525" w:rsidRPr="00B43C60" w14:paraId="27D9C46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MAPK cascade</w:t>
            </w:r>
          </w:p>
        </w:tc>
      </w:tr>
      <w:tr w:rsidR="000B6525" w:rsidRPr="00B43C60" w14:paraId="684FEE2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miRNA transcription</w:t>
            </w:r>
          </w:p>
        </w:tc>
      </w:tr>
      <w:tr w:rsidR="000B6525" w:rsidRPr="00B43C60" w14:paraId="5D6FD5A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stimulatory C-type lectin receptor signaling pathway</w:t>
            </w:r>
          </w:p>
        </w:tc>
      </w:tr>
      <w:tr w:rsidR="000B6525" w:rsidRPr="00B43C60" w14:paraId="2664948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lipopolysaccharide</w:t>
            </w:r>
          </w:p>
        </w:tc>
      </w:tr>
      <w:tr w:rsidR="000B6525" w:rsidRPr="00B43C60" w14:paraId="7BA2DA9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protein ubiquitination</w:t>
            </w:r>
          </w:p>
        </w:tc>
      </w:tr>
      <w:tr w:rsidR="000B6525" w:rsidRPr="00B43C60" w14:paraId="31A944C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amino acid starvation</w:t>
            </w:r>
          </w:p>
        </w:tc>
      </w:tr>
      <w:tr w:rsidR="000B6525" w:rsidRPr="00B43C60" w14:paraId="45C133E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estrogen</w:t>
            </w:r>
          </w:p>
        </w:tc>
      </w:tr>
      <w:tr w:rsidR="000B6525" w:rsidRPr="00B43C60" w14:paraId="1FF01C8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embryonic development</w:t>
            </w:r>
          </w:p>
        </w:tc>
      </w:tr>
      <w:tr w:rsidR="000B6525" w:rsidRPr="00B43C60" w14:paraId="5984109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glucose homeostasis</w:t>
            </w:r>
          </w:p>
        </w:tc>
      </w:tr>
      <w:tr w:rsidR="000B6525" w:rsidRPr="00B43C60" w14:paraId="3A7D094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ubiquitin-dependent ERAD pathway</w:t>
            </w:r>
          </w:p>
        </w:tc>
      </w:tr>
      <w:tr w:rsidR="000B6525" w:rsidRPr="00B43C60" w14:paraId="69D9F13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regulation of DNA strand elongation</w:t>
            </w:r>
          </w:p>
        </w:tc>
      </w:tr>
      <w:tr w:rsidR="000B6525" w:rsidRPr="00B43C60" w14:paraId="69088215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 localization to plasma membrane</w:t>
            </w:r>
          </w:p>
        </w:tc>
      </w:tr>
      <w:tr w:rsidR="000B6525" w:rsidRPr="00B43C60" w14:paraId="06734011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nuclear-transcribed mRNA catabolic process, nonsense-mediated decay</w:t>
            </w:r>
          </w:p>
        </w:tc>
      </w:tr>
      <w:tr w:rsidR="000B6525" w:rsidRPr="00B43C60" w14:paraId="0E6D76E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Golgi to endosome transport</w:t>
            </w:r>
          </w:p>
        </w:tc>
      </w:tr>
      <w:tr w:rsidR="000B6525" w:rsidRPr="00B43C60" w14:paraId="1876AA7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starvation</w:t>
            </w:r>
          </w:p>
        </w:tc>
      </w:tr>
      <w:tr w:rsidR="000B6525" w:rsidRPr="00B43C60" w14:paraId="1B76ACC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E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Notch signaling pathway</w:t>
            </w:r>
          </w:p>
        </w:tc>
      </w:tr>
      <w:tr w:rsidR="000B6525" w:rsidRPr="00B43C60" w14:paraId="32CF8A2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3'-UTR-mediated mRNA destabilization</w:t>
            </w:r>
          </w:p>
        </w:tc>
      </w:tr>
      <w:tr w:rsidR="000B6525" w:rsidRPr="00B43C60" w14:paraId="5EF348DD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transforming growth factor beta receptor signaling pathway</w:t>
            </w:r>
          </w:p>
        </w:tc>
      </w:tr>
      <w:tr w:rsidR="000B6525" w:rsidRPr="00B43C60" w14:paraId="363F328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histone H3-K4 methylation</w:t>
            </w:r>
          </w:p>
        </w:tc>
      </w:tr>
      <w:tr w:rsidR="000B6525" w:rsidRPr="00B43C60" w14:paraId="31835D7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B cell receptor signaling pathway</w:t>
            </w:r>
          </w:p>
        </w:tc>
      </w:tr>
      <w:tr w:rsidR="000B6525" w:rsidRPr="00B43C60" w14:paraId="17A6271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mitotic cell cycle</w:t>
            </w:r>
          </w:p>
        </w:tc>
      </w:tr>
      <w:tr w:rsidR="000B6525" w:rsidRPr="00B43C60" w14:paraId="5C36EE1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cholesterol biosynthetic process</w:t>
            </w:r>
          </w:p>
        </w:tc>
      </w:tr>
      <w:tr w:rsidR="000B6525" w:rsidRPr="00B43C60" w14:paraId="42595D9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gamma radiation</w:t>
            </w:r>
          </w:p>
        </w:tc>
      </w:tr>
      <w:tr w:rsidR="000B6525" w:rsidRPr="00B43C60" w14:paraId="79687D9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apoptotic process</w:t>
            </w:r>
          </w:p>
        </w:tc>
      </w:tr>
      <w:tr w:rsidR="000B6525" w:rsidRPr="00B43C60" w14:paraId="38A7D15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SMAD protein signal transduction</w:t>
            </w:r>
          </w:p>
        </w:tc>
      </w:tr>
      <w:tr w:rsidR="000B6525" w:rsidRPr="00B43C60" w14:paraId="1917DB3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 adhesion mediated by integrin</w:t>
            </w:r>
          </w:p>
        </w:tc>
      </w:tr>
      <w:tr w:rsidR="000B6525" w:rsidRPr="00B43C60" w14:paraId="4340AAB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ion transmembrane transport</w:t>
            </w:r>
          </w:p>
        </w:tc>
      </w:tr>
      <w:tr w:rsidR="000B6525" w:rsidRPr="00B43C60" w14:paraId="22E0EB2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transcription initiation at RNA polymerase II promoter</w:t>
            </w:r>
          </w:p>
        </w:tc>
      </w:tr>
      <w:tr w:rsidR="000B6525" w:rsidRPr="00B43C60" w14:paraId="29A9AFA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epithelial cell migration</w:t>
            </w:r>
          </w:p>
        </w:tc>
      </w:tr>
      <w:tr w:rsidR="000B6525" w:rsidRPr="00B43C60" w14:paraId="6DC5536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chromosome organization</w:t>
            </w:r>
          </w:p>
        </w:tc>
      </w:tr>
      <w:tr w:rsidR="000B6525" w:rsidRPr="00B43C60" w14:paraId="461D1179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epithelial to mesenchymal transition</w:t>
            </w:r>
          </w:p>
        </w:tc>
      </w:tr>
      <w:tr w:rsidR="000B6525" w:rsidRPr="00B43C60" w14:paraId="6434296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F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apoptotic process</w:t>
            </w:r>
          </w:p>
        </w:tc>
      </w:tr>
      <w:tr w:rsidR="000B6525" w:rsidRPr="00B43C60" w14:paraId="4024EAB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senescence</w:t>
            </w:r>
          </w:p>
        </w:tc>
      </w:tr>
      <w:tr w:rsidR="000B6525" w:rsidRPr="00B43C60" w14:paraId="634E802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mitochondrion organization</w:t>
            </w:r>
          </w:p>
        </w:tc>
      </w:tr>
      <w:tr w:rsidR="000B6525" w:rsidRPr="00B43C60" w14:paraId="5597E93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cell growth</w:t>
            </w:r>
          </w:p>
        </w:tc>
      </w:tr>
      <w:tr w:rsidR="000B6525" w:rsidRPr="00B43C60" w14:paraId="3FDA6C3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intracellular protein transport</w:t>
            </w:r>
          </w:p>
        </w:tc>
      </w:tr>
      <w:tr w:rsidR="000B6525" w:rsidRPr="00B43C60" w14:paraId="3975A11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protein-containing complex assembly</w:t>
            </w:r>
          </w:p>
        </w:tc>
      </w:tr>
      <w:tr w:rsidR="000B6525" w:rsidRPr="00B43C60" w14:paraId="70B2C56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spliceosomal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complex assembly</w:t>
            </w:r>
          </w:p>
        </w:tc>
      </w:tr>
      <w:tr w:rsidR="000B6525" w:rsidRPr="00B43C60" w14:paraId="154BE18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interferon-beta production</w:t>
            </w:r>
          </w:p>
        </w:tc>
      </w:tr>
      <w:tr w:rsidR="000B6525" w:rsidRPr="00B43C60" w14:paraId="1B17BB1B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vascular endothelial growth factor receptor signaling pathway</w:t>
            </w:r>
          </w:p>
        </w:tc>
      </w:tr>
      <w:tr w:rsidR="000B6525" w:rsidRPr="00B43C60" w14:paraId="7871C41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positive regulation of angiogenesis</w:t>
            </w:r>
          </w:p>
        </w:tc>
      </w:tr>
      <w:tr w:rsidR="000B6525" w:rsidRPr="00B43C60" w14:paraId="3F7C728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interleukin-1</w:t>
            </w:r>
          </w:p>
        </w:tc>
      </w:tr>
      <w:tr w:rsidR="000B6525" w:rsidRPr="00B43C60" w14:paraId="2443A77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 kinase activity</w:t>
            </w:r>
          </w:p>
        </w:tc>
      </w:tr>
      <w:tr w:rsidR="000B6525" w:rsidRPr="00B43C60" w14:paraId="527BB5E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maintenance of protein location in nucleus</w:t>
            </w:r>
          </w:p>
        </w:tc>
      </w:tr>
      <w:tr w:rsidR="000B6525" w:rsidRPr="00B43C60" w14:paraId="6EFE319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post-Golgi vesicle-mediated transport</w:t>
            </w:r>
          </w:p>
        </w:tc>
      </w:tr>
      <w:tr w:rsidR="000B6525" w:rsidRPr="00B43C60" w14:paraId="28C0489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RNA splicing</w:t>
            </w:r>
          </w:p>
        </w:tc>
      </w:tr>
      <w:tr w:rsidR="000B6525" w:rsidRPr="00B43C60" w14:paraId="73ACA1D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negative regulation of canonical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Wnt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0B6525" w:rsidRPr="00B43C60" w14:paraId="40C993A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0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peptidyl-tyrosine phosphorylation</w:t>
            </w:r>
          </w:p>
        </w:tc>
      </w:tr>
      <w:tr w:rsidR="000B6525" w:rsidRPr="00B43C60" w14:paraId="1032C39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hypoxia</w:t>
            </w:r>
          </w:p>
        </w:tc>
      </w:tr>
      <w:tr w:rsidR="000B6525" w:rsidRPr="00B43C60" w14:paraId="068641B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tubulin deacetylation</w:t>
            </w:r>
          </w:p>
        </w:tc>
      </w:tr>
      <w:tr w:rsidR="000B6525" w:rsidRPr="00B43C60" w14:paraId="6794A6E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cytoskeleton organization</w:t>
            </w:r>
          </w:p>
        </w:tc>
      </w:tr>
      <w:tr w:rsidR="000B6525" w:rsidRPr="00B43C60" w14:paraId="4CD300E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sister chromatid cohesion</w:t>
            </w:r>
          </w:p>
        </w:tc>
      </w:tr>
      <w:tr w:rsidR="000B6525" w:rsidRPr="00B43C60" w14:paraId="55D728E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mitotic cell cycle</w:t>
            </w:r>
          </w:p>
        </w:tc>
      </w:tr>
      <w:tr w:rsidR="000B6525" w:rsidRPr="00B43C60" w14:paraId="3A486D6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monoubiquitinated histone H2A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deubiquitination</w:t>
            </w:r>
            <w:proofErr w:type="spellEnd"/>
          </w:p>
        </w:tc>
      </w:tr>
      <w:tr w:rsidR="000B6525" w:rsidRPr="00B43C60" w14:paraId="079AA3B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RNA splicing</w:t>
            </w:r>
          </w:p>
        </w:tc>
      </w:tr>
      <w:tr w:rsidR="000B6525" w:rsidRPr="00B43C60" w14:paraId="5287C1B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Ras protein signal transduction</w:t>
            </w:r>
          </w:p>
        </w:tc>
      </w:tr>
      <w:tr w:rsidR="000B6525" w:rsidRPr="00B43C60" w14:paraId="3D1FEE63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double-strand break repair via nonhomologous end joining</w:t>
            </w:r>
          </w:p>
        </w:tc>
      </w:tr>
      <w:tr w:rsidR="000B6525" w:rsidRPr="00B43C60" w14:paraId="0D09226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SMAD protein signal transduction</w:t>
            </w:r>
          </w:p>
        </w:tc>
      </w:tr>
      <w:tr w:rsidR="000B6525" w:rsidRPr="00B43C60" w14:paraId="327AC75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tumor necrosis factor</w:t>
            </w:r>
          </w:p>
        </w:tc>
      </w:tr>
      <w:tr w:rsidR="000B6525" w:rsidRPr="00B43C60" w14:paraId="2B3DB48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monoubiquitinated histone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deubiquitination</w:t>
            </w:r>
            <w:proofErr w:type="spellEnd"/>
          </w:p>
        </w:tc>
      </w:tr>
      <w:tr w:rsidR="000B6525" w:rsidRPr="00B43C60" w14:paraId="7943CF7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localization to chromatin</w:t>
            </w:r>
          </w:p>
        </w:tc>
      </w:tr>
      <w:tr w:rsidR="000B6525" w:rsidRPr="00B43C60" w14:paraId="397C324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peptidyl-serine phosphorylation</w:t>
            </w:r>
          </w:p>
        </w:tc>
      </w:tr>
      <w:tr w:rsidR="000B6525" w:rsidRPr="00B43C60" w14:paraId="6CA17A1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circadian rhythm</w:t>
            </w:r>
          </w:p>
        </w:tc>
      </w:tr>
      <w:tr w:rsidR="000B6525" w:rsidRPr="00B43C60" w14:paraId="09D5122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1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histone modification</w:t>
            </w:r>
          </w:p>
        </w:tc>
      </w:tr>
      <w:tr w:rsidR="000B6525" w:rsidRPr="00B43C60" w14:paraId="4E2647B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peptidyl-tyrosine dephosphorylation</w:t>
            </w:r>
          </w:p>
        </w:tc>
      </w:tr>
      <w:tr w:rsidR="000B6525" w:rsidRPr="00B43C60" w14:paraId="2D99563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 phosphorylation</w:t>
            </w:r>
          </w:p>
        </w:tc>
      </w:tr>
      <w:tr w:rsidR="000B6525" w:rsidRPr="00B43C60" w14:paraId="6E8DAB6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rRNA processing</w:t>
            </w:r>
          </w:p>
        </w:tc>
      </w:tr>
      <w:tr w:rsidR="000B6525" w:rsidRPr="00B43C60" w14:paraId="4BF4D745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tumor necrosis factor-mediated signaling pathway</w:t>
            </w:r>
          </w:p>
        </w:tc>
      </w:tr>
      <w:tr w:rsidR="000B6525" w:rsidRPr="00B43C60" w14:paraId="0AF357E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epithelial to mesenchymal transition</w:t>
            </w:r>
          </w:p>
        </w:tc>
      </w:tr>
      <w:tr w:rsidR="000B6525" w:rsidRPr="00B43C60" w14:paraId="347FC04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RIG-I signaling pathway</w:t>
            </w:r>
          </w:p>
        </w:tc>
      </w:tr>
      <w:tr w:rsidR="000B6525" w:rsidRPr="00B43C60" w14:paraId="23FF9C8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heterochromatin formation</w:t>
            </w:r>
          </w:p>
        </w:tc>
      </w:tr>
      <w:tr w:rsidR="000B6525" w:rsidRPr="00B43C60" w14:paraId="2025179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lymphangiogenesis</w:t>
            </w:r>
            <w:proofErr w:type="spellEnd"/>
          </w:p>
        </w:tc>
      </w:tr>
      <w:tr w:rsidR="000B6525" w:rsidRPr="00B43C60" w14:paraId="4A063A2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centriole-centriole cohesion</w:t>
            </w:r>
          </w:p>
        </w:tc>
      </w:tr>
      <w:tr w:rsidR="000B6525" w:rsidRPr="00B43C60" w14:paraId="6BF16BD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vesicle-mediated transport</w:t>
            </w:r>
          </w:p>
        </w:tc>
      </w:tr>
      <w:tr w:rsidR="000B6525" w:rsidRPr="00B43C60" w14:paraId="27C20A9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virus</w:t>
            </w:r>
          </w:p>
        </w:tc>
      </w:tr>
      <w:tr w:rsidR="000B6525" w:rsidRPr="00B43C60" w14:paraId="5A1E133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bone mineralization</w:t>
            </w:r>
          </w:p>
        </w:tc>
      </w:tr>
      <w:tr w:rsidR="000B6525" w:rsidRPr="00B43C60" w14:paraId="4ED3C0D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endocytosis</w:t>
            </w:r>
          </w:p>
        </w:tc>
      </w:tr>
      <w:tr w:rsidR="000B6525" w:rsidRPr="00B43C60" w14:paraId="2C9A5AEA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ubiquitin-protein transferase activity</w:t>
            </w:r>
          </w:p>
        </w:tc>
      </w:tr>
      <w:tr w:rsidR="000B6525" w:rsidRPr="00B43C60" w14:paraId="389E962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 binding</w:t>
            </w:r>
          </w:p>
        </w:tc>
      </w:tr>
      <w:tr w:rsidR="000B6525" w:rsidRPr="00B43C60" w14:paraId="36F42E0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2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lysosome organization</w:t>
            </w:r>
          </w:p>
        </w:tc>
      </w:tr>
      <w:tr w:rsidR="000B6525" w:rsidRPr="00B43C60" w14:paraId="509617F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glycolytic process</w:t>
            </w:r>
          </w:p>
        </w:tc>
      </w:tr>
      <w:tr w:rsidR="000B6525" w:rsidRPr="00B43C60" w14:paraId="2922F1C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androgen receptor signaling pathway</w:t>
            </w:r>
          </w:p>
        </w:tc>
      </w:tr>
      <w:tr w:rsidR="000B6525" w:rsidRPr="00B43C60" w14:paraId="3CA2CB0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epithelial to mesenchymal transition</w:t>
            </w:r>
          </w:p>
        </w:tc>
      </w:tr>
      <w:tr w:rsidR="000B6525" w:rsidRPr="00B43C60" w14:paraId="4C53433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filopodium assembly</w:t>
            </w:r>
          </w:p>
        </w:tc>
      </w:tr>
      <w:tr w:rsidR="000B6525" w:rsidRPr="00B43C60" w14:paraId="3146DBB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glucose starvation</w:t>
            </w:r>
          </w:p>
        </w:tc>
      </w:tr>
      <w:tr w:rsidR="000B6525" w:rsidRPr="00B43C60" w14:paraId="0666E40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macroautophagy</w:t>
            </w:r>
            <w:proofErr w:type="spellEnd"/>
          </w:p>
        </w:tc>
      </w:tr>
      <w:tr w:rsidR="000B6525" w:rsidRPr="00B43C60" w14:paraId="34479CE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microtubule nucleation</w:t>
            </w:r>
          </w:p>
        </w:tc>
      </w:tr>
      <w:tr w:rsidR="000B6525" w:rsidRPr="00B43C60" w14:paraId="3A5AAC5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establishment of protein localization</w:t>
            </w:r>
          </w:p>
        </w:tc>
      </w:tr>
      <w:tr w:rsidR="000B6525" w:rsidRPr="00B43C60" w14:paraId="4391A94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auto-ADP-ribosylation</w:t>
            </w:r>
          </w:p>
        </w:tc>
      </w:tr>
      <w:tr w:rsidR="000B6525" w:rsidRPr="00B43C60" w14:paraId="4618847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mitochondrion morphogenesis</w:t>
            </w:r>
          </w:p>
        </w:tc>
      </w:tr>
      <w:tr w:rsidR="000B6525" w:rsidRPr="00B43C60" w14:paraId="359F1B2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calcium ion transmembrane transport</w:t>
            </w:r>
          </w:p>
        </w:tc>
      </w:tr>
      <w:tr w:rsidR="000B6525" w:rsidRPr="00B43C60" w14:paraId="33E28BE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mitotic metaphase plate congression</w:t>
            </w:r>
          </w:p>
        </w:tc>
      </w:tr>
      <w:tr w:rsidR="000B6525" w:rsidRPr="00B43C60" w14:paraId="151DEEB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dendrite morphogenesis</w:t>
            </w:r>
          </w:p>
        </w:tc>
      </w:tr>
      <w:tr w:rsidR="000B6525" w:rsidRPr="00B43C60" w14:paraId="385CAFFD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double-strand break repair via homologous recombination</w:t>
            </w:r>
          </w:p>
        </w:tc>
      </w:tr>
      <w:tr w:rsidR="000B6525" w:rsidRPr="00B43C60" w14:paraId="56D842E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activation of innate immune response</w:t>
            </w:r>
          </w:p>
        </w:tc>
      </w:tr>
      <w:tr w:rsidR="000B6525" w:rsidRPr="00B43C60" w14:paraId="418B17B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3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 cell chemotaxis</w:t>
            </w:r>
          </w:p>
        </w:tc>
      </w:tr>
      <w:tr w:rsidR="000B6525" w:rsidRPr="00B43C60" w14:paraId="1018CC9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nucleosome disassembly</w:t>
            </w:r>
          </w:p>
        </w:tc>
      </w:tr>
      <w:tr w:rsidR="000B6525" w:rsidRPr="00B43C60" w14:paraId="226DE79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transcription by RNA polymerase II</w:t>
            </w:r>
          </w:p>
        </w:tc>
      </w:tr>
      <w:tr w:rsidR="000B6525" w:rsidRPr="00B43C60" w14:paraId="6D5B70A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glucocorticoid stimulus</w:t>
            </w:r>
          </w:p>
        </w:tc>
      </w:tr>
      <w:tr w:rsidR="000B6525" w:rsidRPr="00B43C60" w14:paraId="67FE028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DNA recombination</w:t>
            </w:r>
          </w:p>
        </w:tc>
      </w:tr>
      <w:tr w:rsidR="000B6525" w:rsidRPr="00B43C60" w14:paraId="16B4982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defense response to virus</w:t>
            </w:r>
          </w:p>
        </w:tc>
      </w:tr>
      <w:tr w:rsidR="000B6525" w:rsidRPr="00B43C60" w14:paraId="293D6A68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translational initiation</w:t>
            </w:r>
          </w:p>
        </w:tc>
      </w:tr>
      <w:tr w:rsidR="000B6525" w:rsidRPr="00B43C60" w14:paraId="3427DCA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regulation of innate immune response</w:t>
            </w:r>
          </w:p>
        </w:tc>
      </w:tr>
      <w:tr w:rsidR="000B6525" w:rsidRPr="00B43C60" w14:paraId="784856A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bile acid biosynthetic process</w:t>
            </w:r>
          </w:p>
        </w:tc>
      </w:tr>
      <w:tr w:rsidR="000B6525" w:rsidRPr="00B43C60" w14:paraId="0A30D45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chloride transmembrane transport</w:t>
            </w:r>
          </w:p>
        </w:tc>
      </w:tr>
      <w:tr w:rsidR="000B6525" w:rsidRPr="00B43C60" w14:paraId="0E4E730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ribosome biogenesis</w:t>
            </w:r>
          </w:p>
        </w:tc>
      </w:tr>
      <w:tr w:rsidR="000B6525" w:rsidRPr="00B43C60" w14:paraId="729EDB0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mitochondrial fission</w:t>
            </w:r>
          </w:p>
        </w:tc>
      </w:tr>
      <w:tr w:rsidR="000B6525" w:rsidRPr="00B43C60" w14:paraId="5346A54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microtubule cytoskeleton organization</w:t>
            </w:r>
          </w:p>
        </w:tc>
      </w:tr>
      <w:tr w:rsidR="000B6525" w:rsidRPr="00B43C60" w14:paraId="583FF5C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exonucleolytic catabolism of deadenylated mRNA</w:t>
            </w:r>
          </w:p>
        </w:tc>
      </w:tr>
      <w:tr w:rsidR="000B6525" w:rsidRPr="00B43C60" w14:paraId="28C5A53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 cell cytokine production</w:t>
            </w:r>
          </w:p>
        </w:tc>
      </w:tr>
      <w:tr w:rsidR="000B6525" w:rsidRPr="00B43C60" w14:paraId="416036D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cell adhesion</w:t>
            </w:r>
          </w:p>
        </w:tc>
      </w:tr>
      <w:tr w:rsidR="000B6525" w:rsidRPr="00B43C60" w14:paraId="2324228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4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mRNA splicing, via spliceosome</w:t>
            </w:r>
          </w:p>
        </w:tc>
      </w:tr>
      <w:tr w:rsidR="000B6525" w:rsidRPr="00B43C60" w14:paraId="3C4E7CA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translation</w:t>
            </w:r>
          </w:p>
        </w:tc>
      </w:tr>
      <w:tr w:rsidR="000B6525" w:rsidRPr="00B43C60" w14:paraId="2A0FD43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nucleocytoplasmic transport</w:t>
            </w:r>
          </w:p>
        </w:tc>
      </w:tr>
      <w:tr w:rsidR="000B6525" w:rsidRPr="00B43C60" w14:paraId="3C4C8CB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circadian rhythm</w:t>
            </w:r>
          </w:p>
        </w:tc>
      </w:tr>
      <w:tr w:rsidR="000B6525" w:rsidRPr="00B43C60" w14:paraId="5FBECFF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miRNA-mediated gene silencing</w:t>
            </w:r>
          </w:p>
        </w:tc>
      </w:tr>
      <w:tr w:rsidR="000B6525" w:rsidRPr="00B43C60" w14:paraId="363D639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exogenous dsRNA</w:t>
            </w:r>
          </w:p>
        </w:tc>
      </w:tr>
      <w:tr w:rsidR="000B6525" w:rsidRPr="00B43C60" w14:paraId="6C22736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base-excision repair</w:t>
            </w:r>
          </w:p>
        </w:tc>
      </w:tr>
      <w:tr w:rsidR="000B6525" w:rsidRPr="00B43C60" w14:paraId="00B2A85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endoplasmic reticulum stress</w:t>
            </w:r>
          </w:p>
        </w:tc>
      </w:tr>
      <w:tr w:rsidR="000B6525" w:rsidRPr="00B43C60" w14:paraId="60F1BF31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intracellular estrogen receptor signaling pathway</w:t>
            </w:r>
          </w:p>
        </w:tc>
      </w:tr>
      <w:tr w:rsidR="000B6525" w:rsidRPr="00B43C60" w14:paraId="3540989D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NLRP3 inflammasome complex assembly</w:t>
            </w:r>
          </w:p>
        </w:tc>
      </w:tr>
      <w:tr w:rsidR="000B6525" w:rsidRPr="00B43C60" w14:paraId="0A2B8DD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chromatin organization</w:t>
            </w:r>
          </w:p>
        </w:tc>
      </w:tr>
      <w:tr w:rsidR="000B6525" w:rsidRPr="00B43C60" w14:paraId="43EE0E0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ventricular septum morphogenesis</w:t>
            </w:r>
          </w:p>
        </w:tc>
      </w:tr>
      <w:tr w:rsidR="000B6525" w:rsidRPr="00B43C60" w14:paraId="1E9E26D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receptor internalization</w:t>
            </w:r>
          </w:p>
        </w:tc>
      </w:tr>
      <w:tr w:rsidR="000B6525" w:rsidRPr="00B43C60" w14:paraId="34442A2B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G1/S transition of mitotic cell cycle</w:t>
            </w:r>
          </w:p>
        </w:tc>
      </w:tr>
      <w:tr w:rsidR="000B6525" w:rsidRPr="00B43C60" w14:paraId="3612925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focal adhesion assembly</w:t>
            </w:r>
          </w:p>
        </w:tc>
      </w:tr>
      <w:tr w:rsidR="000B6525" w:rsidRPr="00B43C60" w14:paraId="01849123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transforming growth factor beta receptor signaling pathway</w:t>
            </w:r>
          </w:p>
        </w:tc>
      </w:tr>
      <w:tr w:rsidR="000B6525" w:rsidRPr="00B43C60" w14:paraId="55C09F6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5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establishment of endothelial intestinal barrier</w:t>
            </w:r>
          </w:p>
        </w:tc>
      </w:tr>
      <w:tr w:rsidR="000B6525" w:rsidRPr="00B43C60" w14:paraId="59B08C1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type I interferon production</w:t>
            </w:r>
          </w:p>
        </w:tc>
      </w:tr>
      <w:tr w:rsidR="000B6525" w:rsidRPr="00B43C60" w14:paraId="64FB007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mitotic spindle assembly</w:t>
            </w:r>
          </w:p>
        </w:tc>
      </w:tr>
      <w:tr w:rsidR="000B6525" w:rsidRPr="00B43C60" w14:paraId="0C4E5C6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autophagy of mitochondrion</w:t>
            </w:r>
          </w:p>
        </w:tc>
      </w:tr>
      <w:tr w:rsidR="000B6525" w:rsidRPr="00B43C60" w14:paraId="353ACC1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primary miRNA processing</w:t>
            </w:r>
          </w:p>
        </w:tc>
      </w:tr>
      <w:tr w:rsidR="000B6525" w:rsidRPr="00B43C60" w14:paraId="2BB4091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fat cell differentiation</w:t>
            </w:r>
          </w:p>
        </w:tc>
      </w:tr>
      <w:tr w:rsidR="000B6525" w:rsidRPr="00B43C60" w14:paraId="34CE5BF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chemokine</w:t>
            </w:r>
          </w:p>
        </w:tc>
      </w:tr>
      <w:tr w:rsidR="000B6525" w:rsidRPr="00B43C60" w14:paraId="6BAA5EE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erythrocyte differentiation</w:t>
            </w:r>
          </w:p>
        </w:tc>
      </w:tr>
      <w:tr w:rsidR="000B6525" w:rsidRPr="00B43C60" w14:paraId="0206C34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viral genome replication</w:t>
            </w:r>
          </w:p>
        </w:tc>
      </w:tr>
      <w:tr w:rsidR="000B6525" w:rsidRPr="00B43C60" w14:paraId="587DE656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pathway-restricted SMAD protein phosphorylation</w:t>
            </w:r>
          </w:p>
        </w:tc>
      </w:tr>
      <w:tr w:rsidR="000B6525" w:rsidRPr="00B43C60" w14:paraId="70FA5AE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CRD-mediated mRNA stabilization</w:t>
            </w:r>
          </w:p>
        </w:tc>
      </w:tr>
      <w:tr w:rsidR="000B6525" w:rsidRPr="00B43C60" w14:paraId="4F7DD20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Golgi organization</w:t>
            </w:r>
          </w:p>
        </w:tc>
      </w:tr>
      <w:tr w:rsidR="000B6525" w:rsidRPr="00B43C60" w14:paraId="28EEC09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positive regulation of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Wnt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0B6525" w:rsidRPr="00B43C60" w14:paraId="6A5F323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virus</w:t>
            </w:r>
          </w:p>
        </w:tc>
      </w:tr>
      <w:tr w:rsidR="000B6525" w:rsidRPr="00B43C60" w14:paraId="6116BEF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NIK/NF-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signaling</w:t>
            </w:r>
          </w:p>
        </w:tc>
      </w:tr>
      <w:tr w:rsidR="000B6525" w:rsidRPr="00B43C60" w14:paraId="40A84EF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autophagy</w:t>
            </w:r>
          </w:p>
        </w:tc>
      </w:tr>
      <w:tr w:rsidR="000B6525" w:rsidRPr="00B43C60" w14:paraId="13EB0A2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6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JNK cascade</w:t>
            </w:r>
          </w:p>
        </w:tc>
      </w:tr>
      <w:tr w:rsidR="000B6525" w:rsidRPr="00B43C60" w14:paraId="3AF1C75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chromosome segregation</w:t>
            </w:r>
          </w:p>
        </w:tc>
      </w:tr>
      <w:tr w:rsidR="000B6525" w:rsidRPr="00B43C60" w14:paraId="68787B5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membrane protein ectodomain proteolysis</w:t>
            </w:r>
          </w:p>
        </w:tc>
      </w:tr>
      <w:tr w:rsidR="000B6525" w:rsidRPr="00B43C60" w14:paraId="7121922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DNA replication</w:t>
            </w:r>
          </w:p>
        </w:tc>
      </w:tr>
      <w:tr w:rsidR="000B6525" w:rsidRPr="00B43C60" w14:paraId="2FF197B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translesion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synthesis</w:t>
            </w:r>
          </w:p>
        </w:tc>
      </w:tr>
      <w:tr w:rsidR="000B6525" w:rsidRPr="00B43C60" w14:paraId="62556F4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autophagy</w:t>
            </w:r>
          </w:p>
        </w:tc>
      </w:tr>
      <w:tr w:rsidR="000B6525" w:rsidRPr="00B43C60" w14:paraId="029B4BB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deacetylation</w:t>
            </w:r>
          </w:p>
        </w:tc>
      </w:tr>
      <w:tr w:rsidR="000B6525" w:rsidRPr="00B43C60" w14:paraId="1AB5740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cell migration</w:t>
            </w:r>
          </w:p>
        </w:tc>
      </w:tr>
      <w:tr w:rsidR="000B6525" w:rsidRPr="00B43C60" w14:paraId="3E31906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phosphatidylinositol dephosphorylation</w:t>
            </w:r>
          </w:p>
        </w:tc>
      </w:tr>
      <w:tr w:rsidR="000B6525" w:rsidRPr="00B43C60" w14:paraId="0E7EB2E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nuclear-transcribed mRNA catabolic process</w:t>
            </w:r>
          </w:p>
        </w:tc>
      </w:tr>
      <w:tr w:rsidR="000B6525" w:rsidRPr="00B43C60" w14:paraId="2DA2848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MyD88-dependent toll-like receptor signaling pathway</w:t>
            </w:r>
          </w:p>
        </w:tc>
      </w:tr>
      <w:tr w:rsidR="000B6525" w:rsidRPr="00B43C60" w14:paraId="4EC276B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cytokinesis</w:t>
            </w:r>
          </w:p>
        </w:tc>
      </w:tr>
      <w:tr w:rsidR="000B6525" w:rsidRPr="00B43C60" w14:paraId="1550741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long-chain fatty-acyl-CoA biosynthetic process</w:t>
            </w:r>
          </w:p>
        </w:tc>
      </w:tr>
      <w:tr w:rsidR="000B6525" w:rsidRPr="00B43C60" w14:paraId="4A825FA3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early endosome to late endosome transport</w:t>
            </w:r>
          </w:p>
        </w:tc>
      </w:tr>
      <w:tr w:rsidR="000B6525" w:rsidRPr="00B43C60" w14:paraId="069BBC6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protein kinase activity</w:t>
            </w:r>
          </w:p>
        </w:tc>
      </w:tr>
      <w:tr w:rsidR="000B6525" w:rsidRPr="00B43C60" w14:paraId="1F98244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heart development</w:t>
            </w:r>
          </w:p>
        </w:tc>
      </w:tr>
      <w:tr w:rsidR="000B6525" w:rsidRPr="00B43C60" w14:paraId="2AB53FC4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7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estradiol stimulus</w:t>
            </w:r>
          </w:p>
        </w:tc>
      </w:tr>
      <w:tr w:rsidR="000B6525" w:rsidRPr="00B43C60" w14:paraId="065C18F9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DNA-binding transcription factor activity</w:t>
            </w:r>
          </w:p>
        </w:tc>
      </w:tr>
      <w:tr w:rsidR="000B6525" w:rsidRPr="00B43C60" w14:paraId="1636C8F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hypoxia</w:t>
            </w:r>
          </w:p>
        </w:tc>
      </w:tr>
      <w:tr w:rsidR="000B6525" w:rsidRPr="00B43C60" w14:paraId="4EC8BAF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hippo signaling</w:t>
            </w:r>
          </w:p>
        </w:tc>
      </w:tr>
      <w:tr w:rsidR="000B6525" w:rsidRPr="00B43C60" w14:paraId="05BA878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cell-substrate adhesion</w:t>
            </w:r>
          </w:p>
        </w:tc>
      </w:tr>
      <w:tr w:rsidR="000B6525" w:rsidRPr="00B43C60" w14:paraId="5FED228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by host of viral transcription</w:t>
            </w:r>
          </w:p>
        </w:tc>
      </w:tr>
      <w:tr w:rsidR="000B6525" w:rsidRPr="00B43C60" w14:paraId="2753480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microtubule depolymerization</w:t>
            </w:r>
          </w:p>
        </w:tc>
      </w:tr>
      <w:tr w:rsidR="000B6525" w:rsidRPr="00B43C60" w14:paraId="40FEEEF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protein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monoubiquitination</w:t>
            </w:r>
            <w:proofErr w:type="spellEnd"/>
          </w:p>
        </w:tc>
      </w:tr>
      <w:tr w:rsidR="000B6525" w:rsidRPr="00B43C60" w14:paraId="0F232D77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erythrocyte differentiation</w:t>
            </w:r>
          </w:p>
        </w:tc>
      </w:tr>
      <w:tr w:rsidR="000B6525" w:rsidRPr="00B43C60" w14:paraId="5393E1A1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DNA damage response, signal transduction by p53 class mediator</w:t>
            </w:r>
          </w:p>
        </w:tc>
      </w:tr>
      <w:tr w:rsidR="000B6525" w:rsidRPr="00B43C60" w14:paraId="6B43CE8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osteoblast differentiation</w:t>
            </w:r>
          </w:p>
        </w:tc>
      </w:tr>
      <w:tr w:rsidR="000B6525" w:rsidRPr="00B43C60" w14:paraId="2357FB1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interleukin-6-mediated signaling pathway</w:t>
            </w:r>
          </w:p>
        </w:tc>
      </w:tr>
      <w:tr w:rsidR="000B6525" w:rsidRPr="00B43C60" w14:paraId="0148BBF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membrane organization</w:t>
            </w:r>
          </w:p>
        </w:tc>
      </w:tr>
      <w:tr w:rsidR="000B6525" w:rsidRPr="00B43C60" w14:paraId="5E5E8F1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activation of 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-inducing kinase activity</w:t>
            </w:r>
          </w:p>
        </w:tc>
      </w:tr>
      <w:tr w:rsidR="000B6525" w:rsidRPr="00B43C60" w14:paraId="6CA492A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replicative senescence</w:t>
            </w:r>
          </w:p>
        </w:tc>
      </w:tr>
      <w:tr w:rsidR="000B6525" w:rsidRPr="00B43C60" w14:paraId="009B6E3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ERAD pathway</w:t>
            </w:r>
          </w:p>
        </w:tc>
      </w:tr>
      <w:tr w:rsidR="000B6525" w:rsidRPr="00B43C60" w14:paraId="65E0AB9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8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O-linked glycosylation</w:t>
            </w:r>
          </w:p>
        </w:tc>
      </w:tr>
      <w:tr w:rsidR="000B6525" w:rsidRPr="00B43C60" w14:paraId="7724B29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exocytosis</w:t>
            </w:r>
          </w:p>
        </w:tc>
      </w:tr>
      <w:tr w:rsidR="000B6525" w:rsidRPr="00B43C60" w14:paraId="55E499F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DNA damage checkpoint signaling</w:t>
            </w:r>
          </w:p>
        </w:tc>
      </w:tr>
      <w:tr w:rsidR="000B6525" w:rsidRPr="00B43C60" w14:paraId="3DF327F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histone H4-K16 acetylation</w:t>
            </w:r>
          </w:p>
        </w:tc>
      </w:tr>
      <w:tr w:rsidR="000B6525" w:rsidRPr="00B43C60" w14:paraId="34501D8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 cell receptor signaling pathway</w:t>
            </w:r>
          </w:p>
        </w:tc>
      </w:tr>
      <w:tr w:rsidR="000B6525" w:rsidRPr="00B43C60" w14:paraId="0089506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establishment or maintenance of cell polarity</w:t>
            </w:r>
          </w:p>
        </w:tc>
      </w:tr>
      <w:tr w:rsidR="000B6525" w:rsidRPr="00B43C60" w14:paraId="2EDE7E7F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cell population proliferation</w:t>
            </w:r>
          </w:p>
        </w:tc>
      </w:tr>
      <w:tr w:rsidR="000B6525" w:rsidRPr="00B43C60" w14:paraId="28A7AA60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cell growth</w:t>
            </w:r>
          </w:p>
        </w:tc>
      </w:tr>
      <w:tr w:rsidR="000B6525" w:rsidRPr="00B43C60" w14:paraId="433FFAD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insulin receptor signaling pathway</w:t>
            </w:r>
          </w:p>
        </w:tc>
      </w:tr>
      <w:tr w:rsidR="000B6525" w:rsidRPr="00B43C60" w14:paraId="08877AD1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peroxisome organization</w:t>
            </w:r>
          </w:p>
        </w:tc>
      </w:tr>
      <w:tr w:rsidR="000B6525" w:rsidRPr="00B43C60" w14:paraId="507F583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stress fiber assembly</w:t>
            </w:r>
          </w:p>
        </w:tc>
      </w:tr>
      <w:tr w:rsidR="000B6525" w:rsidRPr="00B43C60" w14:paraId="40687AA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mitotic spindle organization</w:t>
            </w:r>
          </w:p>
        </w:tc>
      </w:tr>
      <w:tr w:rsidR="000B6525" w:rsidRPr="00B43C60" w14:paraId="0336C48C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cysteine-type endopeptidase activity involved in apoptotic process</w:t>
            </w:r>
          </w:p>
        </w:tc>
      </w:tr>
      <w:tr w:rsidR="000B6525" w:rsidRPr="00B43C60" w14:paraId="671EDAD7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DNA damage response, signal transduction by p53 class mediator</w:t>
            </w:r>
          </w:p>
        </w:tc>
      </w:tr>
      <w:tr w:rsidR="000B6525" w:rsidRPr="00B43C60" w14:paraId="25BE5BD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spindle organization</w:t>
            </w:r>
          </w:p>
        </w:tc>
      </w:tr>
      <w:tr w:rsidR="000B6525" w:rsidRPr="00B43C60" w14:paraId="12D67A5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autophagy</w:t>
            </w:r>
          </w:p>
        </w:tc>
      </w:tr>
      <w:tr w:rsidR="000B6525" w:rsidRPr="00B43C60" w14:paraId="491FFB4D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9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cell-matrix adhesion</w:t>
            </w:r>
          </w:p>
        </w:tc>
      </w:tr>
      <w:tr w:rsidR="000B6525" w:rsidRPr="00B43C60" w14:paraId="6AF88C71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positive regulation of transcription by RNA polymerase I</w:t>
            </w:r>
          </w:p>
        </w:tc>
      </w:tr>
      <w:tr w:rsidR="000B6525" w:rsidRPr="00B43C60" w14:paraId="5C30B23A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cysteine-type endopeptidase activity involved in apoptotic process</w:t>
            </w:r>
          </w:p>
        </w:tc>
      </w:tr>
      <w:tr w:rsidR="000B6525" w:rsidRPr="00B43C60" w14:paraId="5332398E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stress-activated MAPK cascade</w:t>
            </w:r>
          </w:p>
        </w:tc>
      </w:tr>
      <w:tr w:rsidR="000B6525" w:rsidRPr="00B43C60" w14:paraId="48D6D84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establishment of epithelial cell apical/basal polarity</w:t>
            </w:r>
          </w:p>
        </w:tc>
      </w:tr>
      <w:tr w:rsidR="000B6525" w:rsidRPr="00B43C60" w14:paraId="7534C20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 localization to nucleus</w:t>
            </w:r>
          </w:p>
        </w:tc>
      </w:tr>
      <w:tr w:rsidR="000B6525" w:rsidRPr="00B43C60" w14:paraId="0404B8B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DNA synthesis involved in DNA repair</w:t>
            </w:r>
          </w:p>
        </w:tc>
      </w:tr>
      <w:tr w:rsidR="000B6525" w:rsidRPr="00B43C60" w14:paraId="442F68F3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substrate adhesion-dependent cell spreading</w:t>
            </w:r>
          </w:p>
        </w:tc>
      </w:tr>
      <w:tr w:rsidR="000B6525" w:rsidRPr="00B43C60" w14:paraId="69DA00A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cell cycle</w:t>
            </w:r>
          </w:p>
        </w:tc>
      </w:tr>
      <w:tr w:rsidR="000B6525" w:rsidRPr="00B43C60" w14:paraId="6B57E05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modification process</w:t>
            </w:r>
          </w:p>
        </w:tc>
      </w:tr>
      <w:tr w:rsidR="000B6525" w:rsidRPr="00B43C60" w14:paraId="2546ED2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cholesterol</w:t>
            </w:r>
          </w:p>
        </w:tc>
      </w:tr>
      <w:tr w:rsidR="000B6525" w:rsidRPr="00B43C60" w14:paraId="2D04F92A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signal transduction in response to DNA damage</w:t>
            </w:r>
          </w:p>
        </w:tc>
      </w:tr>
      <w:tr w:rsidR="000B6525" w:rsidRPr="00B43C60" w14:paraId="32D78DBC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ion transport</w:t>
            </w:r>
          </w:p>
        </w:tc>
      </w:tr>
      <w:tr w:rsidR="000B6525" w:rsidRPr="00B43C60" w14:paraId="1265381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peptidyl-threonine dephosphorylation</w:t>
            </w:r>
          </w:p>
        </w:tc>
      </w:tr>
      <w:tr w:rsidR="000B6525" w:rsidRPr="00B43C60" w14:paraId="5025BF8B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filopodium assembly</w:t>
            </w:r>
          </w:p>
        </w:tc>
      </w:tr>
      <w:tr w:rsidR="000B6525" w:rsidRPr="00B43C60" w14:paraId="533214A2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protein kinase B signaling</w:t>
            </w:r>
          </w:p>
        </w:tc>
      </w:tr>
      <w:tr w:rsidR="000B6525" w:rsidRPr="00B43C60" w14:paraId="434E5C39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A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insulin</w:t>
            </w:r>
          </w:p>
        </w:tc>
      </w:tr>
      <w:tr w:rsidR="000B6525" w:rsidRPr="00B43C60" w14:paraId="3034DA96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B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endoplasmic reticulum calcium ion homeostasis</w:t>
            </w:r>
          </w:p>
        </w:tc>
      </w:tr>
      <w:tr w:rsidR="000B6525" w:rsidRPr="00B43C60" w14:paraId="76B28B33" w14:textId="77777777">
        <w:trPr>
          <w:trHeight w:val="450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B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miRNA-mediated gene silencing by mRNA destabilization</w:t>
            </w:r>
          </w:p>
        </w:tc>
      </w:tr>
      <w:tr w:rsidR="000B6525" w:rsidRPr="00B43C60" w14:paraId="3A931425" w14:textId="77777777">
        <w:trPr>
          <w:trHeight w:val="315"/>
        </w:trPr>
        <w:tc>
          <w:tcPr>
            <w:tcW w:w="8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B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axon extension</w:t>
            </w:r>
          </w:p>
        </w:tc>
      </w:tr>
    </w:tbl>
    <w:p w14:paraId="000001B3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1B4" w14:textId="77777777" w:rsidR="000B6525" w:rsidRPr="00B43C60" w:rsidRDefault="000B652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0001B5" w14:textId="77777777" w:rsidR="000B6525" w:rsidRPr="00B43C60" w:rsidRDefault="000B6525">
      <w:pPr>
        <w:rPr>
          <w:rFonts w:ascii="Times New Roman" w:hAnsi="Times New Roman" w:cs="Times New Roman"/>
          <w:b/>
          <w:sz w:val="24"/>
          <w:szCs w:val="24"/>
        </w:rPr>
      </w:pPr>
    </w:p>
    <w:p w14:paraId="000001B6" w14:textId="77777777" w:rsidR="000B6525" w:rsidRPr="00B43C60" w:rsidRDefault="000B652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0001B7" w14:textId="77777777" w:rsidR="000B6525" w:rsidRPr="00B43C60" w:rsidRDefault="000B652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0001B8" w14:textId="77777777" w:rsidR="000B6525" w:rsidRPr="00B43C60" w:rsidRDefault="000B652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0001BA" w14:textId="77777777" w:rsidR="000B6525" w:rsidRPr="00B43C60" w:rsidRDefault="00000000">
      <w:pPr>
        <w:rPr>
          <w:rFonts w:ascii="Times New Roman" w:hAnsi="Times New Roman" w:cs="Times New Roman"/>
          <w:b/>
          <w:sz w:val="24"/>
          <w:szCs w:val="24"/>
        </w:rPr>
      </w:pPr>
      <w:r w:rsidRPr="00B43C60">
        <w:rPr>
          <w:rFonts w:ascii="Times New Roman" w:hAnsi="Times New Roman" w:cs="Times New Roman"/>
          <w:sz w:val="24"/>
          <w:szCs w:val="24"/>
        </w:rPr>
        <w:br w:type="page"/>
      </w:r>
    </w:p>
    <w:p w14:paraId="000001BB" w14:textId="77777777" w:rsidR="000B6525" w:rsidRPr="00B43C60" w:rsidRDefault="0000000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Downregulated Biological processes</w:t>
      </w:r>
    </w:p>
    <w:p w14:paraId="000001BC" w14:textId="77777777" w:rsidR="000B6525" w:rsidRPr="00B43C60" w:rsidRDefault="000B6525">
      <w:pPr>
        <w:rPr>
          <w:rFonts w:ascii="Times New Roman" w:eastAsia="Calibri" w:hAnsi="Times New Roman" w:cs="Times New Roman"/>
          <w:sz w:val="24"/>
          <w:szCs w:val="24"/>
        </w:rPr>
      </w:pPr>
    </w:p>
    <w:p w14:paraId="000001BD" w14:textId="2ED37673" w:rsidR="000B6525" w:rsidRPr="00B43C60" w:rsidRDefault="00000000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</w:rPr>
        <w:t xml:space="preserve">Supplementary table </w:t>
      </w:r>
      <w:r w:rsidR="00445472" w:rsidRPr="00B43C60">
        <w:rPr>
          <w:rFonts w:ascii="Times New Roman" w:eastAsia="Calibri" w:hAnsi="Times New Roman" w:cs="Times New Roman"/>
          <w:b/>
          <w:sz w:val="24"/>
          <w:szCs w:val="24"/>
        </w:rPr>
        <w:t>2:</w:t>
      </w:r>
      <w:r w:rsidRPr="00B43C60">
        <w:rPr>
          <w:rFonts w:ascii="Times New Roman" w:eastAsia="Calibri" w:hAnsi="Times New Roman" w:cs="Times New Roman"/>
          <w:b/>
          <w:sz w:val="24"/>
          <w:szCs w:val="24"/>
        </w:rPr>
        <w:t xml:space="preserve"> Complete List of Biological functions found differentially downregulated upon calcifediol supplementation (Treated 6 months versus Treated baseline)</w:t>
      </w:r>
    </w:p>
    <w:p w14:paraId="000001BE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1BF" w14:textId="77777777" w:rsidR="000B6525" w:rsidRPr="00B43C60" w:rsidRDefault="00000000">
      <w:pPr>
        <w:rPr>
          <w:rFonts w:ascii="Times New Roman" w:hAnsi="Times New Roman" w:cs="Times New Roman"/>
          <w:sz w:val="24"/>
          <w:szCs w:val="24"/>
        </w:rPr>
      </w:pPr>
      <w:r w:rsidRPr="00B43C6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0"/>
        <w:tblW w:w="73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335"/>
      </w:tblGrid>
      <w:tr w:rsidR="000B6525" w:rsidRPr="00B43C60" w14:paraId="3778A995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0" w14:textId="77777777" w:rsidR="000B6525" w:rsidRPr="00B43C6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43C60">
              <w:rPr>
                <w:rFonts w:ascii="Times New Roman" w:hAnsi="Times New Roman" w:cs="Times New Roman"/>
                <w:b/>
                <w:sz w:val="24"/>
                <w:szCs w:val="24"/>
              </w:rPr>
              <w:t>Biological_process</w:t>
            </w:r>
            <w:proofErr w:type="spellEnd"/>
          </w:p>
        </w:tc>
      </w:tr>
      <w:tr w:rsidR="000B6525" w:rsidRPr="00B43C60" w14:paraId="2B0E8050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mitochondrial respiratory chain complex I assembly</w:t>
            </w:r>
          </w:p>
        </w:tc>
      </w:tr>
      <w:tr w:rsidR="000B6525" w:rsidRPr="00B43C60" w14:paraId="665D45F7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cytoplasmic translation</w:t>
            </w:r>
          </w:p>
        </w:tc>
      </w:tr>
      <w:tr w:rsidR="000B6525" w:rsidRPr="00B43C60" w14:paraId="23520AD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rRNA processing</w:t>
            </w:r>
          </w:p>
        </w:tc>
      </w:tr>
      <w:tr w:rsidR="000B6525" w:rsidRPr="00B43C60" w14:paraId="1D75D7F5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translation</w:t>
            </w:r>
          </w:p>
        </w:tc>
      </w:tr>
      <w:tr w:rsidR="000B6525" w:rsidRPr="00B43C60" w14:paraId="4CEA9849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mRNA splicing, via spliceosome</w:t>
            </w:r>
          </w:p>
        </w:tc>
      </w:tr>
      <w:tr w:rsidR="000B6525" w:rsidRPr="00B43C60" w14:paraId="5EE110E5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mitochondrial translation</w:t>
            </w:r>
          </w:p>
        </w:tc>
      </w:tr>
      <w:tr w:rsidR="000B6525" w:rsidRPr="00B43C60" w14:paraId="7B51FC00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ribosomal small subunit biogenesis</w:t>
            </w:r>
          </w:p>
        </w:tc>
      </w:tr>
      <w:tr w:rsidR="000B6525" w:rsidRPr="00B43C60" w14:paraId="133D91E6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transcription by RNA polymerase II</w:t>
            </w:r>
          </w:p>
        </w:tc>
      </w:tr>
      <w:tr w:rsidR="000B6525" w:rsidRPr="00B43C60" w14:paraId="3C12EECF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tumor necrosis factor-mediated signaling pathway</w:t>
            </w:r>
          </w:p>
        </w:tc>
      </w:tr>
      <w:tr w:rsidR="000B6525" w:rsidRPr="00B43C60" w14:paraId="3D605543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N-linked glycosylation</w:t>
            </w:r>
          </w:p>
        </w:tc>
      </w:tr>
      <w:tr w:rsidR="000B6525" w:rsidRPr="00B43C60" w14:paraId="33B3D1EB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ribosomal large subunit biogenesis</w:t>
            </w:r>
          </w:p>
        </w:tc>
      </w:tr>
      <w:tr w:rsidR="000B6525" w:rsidRPr="00B43C60" w14:paraId="1488F166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aerobic respiration</w:t>
            </w:r>
          </w:p>
        </w:tc>
      </w:tr>
      <w:tr w:rsidR="000B6525" w:rsidRPr="00B43C60" w14:paraId="64A1A567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mitochondrion organization</w:t>
            </w:r>
          </w:p>
        </w:tc>
      </w:tr>
      <w:tr w:rsidR="000B6525" w:rsidRPr="00B43C60" w14:paraId="285347F8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interleukin-1-mediated signaling pathway</w:t>
            </w:r>
          </w:p>
        </w:tc>
      </w:tr>
      <w:tr w:rsidR="000B6525" w:rsidRPr="00B43C60" w14:paraId="1DFCCFFC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C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translational initiation</w:t>
            </w:r>
          </w:p>
        </w:tc>
      </w:tr>
      <w:tr w:rsidR="000B6525" w:rsidRPr="00B43C60" w14:paraId="06C3B6B0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stabilization</w:t>
            </w:r>
          </w:p>
        </w:tc>
      </w:tr>
      <w:tr w:rsidR="000B6525" w:rsidRPr="00B43C60" w14:paraId="1D4443FF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targeting to mitochondrion</w:t>
            </w:r>
          </w:p>
        </w:tc>
      </w:tr>
      <w:tr w:rsidR="000B6525" w:rsidRPr="00B43C60" w14:paraId="5EF1611B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tail-anchored membrane protein insertion into ER membrane</w:t>
            </w:r>
          </w:p>
        </w:tc>
      </w:tr>
      <w:tr w:rsidR="000B6525" w:rsidRPr="00B43C60" w14:paraId="6D272FFB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nucleotide-excision repair</w:t>
            </w:r>
          </w:p>
        </w:tc>
      </w:tr>
      <w:tr w:rsidR="000B6525" w:rsidRPr="00B43C60" w14:paraId="1368B4F6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insertion into ER membrane by stop-transfer membrane-anchor sequence</w:t>
            </w:r>
          </w:p>
        </w:tc>
      </w:tr>
      <w:tr w:rsidR="000B6525" w:rsidRPr="00B43C60" w14:paraId="32F2EFC0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transcription factor activity</w:t>
            </w:r>
          </w:p>
        </w:tc>
      </w:tr>
      <w:tr w:rsidR="000B6525" w:rsidRPr="00B43C60" w14:paraId="2CE45CF0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generation of precursor metabolites and energy</w:t>
            </w:r>
          </w:p>
        </w:tc>
      </w:tr>
      <w:tr w:rsidR="000B6525" w:rsidRPr="00B43C60" w14:paraId="4FCE21E7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SCF-dependent proteasomal ubiquitin-dependent protein catabolic process</w:t>
            </w:r>
          </w:p>
        </w:tc>
      </w:tr>
      <w:tr w:rsidR="000B6525" w:rsidRPr="00B43C60" w14:paraId="31F77608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antigen processing and presentation of exogenous peptide antigen via MHC class II</w:t>
            </w:r>
          </w:p>
        </w:tc>
      </w:tr>
      <w:tr w:rsidR="000B6525" w:rsidRPr="00B43C60" w14:paraId="7D77E5F2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DNA-binding transcription factor activity</w:t>
            </w:r>
          </w:p>
        </w:tc>
      </w:tr>
      <w:tr w:rsidR="000B6525" w:rsidRPr="00B43C60" w14:paraId="7BBD7B55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endoplasmic reticulum to Golgi vesicle-mediated transport</w:t>
            </w:r>
          </w:p>
        </w:tc>
      </w:tr>
      <w:tr w:rsidR="000B6525" w:rsidRPr="00B43C60" w14:paraId="2F3166FD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 phosphorylation</w:t>
            </w:r>
          </w:p>
        </w:tc>
      </w:tr>
      <w:tr w:rsidR="000B6525" w:rsidRPr="00B43C60" w14:paraId="1548BC2C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protein ubiquitination</w:t>
            </w:r>
          </w:p>
        </w:tc>
      </w:tr>
      <w:tr w:rsidR="000B6525" w:rsidRPr="00B43C60" w14:paraId="2267A9AB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NIK/NF-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signaling</w:t>
            </w:r>
          </w:p>
        </w:tc>
      </w:tr>
      <w:tr w:rsidR="000B6525" w:rsidRPr="00B43C60" w14:paraId="7DE4DC1C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actin cytoskeleton reorganization</w:t>
            </w:r>
          </w:p>
        </w:tc>
      </w:tr>
      <w:tr w:rsidR="000B6525" w:rsidRPr="00B43C60" w14:paraId="4FDD19F4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D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cell growth</w:t>
            </w:r>
          </w:p>
        </w:tc>
      </w:tr>
      <w:tr w:rsidR="000B6525" w:rsidRPr="00B43C60" w14:paraId="7039822D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mitochondrial fission</w:t>
            </w:r>
          </w:p>
        </w:tc>
      </w:tr>
      <w:tr w:rsidR="000B6525" w:rsidRPr="00B43C60" w14:paraId="6943DEB3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I-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kinase/NF-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signaling</w:t>
            </w:r>
          </w:p>
        </w:tc>
      </w:tr>
      <w:tr w:rsidR="000B6525" w:rsidRPr="00B43C60" w14:paraId="6BC357A9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release of cytochrome c from mitochondria</w:t>
            </w:r>
          </w:p>
        </w:tc>
      </w:tr>
      <w:tr w:rsidR="000B6525" w:rsidRPr="00B43C60" w14:paraId="4006D80B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translation</w:t>
            </w:r>
          </w:p>
        </w:tc>
      </w:tr>
      <w:tr w:rsidR="000B6525" w:rsidRPr="00B43C60" w14:paraId="619AFC54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extrinsic apoptotic signaling pathway via death domain receptors</w:t>
            </w:r>
          </w:p>
        </w:tc>
      </w:tr>
      <w:tr w:rsidR="000B6525" w:rsidRPr="00B43C60" w14:paraId="11CF16A8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RNA splicing</w:t>
            </w:r>
          </w:p>
        </w:tc>
      </w:tr>
      <w:tr w:rsidR="000B6525" w:rsidRPr="00B43C60" w14:paraId="50A4F356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apoptotic process</w:t>
            </w:r>
          </w:p>
        </w:tc>
      </w:tr>
      <w:tr w:rsidR="000B6525" w:rsidRPr="00B43C60" w14:paraId="63180EF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mitochondrion organization</w:t>
            </w:r>
          </w:p>
        </w:tc>
      </w:tr>
      <w:tr w:rsidR="000B6525" w:rsidRPr="00B43C60" w14:paraId="2D02388D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modification process</w:t>
            </w:r>
          </w:p>
        </w:tc>
      </w:tr>
      <w:tr w:rsidR="000B6525" w:rsidRPr="00B43C60" w14:paraId="49403C8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peptidyl-prolyl isomerization</w:t>
            </w:r>
          </w:p>
        </w:tc>
      </w:tr>
      <w:tr w:rsidR="000B6525" w:rsidRPr="00B43C60" w14:paraId="405E2569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protein-containing complex assembly</w:t>
            </w:r>
          </w:p>
        </w:tc>
      </w:tr>
      <w:tr w:rsidR="000B6525" w:rsidRPr="00B43C60" w14:paraId="76CE1358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 division</w:t>
            </w:r>
          </w:p>
        </w:tc>
      </w:tr>
      <w:tr w:rsidR="000B6525" w:rsidRPr="00B43C60" w14:paraId="5AC90DE1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protein binding</w:t>
            </w:r>
          </w:p>
        </w:tc>
      </w:tr>
      <w:tr w:rsidR="000B6525" w:rsidRPr="00B43C60" w14:paraId="6E2654C4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proteolysis</w:t>
            </w:r>
          </w:p>
        </w:tc>
      </w:tr>
      <w:tr w:rsidR="000B6525" w:rsidRPr="00B43C60" w14:paraId="4F8ECFD9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antimicrobial humoral immune response mediated by antimicrobial peptide</w:t>
            </w:r>
          </w:p>
        </w:tc>
      </w:tr>
      <w:tr w:rsidR="000B6525" w:rsidRPr="00B43C60" w14:paraId="34C8A05C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E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spliceosomal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tri-snRNP complex assembly</w:t>
            </w:r>
          </w:p>
        </w:tc>
      </w:tr>
      <w:tr w:rsidR="000B6525" w:rsidRPr="00B43C60" w14:paraId="0FBCABD0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positive regulation of inflammatory response</w:t>
            </w:r>
          </w:p>
        </w:tc>
      </w:tr>
      <w:tr w:rsidR="000B6525" w:rsidRPr="00B43C60" w14:paraId="5417FB7D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oxidative stress</w:t>
            </w:r>
          </w:p>
        </w:tc>
      </w:tr>
      <w:tr w:rsidR="000B6525" w:rsidRPr="00B43C60" w14:paraId="3717DBB4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transcription factor activity</w:t>
            </w:r>
          </w:p>
        </w:tc>
      </w:tr>
      <w:tr w:rsidR="000B6525" w:rsidRPr="00B43C60" w14:paraId="2954547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ruffle assembly</w:t>
            </w:r>
          </w:p>
        </w:tc>
      </w:tr>
      <w:tr w:rsidR="000B6525" w:rsidRPr="00B43C60" w14:paraId="23385AE7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defense response to Gram-positive bacterium</w:t>
            </w:r>
          </w:p>
        </w:tc>
      </w:tr>
      <w:tr w:rsidR="000B6525" w:rsidRPr="00B43C60" w14:paraId="44042051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endocytic recycling</w:t>
            </w:r>
          </w:p>
        </w:tc>
      </w:tr>
      <w:tr w:rsidR="000B6525" w:rsidRPr="00B43C60" w14:paraId="6D589971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mitochondrial electron transport, NADH to ubiquinone</w:t>
            </w:r>
          </w:p>
        </w:tc>
      </w:tr>
      <w:tr w:rsidR="000B6525" w:rsidRPr="00B43C60" w14:paraId="7B0371F8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transcription elongation by RNA polymerase II</w:t>
            </w:r>
          </w:p>
        </w:tc>
      </w:tr>
      <w:tr w:rsidR="000B6525" w:rsidRPr="00B43C60" w14:paraId="4E3822EA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amyloid fibril formation</w:t>
            </w:r>
          </w:p>
        </w:tc>
      </w:tr>
      <w:tr w:rsidR="000B6525" w:rsidRPr="00B43C60" w14:paraId="5AA05388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defense response to fungus</w:t>
            </w:r>
          </w:p>
        </w:tc>
      </w:tr>
      <w:tr w:rsidR="000B6525" w:rsidRPr="00B43C60" w14:paraId="53B17128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TOR signaling</w:t>
            </w:r>
          </w:p>
        </w:tc>
      </w:tr>
      <w:tr w:rsidR="000B6525" w:rsidRPr="00B43C60" w14:paraId="594EE2D2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insertion into mitochondrial inner membrane</w:t>
            </w:r>
          </w:p>
        </w:tc>
      </w:tr>
      <w:tr w:rsidR="000B6525" w:rsidRPr="00B43C60" w14:paraId="42608395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protein kinase activity</w:t>
            </w:r>
          </w:p>
        </w:tc>
      </w:tr>
      <w:tr w:rsidR="000B6525" w:rsidRPr="00B43C60" w14:paraId="0BA4B72F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intrinsic apoptotic signaling pathway</w:t>
            </w:r>
          </w:p>
        </w:tc>
      </w:tr>
      <w:tr w:rsidR="000B6525" w:rsidRPr="00B43C60" w14:paraId="49144790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autophagy of mitochondrion</w:t>
            </w:r>
          </w:p>
        </w:tc>
      </w:tr>
      <w:tr w:rsidR="000B6525" w:rsidRPr="00B43C60" w14:paraId="2A0A2FB6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1F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ubiquitin-dependent protein catabolic process</w:t>
            </w:r>
          </w:p>
        </w:tc>
      </w:tr>
      <w:tr w:rsidR="000B6525" w:rsidRPr="00B43C60" w14:paraId="63D52F2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glycolytic process</w:t>
            </w:r>
          </w:p>
        </w:tc>
      </w:tr>
      <w:tr w:rsidR="000B6525" w:rsidRPr="00B43C60" w14:paraId="047E1946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leukocyte adhesion to vascular endothelial cell</w:t>
            </w:r>
          </w:p>
        </w:tc>
      </w:tr>
      <w:tr w:rsidR="000B6525" w:rsidRPr="00B43C60" w14:paraId="749C57CF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ubiquitin-dependent ERAD pathway</w:t>
            </w:r>
          </w:p>
        </w:tc>
      </w:tr>
      <w:tr w:rsidR="000B6525" w:rsidRPr="00B43C60" w14:paraId="2CE1A80C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folding</w:t>
            </w:r>
          </w:p>
        </w:tc>
      </w:tr>
      <w:tr w:rsidR="000B6525" w:rsidRPr="00B43C60" w14:paraId="67F893F9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virus</w:t>
            </w:r>
          </w:p>
        </w:tc>
      </w:tr>
      <w:tr w:rsidR="000B6525" w:rsidRPr="00B43C60" w14:paraId="46519977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mitochondrial fission</w:t>
            </w:r>
          </w:p>
        </w:tc>
      </w:tr>
      <w:tr w:rsidR="000B6525" w:rsidRPr="00B43C60" w14:paraId="4379342F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mitochondrial fusion</w:t>
            </w:r>
          </w:p>
        </w:tc>
      </w:tr>
      <w:tr w:rsidR="000B6525" w:rsidRPr="00B43C60" w14:paraId="1BD3D3A1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ubiquitination</w:t>
            </w:r>
          </w:p>
        </w:tc>
      </w:tr>
      <w:tr w:rsidR="000B6525" w:rsidRPr="00B43C60" w14:paraId="286A9830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phosphorylation</w:t>
            </w:r>
          </w:p>
        </w:tc>
      </w:tr>
      <w:tr w:rsidR="000B6525" w:rsidRPr="00B43C60" w14:paraId="1C5D34F8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heterotypic cell-cell adhesion</w:t>
            </w:r>
          </w:p>
        </w:tc>
      </w:tr>
      <w:tr w:rsidR="000B6525" w:rsidRPr="00B43C60" w14:paraId="3EC5C52B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Ras protein signal transduction</w:t>
            </w:r>
          </w:p>
        </w:tc>
      </w:tr>
      <w:tr w:rsidR="000B6525" w:rsidRPr="00B43C60" w14:paraId="4429C981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 cell mediated cytotoxicity</w:t>
            </w:r>
          </w:p>
        </w:tc>
      </w:tr>
      <w:tr w:rsidR="000B6525" w:rsidRPr="00B43C60" w14:paraId="12242D43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DNA repair</w:t>
            </w:r>
          </w:p>
        </w:tc>
      </w:tr>
      <w:tr w:rsidR="000B6525" w:rsidRPr="00B43C60" w14:paraId="10E91D30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refolding</w:t>
            </w:r>
          </w:p>
        </w:tc>
      </w:tr>
      <w:tr w:rsidR="000B6525" w:rsidRPr="00B43C60" w14:paraId="5A11769B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signal transduction by p53 class mediator</w:t>
            </w:r>
          </w:p>
        </w:tc>
      </w:tr>
      <w:tr w:rsidR="000B6525" w:rsidRPr="00B43C60" w14:paraId="6AFFECAD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0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intracellular signal transduction</w:t>
            </w:r>
          </w:p>
        </w:tc>
      </w:tr>
      <w:tr w:rsidR="000B6525" w:rsidRPr="00B43C60" w14:paraId="772796EA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proteolysis</w:t>
            </w:r>
          </w:p>
        </w:tc>
      </w:tr>
      <w:tr w:rsidR="000B6525" w:rsidRPr="00B43C60" w14:paraId="44D588C4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oxidative stress</w:t>
            </w:r>
          </w:p>
        </w:tc>
      </w:tr>
      <w:tr w:rsidR="000B6525" w:rsidRPr="00B43C60" w14:paraId="4EECA77C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viral transcription</w:t>
            </w:r>
          </w:p>
        </w:tc>
      </w:tr>
      <w:tr w:rsidR="000B6525" w:rsidRPr="00B43C60" w14:paraId="67E2298B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lysosome localization</w:t>
            </w:r>
          </w:p>
        </w:tc>
      </w:tr>
      <w:tr w:rsidR="000B6525" w:rsidRPr="00B43C60" w14:paraId="6A60B01B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phosphorylation</w:t>
            </w:r>
          </w:p>
        </w:tc>
      </w:tr>
      <w:tr w:rsidR="000B6525" w:rsidRPr="00B43C60" w14:paraId="1A50EA41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lipopolysaccharide-mediated signaling pathway</w:t>
            </w:r>
          </w:p>
        </w:tc>
      </w:tr>
      <w:tr w:rsidR="000B6525" w:rsidRPr="00B43C60" w14:paraId="2D378F6A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viral entry into host cell</w:t>
            </w:r>
          </w:p>
        </w:tc>
      </w:tr>
      <w:tr w:rsidR="000B6525" w:rsidRPr="00B43C60" w14:paraId="47859A24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killing of cells of another organism</w:t>
            </w:r>
          </w:p>
        </w:tc>
      </w:tr>
      <w:tr w:rsidR="000B6525" w:rsidRPr="00B43C60" w14:paraId="6B773F9A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nerve growth factor stimulus</w:t>
            </w:r>
          </w:p>
        </w:tc>
      </w:tr>
      <w:tr w:rsidR="000B6525" w:rsidRPr="00B43C60" w14:paraId="58CFDFB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neutrophil chemotaxis</w:t>
            </w:r>
          </w:p>
        </w:tc>
      </w:tr>
      <w:tr w:rsidR="000B6525" w:rsidRPr="00B43C60" w14:paraId="39C5871B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doxorubicin metabolic process</w:t>
            </w:r>
          </w:p>
        </w:tc>
      </w:tr>
      <w:tr w:rsidR="000B6525" w:rsidRPr="00B43C60" w14:paraId="69DCEFAC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mitochondrial membrane potential</w:t>
            </w:r>
          </w:p>
        </w:tc>
      </w:tr>
      <w:tr w:rsidR="000B6525" w:rsidRPr="00B43C60" w14:paraId="5BE383A8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chaperone cofactor-dependent protein refolding</w:t>
            </w:r>
          </w:p>
        </w:tc>
      </w:tr>
      <w:tr w:rsidR="000B6525" w:rsidRPr="00B43C60" w14:paraId="423EACA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protein stability</w:t>
            </w:r>
          </w:p>
        </w:tc>
      </w:tr>
      <w:tr w:rsidR="000B6525" w:rsidRPr="00B43C60" w14:paraId="79718C34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chromatin remodeling</w:t>
            </w:r>
          </w:p>
        </w:tc>
      </w:tr>
      <w:tr w:rsidR="000B6525" w:rsidRPr="00B43C60" w14:paraId="141CA06D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1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glutathione metabolic process</w:t>
            </w:r>
          </w:p>
        </w:tc>
      </w:tr>
      <w:tr w:rsidR="000B6525" w:rsidRPr="00B43C60" w14:paraId="2943410D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peptidyl-tyrosine phosphorylation</w:t>
            </w:r>
          </w:p>
        </w:tc>
      </w:tr>
      <w:tr w:rsidR="000B6525" w:rsidRPr="00B43C60" w14:paraId="14236631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destabilization</w:t>
            </w:r>
          </w:p>
        </w:tc>
      </w:tr>
      <w:tr w:rsidR="000B6525" w:rsidRPr="00B43C60" w14:paraId="2D1430CE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endopeptidase activity</w:t>
            </w:r>
          </w:p>
        </w:tc>
      </w:tr>
      <w:tr w:rsidR="000B6525" w:rsidRPr="00B43C60" w14:paraId="7AA121DA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K63-linked ubiquitination</w:t>
            </w:r>
          </w:p>
        </w:tc>
      </w:tr>
      <w:tr w:rsidR="000B6525" w:rsidRPr="00B43C60" w14:paraId="129CB24B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type II interferon</w:t>
            </w:r>
          </w:p>
        </w:tc>
      </w:tr>
      <w:tr w:rsidR="000B6525" w:rsidRPr="00B43C60" w14:paraId="207091BC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mitochondrial cytochrome c oxidase assembly</w:t>
            </w:r>
          </w:p>
        </w:tc>
      </w:tr>
      <w:tr w:rsidR="000B6525" w:rsidRPr="00B43C60" w14:paraId="19938C67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supramolecular fiber organization</w:t>
            </w:r>
          </w:p>
        </w:tc>
      </w:tr>
      <w:tr w:rsidR="000B6525" w:rsidRPr="00B43C60" w14:paraId="4C7DFA3F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macroautophagy</w:t>
            </w:r>
            <w:proofErr w:type="spellEnd"/>
          </w:p>
        </w:tc>
      </w:tr>
      <w:tr w:rsidR="000B6525" w:rsidRPr="00B43C60" w14:paraId="17F630E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senescence</w:t>
            </w:r>
          </w:p>
        </w:tc>
      </w:tr>
      <w:tr w:rsidR="000B6525" w:rsidRPr="00B43C60" w14:paraId="5ABE1A74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G1/S transition of mitotic cell cycle</w:t>
            </w:r>
          </w:p>
        </w:tc>
      </w:tr>
      <w:tr w:rsidR="000B6525" w:rsidRPr="00B43C60" w14:paraId="4A09B180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 localization to plasma membrane</w:t>
            </w:r>
          </w:p>
        </w:tc>
      </w:tr>
      <w:tr w:rsidR="000B6525" w:rsidRPr="00B43C60" w14:paraId="70EB61C6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by host of viral process</w:t>
            </w:r>
          </w:p>
        </w:tc>
      </w:tr>
      <w:tr w:rsidR="000B6525" w:rsidRPr="00B43C60" w14:paraId="1112E6D0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neuron apoptotic process</w:t>
            </w:r>
          </w:p>
        </w:tc>
      </w:tr>
      <w:tr w:rsidR="000B6525" w:rsidRPr="00B43C60" w14:paraId="1D2D7309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I-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kinase/NF-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signaling</w:t>
            </w:r>
          </w:p>
        </w:tc>
      </w:tr>
      <w:tr w:rsidR="000B6525" w:rsidRPr="00B43C60" w14:paraId="73A2DFF5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 surface receptor signaling pathway</w:t>
            </w:r>
          </w:p>
        </w:tc>
      </w:tr>
      <w:tr w:rsidR="000B6525" w:rsidRPr="00B43C60" w14:paraId="4A76A2FA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2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peptidyl-serine dephosphorylation</w:t>
            </w:r>
          </w:p>
        </w:tc>
      </w:tr>
      <w:tr w:rsidR="000B6525" w:rsidRPr="00B43C60" w14:paraId="44573D17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endosome organization</w:t>
            </w:r>
          </w:p>
        </w:tc>
      </w:tr>
      <w:tr w:rsidR="000B6525" w:rsidRPr="00B43C60" w14:paraId="61CF8740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mitophagy</w:t>
            </w:r>
          </w:p>
        </w:tc>
      </w:tr>
      <w:tr w:rsidR="000B6525" w:rsidRPr="00B43C60" w14:paraId="718491AA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spliceosomal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snRNP assembly</w:t>
            </w:r>
          </w:p>
        </w:tc>
      </w:tr>
      <w:tr w:rsidR="000B6525" w:rsidRPr="00B43C60" w14:paraId="05D52AC9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p38MAPK cascade</w:t>
            </w:r>
          </w:p>
        </w:tc>
      </w:tr>
      <w:tr w:rsidR="000B6525" w:rsidRPr="00B43C60" w14:paraId="5DD71697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cell cycle</w:t>
            </w:r>
          </w:p>
        </w:tc>
      </w:tr>
      <w:tr w:rsidR="000B6525" w:rsidRPr="00B43C60" w14:paraId="1F8A9A31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DNA strand elongation</w:t>
            </w:r>
          </w:p>
        </w:tc>
      </w:tr>
      <w:tr w:rsidR="000B6525" w:rsidRPr="00B43C60" w14:paraId="2349FC88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peptidyl-serine phosphorylation</w:t>
            </w:r>
          </w:p>
        </w:tc>
      </w:tr>
      <w:tr w:rsidR="000B6525" w:rsidRPr="00B43C60" w14:paraId="68699FC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protein localization to plasma membrane</w:t>
            </w:r>
          </w:p>
        </w:tc>
      </w:tr>
      <w:tr w:rsidR="000B6525" w:rsidRPr="00B43C60" w14:paraId="3722B1B7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antiviral innate immune response</w:t>
            </w:r>
          </w:p>
        </w:tc>
      </w:tr>
      <w:tr w:rsidR="000B6525" w:rsidRPr="00B43C60" w14:paraId="490883F5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cholesterol efflux</w:t>
            </w:r>
          </w:p>
        </w:tc>
      </w:tr>
      <w:tr w:rsidR="000B6525" w:rsidRPr="00B43C60" w14:paraId="66BB3CF8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 metabolic process</w:t>
            </w:r>
          </w:p>
        </w:tc>
      </w:tr>
      <w:tr w:rsidR="000B6525" w:rsidRPr="00B43C60" w14:paraId="381EF6AC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protein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sumoylation</w:t>
            </w:r>
            <w:proofErr w:type="spellEnd"/>
          </w:p>
        </w:tc>
      </w:tr>
      <w:tr w:rsidR="000B6525" w:rsidRPr="00B43C60" w14:paraId="16E9F2A3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I-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kinase/NF-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kappaB</w:t>
            </w:r>
            <w:proofErr w:type="spellEnd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 signaling</w:t>
            </w:r>
          </w:p>
        </w:tc>
      </w:tr>
      <w:tr w:rsidR="000B6525" w:rsidRPr="00B43C60" w14:paraId="280E1C00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release of cytochrome c from mitochondria</w:t>
            </w:r>
          </w:p>
        </w:tc>
      </w:tr>
      <w:tr w:rsidR="000B6525" w:rsidRPr="00B43C60" w14:paraId="4054FC19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receptor signaling pathway via JAK-STAT</w:t>
            </w:r>
          </w:p>
        </w:tc>
      </w:tr>
      <w:tr w:rsidR="000B6525" w:rsidRPr="00B43C60" w14:paraId="17582B98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3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 cell chemotaxis</w:t>
            </w:r>
          </w:p>
        </w:tc>
      </w:tr>
      <w:tr w:rsidR="000B6525" w:rsidRPr="00B43C60" w14:paraId="2C8D17E6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cellular calcium ion homeostasis</w:t>
            </w:r>
          </w:p>
        </w:tc>
      </w:tr>
      <w:tr w:rsidR="000B6525" w:rsidRPr="00B43C60" w14:paraId="3BDA9671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endosome to lysosome transport</w:t>
            </w:r>
          </w:p>
        </w:tc>
      </w:tr>
      <w:tr w:rsidR="000B6525" w:rsidRPr="00B43C60" w14:paraId="4BCA3641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chromosome organization</w:t>
            </w:r>
          </w:p>
        </w:tc>
      </w:tr>
      <w:tr w:rsidR="000B6525" w:rsidRPr="00B43C60" w14:paraId="27904736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focal adhesion assembly</w:t>
            </w:r>
          </w:p>
        </w:tc>
      </w:tr>
      <w:tr w:rsidR="000B6525" w:rsidRPr="00B43C60" w14:paraId="6508B629" w14:textId="77777777">
        <w:trPr>
          <w:trHeight w:val="76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DNA damage response, signal transduction by p53 class mediator resulting in cell cycle arrest</w:t>
            </w:r>
          </w:p>
        </w:tc>
      </w:tr>
      <w:tr w:rsidR="000B6525" w:rsidRPr="00B43C60" w14:paraId="1A41310B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regulation of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macroautophagy</w:t>
            </w:r>
            <w:proofErr w:type="spellEnd"/>
          </w:p>
        </w:tc>
      </w:tr>
      <w:tr w:rsidR="000B6525" w:rsidRPr="00B43C60" w14:paraId="520326EC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tumor necrosis factor</w:t>
            </w:r>
          </w:p>
        </w:tc>
      </w:tr>
      <w:tr w:rsidR="000B6525" w:rsidRPr="00B43C60" w14:paraId="5DF900DA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protein localization to nucleus</w:t>
            </w:r>
          </w:p>
        </w:tc>
      </w:tr>
      <w:tr w:rsidR="000B6525" w:rsidRPr="00B43C60" w14:paraId="34A29239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interferon-beta</w:t>
            </w:r>
          </w:p>
        </w:tc>
      </w:tr>
      <w:tr w:rsidR="000B6525" w:rsidRPr="00B43C60" w14:paraId="5BD0652E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lipopolysaccharide</w:t>
            </w:r>
          </w:p>
        </w:tc>
      </w:tr>
      <w:tr w:rsidR="000B6525" w:rsidRPr="00B43C60" w14:paraId="64C672B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fibroblast proliferation</w:t>
            </w:r>
          </w:p>
        </w:tc>
      </w:tr>
      <w:tr w:rsidR="000B6525" w:rsidRPr="00B43C60" w14:paraId="2C2B0077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cellular response to heat</w:t>
            </w:r>
          </w:p>
        </w:tc>
      </w:tr>
      <w:tr w:rsidR="000B6525" w:rsidRPr="00B43C60" w14:paraId="08BD9AFE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histone H2A acetylation</w:t>
            </w:r>
          </w:p>
        </w:tc>
      </w:tr>
      <w:tr w:rsidR="000B6525" w:rsidRPr="00B43C60" w14:paraId="6CEFB9DE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establishment of skin barrier</w:t>
            </w:r>
          </w:p>
        </w:tc>
      </w:tr>
      <w:tr w:rsidR="000B6525" w:rsidRPr="00B43C60" w14:paraId="43BA714F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E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DNA repair</w:t>
            </w:r>
          </w:p>
        </w:tc>
      </w:tr>
      <w:tr w:rsidR="000B6525" w:rsidRPr="00B43C60" w14:paraId="6299C0AF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4F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circadian rhythm</w:t>
            </w:r>
          </w:p>
        </w:tc>
      </w:tr>
      <w:tr w:rsidR="000B6525" w:rsidRPr="00B43C60" w14:paraId="3F81E360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0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MAPK cascade</w:t>
            </w:r>
          </w:p>
        </w:tc>
      </w:tr>
      <w:tr w:rsidR="000B6525" w:rsidRPr="00B43C60" w14:paraId="74FC9FA1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1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negative regulation of extrinsic apoptotic signaling pathway</w:t>
            </w:r>
          </w:p>
        </w:tc>
      </w:tr>
      <w:tr w:rsidR="000B6525" w:rsidRPr="00B43C60" w14:paraId="1A84E7D0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2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transmembrane receptor protein tyrosine kinase signaling pathway</w:t>
            </w:r>
          </w:p>
        </w:tc>
      </w:tr>
      <w:tr w:rsidR="000B6525" w:rsidRPr="00B43C60" w14:paraId="77BDE802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3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 xml:space="preserve">T cell </w:t>
            </w:r>
            <w:proofErr w:type="spellStart"/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costimulation</w:t>
            </w:r>
            <w:proofErr w:type="spellEnd"/>
          </w:p>
        </w:tc>
      </w:tr>
      <w:tr w:rsidR="000B6525" w:rsidRPr="00B43C60" w14:paraId="4B7A7F93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4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smooth muscle cell proliferation</w:t>
            </w:r>
          </w:p>
        </w:tc>
      </w:tr>
      <w:tr w:rsidR="000B6525" w:rsidRPr="00B43C60" w14:paraId="357D0524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5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response to interferon-alpha</w:t>
            </w:r>
          </w:p>
        </w:tc>
      </w:tr>
      <w:tr w:rsidR="000B6525" w:rsidRPr="00B43C60" w14:paraId="183B0EA5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6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retrograde vesicle-mediated transport, Golgi to endoplasmic reticulum</w:t>
            </w:r>
          </w:p>
        </w:tc>
      </w:tr>
      <w:tr w:rsidR="000B6525" w:rsidRPr="00B43C60" w14:paraId="2CAD9E3E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7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mitochondrial membrane permeability</w:t>
            </w:r>
          </w:p>
        </w:tc>
      </w:tr>
      <w:tr w:rsidR="000B6525" w:rsidRPr="00B43C60" w14:paraId="1B9C833F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8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regulation of glycolytic process</w:t>
            </w:r>
          </w:p>
        </w:tc>
      </w:tr>
      <w:tr w:rsidR="000B6525" w:rsidRPr="00B43C60" w14:paraId="5E63CFBE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9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defense response to Gram-negative bacterium</w:t>
            </w:r>
          </w:p>
        </w:tc>
      </w:tr>
      <w:tr w:rsidR="000B6525" w:rsidRPr="00B43C60" w14:paraId="36258D48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A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actin cytoskeleton organization</w:t>
            </w:r>
          </w:p>
        </w:tc>
      </w:tr>
      <w:tr w:rsidR="000B6525" w:rsidRPr="00B43C60" w14:paraId="59A9D427" w14:textId="77777777">
        <w:trPr>
          <w:trHeight w:val="52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B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activation of cysteine-type endopeptidase activity involved in apoptotic process</w:t>
            </w:r>
          </w:p>
        </w:tc>
      </w:tr>
      <w:tr w:rsidR="000B6525" w:rsidRPr="00B43C60" w14:paraId="633CC391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C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antibacterial humoral response</w:t>
            </w:r>
          </w:p>
        </w:tc>
      </w:tr>
      <w:tr w:rsidR="000B6525" w:rsidRPr="00B43C60" w14:paraId="2D2784FE" w14:textId="77777777">
        <w:trPr>
          <w:trHeight w:val="315"/>
        </w:trPr>
        <w:tc>
          <w:tcPr>
            <w:tcW w:w="73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25D" w14:textId="77777777" w:rsidR="000B6525" w:rsidRPr="00B43C60" w:rsidRDefault="0000000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3C60">
              <w:rPr>
                <w:rFonts w:ascii="Times New Roman" w:hAnsi="Times New Roman" w:cs="Times New Roman"/>
                <w:sz w:val="24"/>
                <w:szCs w:val="24"/>
              </w:rPr>
              <w:t>positive regulation of T cell activation</w:t>
            </w:r>
          </w:p>
        </w:tc>
      </w:tr>
    </w:tbl>
    <w:p w14:paraId="0000025E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25F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260" w14:textId="77777777" w:rsidR="000B6525" w:rsidRPr="00B43C60" w:rsidRDefault="000B6525">
      <w:pPr>
        <w:rPr>
          <w:rFonts w:ascii="Times New Roman" w:hAnsi="Times New Roman" w:cs="Times New Roman"/>
          <w:sz w:val="24"/>
          <w:szCs w:val="24"/>
        </w:rPr>
      </w:pPr>
    </w:p>
    <w:p w14:paraId="00000261" w14:textId="77777777" w:rsidR="000B6525" w:rsidRPr="00B43C60" w:rsidRDefault="00000000">
      <w:pPr>
        <w:spacing w:after="16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highlight w:val="white"/>
        </w:rPr>
      </w:pPr>
      <w:r w:rsidRPr="00B43C60">
        <w:rPr>
          <w:rFonts w:ascii="Times New Roman" w:eastAsia="Calibri" w:hAnsi="Times New Roman" w:cs="Times New Roman"/>
          <w:b/>
          <w:sz w:val="24"/>
          <w:szCs w:val="24"/>
          <w:highlight w:val="white"/>
        </w:rPr>
        <w:t>Supplementary table 3:</w:t>
      </w:r>
      <w:r w:rsidRPr="00B43C60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</w:t>
      </w:r>
      <w:r w:rsidRPr="00B43C60">
        <w:rPr>
          <w:rFonts w:ascii="Times New Roman" w:eastAsia="Calibri" w:hAnsi="Times New Roman" w:cs="Times New Roman"/>
          <w:b/>
          <w:sz w:val="24"/>
          <w:szCs w:val="24"/>
          <w:highlight w:val="white"/>
        </w:rPr>
        <w:t xml:space="preserve">Assay ID and reporter dyes of the </w:t>
      </w:r>
      <w:proofErr w:type="spellStart"/>
      <w:r w:rsidRPr="00B43C60">
        <w:rPr>
          <w:rFonts w:ascii="Times New Roman" w:eastAsia="Calibri" w:hAnsi="Times New Roman" w:cs="Times New Roman"/>
          <w:b/>
          <w:sz w:val="24"/>
          <w:szCs w:val="24"/>
          <w:highlight w:val="white"/>
        </w:rPr>
        <w:t>Taqman</w:t>
      </w:r>
      <w:proofErr w:type="spellEnd"/>
      <w:r w:rsidRPr="00B43C60">
        <w:rPr>
          <w:rFonts w:ascii="Times New Roman" w:eastAsia="Calibri" w:hAnsi="Times New Roman" w:cs="Times New Roman"/>
          <w:b/>
          <w:sz w:val="24"/>
          <w:szCs w:val="24"/>
          <w:highlight w:val="white"/>
        </w:rPr>
        <w:t xml:space="preserve"> primers and probes used in the Gene Expression Analysis</w:t>
      </w:r>
    </w:p>
    <w:tbl>
      <w:tblPr>
        <w:tblStyle w:val="a1"/>
        <w:tblW w:w="93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0B6525" w:rsidRPr="00B43C60" w14:paraId="6025CCA7" w14:textId="77777777">
        <w:trPr>
          <w:jc w:val="center"/>
        </w:trPr>
        <w:tc>
          <w:tcPr>
            <w:tcW w:w="3116" w:type="dxa"/>
          </w:tcPr>
          <w:p w14:paraId="00000262" w14:textId="77777777" w:rsidR="000B6525" w:rsidRPr="00B43C60" w:rsidRDefault="0000000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white"/>
              </w:rPr>
              <w:t>GENE</w:t>
            </w:r>
          </w:p>
        </w:tc>
        <w:tc>
          <w:tcPr>
            <w:tcW w:w="3117" w:type="dxa"/>
          </w:tcPr>
          <w:p w14:paraId="00000263" w14:textId="77777777" w:rsidR="000B6525" w:rsidRPr="00B43C60" w:rsidRDefault="0000000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white"/>
              </w:rPr>
              <w:t>ASSAY ID</w:t>
            </w:r>
          </w:p>
        </w:tc>
        <w:tc>
          <w:tcPr>
            <w:tcW w:w="3117" w:type="dxa"/>
          </w:tcPr>
          <w:p w14:paraId="00000264" w14:textId="77777777" w:rsidR="000B6525" w:rsidRPr="00B43C60" w:rsidRDefault="0000000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white"/>
              </w:rPr>
              <w:t>REPORTER DYE</w:t>
            </w:r>
          </w:p>
        </w:tc>
      </w:tr>
      <w:tr w:rsidR="000B6525" w:rsidRPr="00B43C60" w14:paraId="25290E58" w14:textId="77777777">
        <w:trPr>
          <w:jc w:val="center"/>
        </w:trPr>
        <w:tc>
          <w:tcPr>
            <w:tcW w:w="3116" w:type="dxa"/>
          </w:tcPr>
          <w:p w14:paraId="00000265" w14:textId="77777777" w:rsidR="000B6525" w:rsidRPr="00B43C60" w:rsidRDefault="000000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i/>
                <w:sz w:val="24"/>
                <w:szCs w:val="24"/>
                <w:highlight w:val="white"/>
              </w:rPr>
              <w:t>BCL6</w:t>
            </w:r>
          </w:p>
        </w:tc>
        <w:tc>
          <w:tcPr>
            <w:tcW w:w="3117" w:type="dxa"/>
          </w:tcPr>
          <w:p w14:paraId="00000266" w14:textId="77777777" w:rsidR="000B6525" w:rsidRPr="00B43C60" w:rsidRDefault="000000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  <w:t>Hs00153368_m1</w:t>
            </w:r>
          </w:p>
        </w:tc>
        <w:tc>
          <w:tcPr>
            <w:tcW w:w="3117" w:type="dxa"/>
            <w:vMerge w:val="restart"/>
            <w:vAlign w:val="center"/>
          </w:tcPr>
          <w:p w14:paraId="00000267" w14:textId="77777777" w:rsidR="000B6525" w:rsidRPr="00B43C60" w:rsidRDefault="0000000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  <w:t>FAM</w:t>
            </w:r>
          </w:p>
        </w:tc>
      </w:tr>
      <w:tr w:rsidR="000B6525" w:rsidRPr="00B43C60" w14:paraId="3317FA1F" w14:textId="77777777">
        <w:trPr>
          <w:jc w:val="center"/>
        </w:trPr>
        <w:tc>
          <w:tcPr>
            <w:tcW w:w="3116" w:type="dxa"/>
          </w:tcPr>
          <w:p w14:paraId="00000268" w14:textId="77777777" w:rsidR="000B6525" w:rsidRPr="00B43C60" w:rsidRDefault="000000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i/>
                <w:sz w:val="24"/>
                <w:szCs w:val="24"/>
                <w:highlight w:val="white"/>
              </w:rPr>
              <w:t>EOMES</w:t>
            </w:r>
          </w:p>
        </w:tc>
        <w:tc>
          <w:tcPr>
            <w:tcW w:w="3117" w:type="dxa"/>
          </w:tcPr>
          <w:p w14:paraId="00000269" w14:textId="77777777" w:rsidR="000B6525" w:rsidRPr="00B43C60" w:rsidRDefault="000000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  <w:t>Hs00172872_m1</w:t>
            </w:r>
          </w:p>
        </w:tc>
        <w:tc>
          <w:tcPr>
            <w:tcW w:w="3117" w:type="dxa"/>
            <w:vMerge/>
            <w:vAlign w:val="center"/>
          </w:tcPr>
          <w:p w14:paraId="0000026A" w14:textId="77777777" w:rsidR="000B6525" w:rsidRPr="00B43C60" w:rsidRDefault="000B6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0B6525" w:rsidRPr="00B43C60" w14:paraId="39E33AEC" w14:textId="77777777">
        <w:trPr>
          <w:jc w:val="center"/>
        </w:trPr>
        <w:tc>
          <w:tcPr>
            <w:tcW w:w="3116" w:type="dxa"/>
          </w:tcPr>
          <w:p w14:paraId="0000026B" w14:textId="77777777" w:rsidR="000B6525" w:rsidRPr="00B43C60" w:rsidRDefault="000000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i/>
                <w:sz w:val="24"/>
                <w:szCs w:val="24"/>
                <w:highlight w:val="white"/>
              </w:rPr>
              <w:t>ID3</w:t>
            </w:r>
          </w:p>
        </w:tc>
        <w:tc>
          <w:tcPr>
            <w:tcW w:w="3117" w:type="dxa"/>
          </w:tcPr>
          <w:p w14:paraId="0000026C" w14:textId="77777777" w:rsidR="000B6525" w:rsidRPr="00B43C60" w:rsidRDefault="000000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  <w:t>Hs00171409_m1</w:t>
            </w:r>
          </w:p>
        </w:tc>
        <w:tc>
          <w:tcPr>
            <w:tcW w:w="3117" w:type="dxa"/>
            <w:vMerge/>
            <w:vAlign w:val="center"/>
          </w:tcPr>
          <w:p w14:paraId="0000026D" w14:textId="77777777" w:rsidR="000B6525" w:rsidRPr="00B43C60" w:rsidRDefault="000B6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0B6525" w:rsidRPr="00B43C60" w14:paraId="5D584A65" w14:textId="77777777">
        <w:trPr>
          <w:jc w:val="center"/>
        </w:trPr>
        <w:tc>
          <w:tcPr>
            <w:tcW w:w="3116" w:type="dxa"/>
          </w:tcPr>
          <w:p w14:paraId="0000026E" w14:textId="77777777" w:rsidR="000B6525" w:rsidRPr="00B43C60" w:rsidRDefault="000000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IL7Rα</w:t>
            </w:r>
          </w:p>
        </w:tc>
        <w:tc>
          <w:tcPr>
            <w:tcW w:w="3117" w:type="dxa"/>
          </w:tcPr>
          <w:p w14:paraId="0000026F" w14:textId="77777777" w:rsidR="000B6525" w:rsidRPr="00B43C60" w:rsidRDefault="000000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  <w:t>Hs00902334_m1</w:t>
            </w:r>
          </w:p>
        </w:tc>
        <w:tc>
          <w:tcPr>
            <w:tcW w:w="3117" w:type="dxa"/>
            <w:vMerge/>
            <w:vAlign w:val="center"/>
          </w:tcPr>
          <w:p w14:paraId="00000270" w14:textId="77777777" w:rsidR="000B6525" w:rsidRPr="00B43C60" w:rsidRDefault="000B6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0B6525" w:rsidRPr="00B43C60" w14:paraId="1F2AFCA7" w14:textId="77777777">
        <w:trPr>
          <w:jc w:val="center"/>
        </w:trPr>
        <w:tc>
          <w:tcPr>
            <w:tcW w:w="3116" w:type="dxa"/>
          </w:tcPr>
          <w:p w14:paraId="00000271" w14:textId="77777777" w:rsidR="000B6525" w:rsidRPr="00B43C60" w:rsidRDefault="000000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43C6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18S</w:t>
            </w:r>
          </w:p>
        </w:tc>
        <w:tc>
          <w:tcPr>
            <w:tcW w:w="3117" w:type="dxa"/>
          </w:tcPr>
          <w:p w14:paraId="00000272" w14:textId="77777777" w:rsidR="000B6525" w:rsidRPr="00B43C60" w:rsidRDefault="000000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  <w:r w:rsidRPr="00B43C60"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  <w:t>Hs03928985_g1</w:t>
            </w:r>
          </w:p>
        </w:tc>
        <w:tc>
          <w:tcPr>
            <w:tcW w:w="3117" w:type="dxa"/>
            <w:vMerge/>
            <w:vAlign w:val="center"/>
          </w:tcPr>
          <w:p w14:paraId="00000273" w14:textId="77777777" w:rsidR="000B6525" w:rsidRPr="00B43C60" w:rsidRDefault="000B6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</w:pPr>
          </w:p>
        </w:tc>
      </w:tr>
    </w:tbl>
    <w:p w14:paraId="00000274" w14:textId="77777777" w:rsidR="000B6525" w:rsidRPr="00B43C60" w:rsidRDefault="000B65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B6525" w:rsidRPr="00B43C6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525"/>
    <w:rsid w:val="000B6525"/>
    <w:rsid w:val="002C2313"/>
    <w:rsid w:val="00445472"/>
    <w:rsid w:val="005C157A"/>
    <w:rsid w:val="00637776"/>
    <w:rsid w:val="0065025B"/>
    <w:rsid w:val="00734872"/>
    <w:rsid w:val="009F1B12"/>
    <w:rsid w:val="00A62195"/>
    <w:rsid w:val="00B43C60"/>
    <w:rsid w:val="00CA0F6E"/>
    <w:rsid w:val="00D51653"/>
    <w:rsid w:val="00E8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4C2E4"/>
  <w15:docId w15:val="{7416D084-7387-4313-B92A-85451C9D0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cs="Mangal"/>
      <w:sz w:val="20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45WpJnLvty71Sjg+URXFrN9kPw==">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28</Pages>
  <Words>3620</Words>
  <Characters>20636</Characters>
  <Application>Microsoft Office Word</Application>
  <DocSecurity>0</DocSecurity>
  <Lines>171</Lines>
  <Paragraphs>48</Paragraphs>
  <ScaleCrop>false</ScaleCrop>
  <Company/>
  <LinksUpToDate>false</LinksUpToDate>
  <CharactersWithSpaces>24208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Naresh Sachdeva</cp:lastModifiedBy>
  <cp:revision>14</cp:revision>
  <dcterms:created xsi:type="dcterms:W3CDTF">2024-01-03T04:27:00Z</dcterms:created>
  <dcterms:modified xsi:type="dcterms:W3CDTF">2024-02-08T05:59:00Z</dcterms:modified>
</cp:coreProperties>
</file>