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S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upplemental material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Table 1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Reference intake of energy and major nutrients for the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older people in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the Dietary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guide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for 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lderly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adults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begin">
          <w:fldData xml:space="preserve">PEVuZE5vdGU+PENpdGU+PEF1dGhvcj5DaGluYTwvQXV0aG9yPjxZZWFyPjIwMTc8L1llYXI+PFJl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</w:fldData>
        </w:fldChar>
      </w:r>
      <w:r>
        <w:rPr>
          <w:rFonts w:ascii="Times New Roman" w:hAnsi="Times New Roman" w:eastAsia="宋体" w:cs="Times New Roman"/>
          <w:kern w:val="0"/>
          <w:sz w:val="24"/>
          <w:szCs w:val="24"/>
        </w:rPr>
        <w:instrText xml:space="preserve"> ADDIN EN.CITE </w:instrTex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begin">
          <w:fldData xml:space="preserve">PEVuZE5vdGU+PENpdGU+PEF1dGhvcj5DaGluYTwvQXV0aG9yPjxZZWFyPjIwMTc8L1llYXI+PFJl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</w:fldData>
        </w:fldChar>
      </w:r>
      <w:r>
        <w:rPr>
          <w:rFonts w:ascii="Times New Roman" w:hAnsi="Times New Roman" w:eastAsia="宋体" w:cs="Times New Roman"/>
          <w:kern w:val="0"/>
          <w:sz w:val="24"/>
          <w:szCs w:val="24"/>
        </w:rPr>
        <w:instrText xml:space="preserve"> ADDIN EN.CITE.DATA </w:instrTex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separate"/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fldChar w:fldCharType="end"/>
      </w:r>
    </w:p>
    <w:tbl>
      <w:tblPr>
        <w:tblStyle w:val="6"/>
        <w:tblW w:w="92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448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Energy and nutrients</w:t>
            </w:r>
          </w:p>
        </w:tc>
        <w:tc>
          <w:tcPr>
            <w:tcW w:w="6804" w:type="dxa"/>
            <w:gridSpan w:val="8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 xml:space="preserve">RNI 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 xml:space="preserve"> /AI 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  <w:vertAlign w:val="superscript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4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65~79 years old</w:t>
            </w:r>
          </w:p>
        </w:tc>
        <w:tc>
          <w:tcPr>
            <w:tcW w:w="3402" w:type="dxa"/>
            <w:gridSpan w:val="4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bCs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color w:val="0C0C0C"/>
                <w:kern w:val="0"/>
                <w:sz w:val="20"/>
                <w:szCs w:val="21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C0C0C"/>
                <w:kern w:val="0"/>
                <w:sz w:val="20"/>
                <w:szCs w:val="21"/>
              </w:rPr>
              <w:t xml:space="preserve"> 80 years old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Men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Women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Cs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C0C0C"/>
                <w:kern w:val="0"/>
                <w:sz w:val="20"/>
                <w:szCs w:val="21"/>
              </w:rPr>
              <w:t>Men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bCs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Cs/>
                <w:color w:val="0C0C0C"/>
                <w:kern w:val="0"/>
                <w:sz w:val="20"/>
                <w:szCs w:val="21"/>
              </w:rPr>
              <w:t>Women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 xml:space="preserve">Light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  <w:vertAlign w:val="superscript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 xml:space="preserve">Moderate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  <w:vertAlign w:val="superscript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bCs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 xml:space="preserve">Light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  <w:vertAlign w:val="superscript"/>
              </w:rPr>
              <w:t>c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bCs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 xml:space="preserve">Moderate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  <w:vertAlign w:val="superscript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4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Energy/(kcal/d)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2050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2350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1700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1950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1900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2200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1500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rotein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 RNI/(g/d)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20~30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Fat(%E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vertAlign w:val="superscript"/>
              </w:rPr>
              <w:t>d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&lt;10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arbohydrate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(%E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vertAlign w:val="superscript"/>
              </w:rPr>
              <w:t>d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50~65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Fiber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(g/d)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holesterol(mg/d)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73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A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(μg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RAE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  <w:vertAlign w:val="superscript"/>
              </w:rPr>
              <w:t>e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/d)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  <w:vertAlign w:val="subscript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RNI/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(mg/d)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  <w:vertAlign w:val="subscript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RNI/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(mg/d)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C RNI/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(mg/d)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AI/(mgα-TE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  <w:vertAlign w:val="superscript"/>
              </w:rPr>
              <w:t>f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Calcium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 RNI/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(mg/d)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4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Iron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 xml:space="preserve"> RNI/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(mg/d)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12</w:t>
            </w:r>
          </w:p>
        </w:tc>
      </w:tr>
    </w:tbl>
    <w:p>
      <w:pPr>
        <w:rPr>
          <w:rFonts w:ascii="Times New Roman" w:hAnsi="Times New Roman" w:cs="Times New Roman"/>
          <w:color w:val="0C0C0C"/>
          <w:sz w:val="18"/>
          <w:szCs w:val="18"/>
        </w:rPr>
      </w:pPr>
      <w:r>
        <w:rPr>
          <w:rFonts w:ascii="Times New Roman" w:hAnsi="Times New Roman" w:cs="Times New Roman"/>
          <w:color w:val="0C0C0C"/>
          <w:sz w:val="18"/>
          <w:szCs w:val="18"/>
        </w:rPr>
        <w:t xml:space="preserve">Note. RNI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color w:val="0C0C0C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Recommended intake;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AI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color w:val="0C0C0C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Adequate Intake;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c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Physical activity level;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 xml:space="preserve"> 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</w:rPr>
        <w:t>%E: The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percentage of total energy;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e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Retinol activity equivalent (RAE, μg) =Dietary or supplement source all trans retinol（μg) +1/2 Supplement Pure All Trans β- Carotene（μg)+1/12 Dietary all trans β- Carotene（μg) +1/24 Other Dietary Vitamin A Procarotenoids（μg);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f</w:t>
      </w:r>
      <w:r>
        <w:rPr>
          <w:rFonts w:ascii="Times New Roman" w:hAnsi="Times New Roman" w:cs="Times New Roman"/>
          <w:color w:val="0C0C0C"/>
          <w:sz w:val="18"/>
          <w:szCs w:val="18"/>
        </w:rPr>
        <w:t>α- Tocopherol equivalent（ α- TE, mg), total in diet α- TE equivalent (mg)=1 ×α- Tocopherol (mg)+0.5 ×β- Tocopherol (mg)+0.1 × γ – tocopherol (mg)+0.2 ×δ- Tocopherol (mg)+0.3 ×α- Triene tocopherol (mg)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C0C0C"/>
          <w:sz w:val="18"/>
          <w:szCs w:val="18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Table 2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Nutrient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s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intake grouping of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older residents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based on r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eference intake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.</w:t>
      </w:r>
    </w:p>
    <w:tbl>
      <w:tblPr>
        <w:tblStyle w:val="6"/>
        <w:tblW w:w="14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288"/>
        <w:gridCol w:w="1842"/>
        <w:gridCol w:w="2127"/>
        <w:gridCol w:w="850"/>
        <w:gridCol w:w="1276"/>
        <w:gridCol w:w="1843"/>
        <w:gridCol w:w="2268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604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  <w:t>Energy and nutrients</w:t>
            </w:r>
          </w:p>
        </w:tc>
        <w:tc>
          <w:tcPr>
            <w:tcW w:w="6107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Men</w:t>
            </w:r>
          </w:p>
        </w:tc>
        <w:tc>
          <w:tcPr>
            <w:tcW w:w="6237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Women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60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</w:p>
        </w:tc>
        <w:tc>
          <w:tcPr>
            <w:tcW w:w="1288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  <w:t xml:space="preserve">RNI 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  <w:t xml:space="preserve"> /AI 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Nutrients 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intake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Occupy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RNI%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AI%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Group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  <w:t xml:space="preserve">RNI 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  <w:vertAlign w:val="superscript"/>
              </w:rPr>
              <w:t>a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  <w:t xml:space="preserve"> /AI 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bCs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Nutrients 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intake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Occupy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RNI%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AI%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bCs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Group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60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Energy/(kcal/d)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1900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1753.79±668.54</w:t>
            </w:r>
          </w:p>
        </w:tc>
        <w:tc>
          <w:tcPr>
            <w:tcW w:w="212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&lt;80,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insufficien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cy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80~110,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moderate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&gt;110,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excessive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1500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1576.83±586.92</w:t>
            </w:r>
          </w:p>
        </w:tc>
        <w:tc>
          <w:tcPr>
            <w:tcW w:w="2268" w:type="dxa"/>
            <w:vMerge w:val="restart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&lt;80,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insufficien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cy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80~110,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moderate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&gt;110,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excessive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rotein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 RNI/(g/d)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54.28±27.98</w:t>
            </w:r>
          </w:p>
        </w:tc>
        <w:tc>
          <w:tcPr>
            <w:tcW w:w="21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45.78±24.62</w:t>
            </w:r>
          </w:p>
        </w:tc>
        <w:tc>
          <w:tcPr>
            <w:tcW w:w="226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Fat(%E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vertAlign w:val="superscript"/>
              </w:rPr>
              <w:t>d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36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52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3.31</w:t>
            </w:r>
          </w:p>
        </w:tc>
        <w:tc>
          <w:tcPr>
            <w:tcW w:w="21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33.14±20.72</w:t>
            </w:r>
          </w:p>
        </w:tc>
        <w:tc>
          <w:tcPr>
            <w:tcW w:w="226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C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arbohydrate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(%E 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  <w:vertAlign w:val="superscript"/>
              </w:rPr>
              <w:t>d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238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224.15±87.39</w:t>
            </w:r>
          </w:p>
        </w:tc>
        <w:tc>
          <w:tcPr>
            <w:tcW w:w="212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205.35±76.48</w:t>
            </w:r>
          </w:p>
        </w:tc>
        <w:tc>
          <w:tcPr>
            <w:tcW w:w="2268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A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(μg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RAE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  <w:vertAlign w:val="superscript"/>
              </w:rPr>
              <w:t>e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/d)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420.64±198.90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&lt;80,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insufficien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cy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80~110,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moderate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&gt;110,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excessive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  <w:t>439.85±212.56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&lt;80,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insufficien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cy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80~110,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moderate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&gt;110,</w:t>
            </w:r>
            <w:r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 xml:space="preserve"> excessive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ness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  <w:t>1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2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C RNI/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(mg/d)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75.31±40.71</w:t>
            </w:r>
          </w:p>
        </w:tc>
        <w:tc>
          <w:tcPr>
            <w:tcW w:w="2127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7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.3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±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34</w:t>
            </w: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19</w:t>
            </w:r>
          </w:p>
        </w:tc>
        <w:tc>
          <w:tcPr>
            <w:tcW w:w="2268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0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Vitamin 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E</w:t>
            </w: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AI/(mgα-TE</w:t>
            </w:r>
            <w:r>
              <w:rPr>
                <w:rFonts w:hint="eastAsia"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  <w:vertAlign w:val="superscript"/>
              </w:rPr>
              <w:t>f</w:t>
            </w:r>
            <w:r>
              <w:rPr>
                <w:rFonts w:ascii="Times New Roman" w:hAnsi="Times New Roman" w:eastAsia="宋体" w:cs="Times New Roman"/>
                <w:color w:val="0C0C0C"/>
                <w:kern w:val="0"/>
                <w:sz w:val="21"/>
                <w:szCs w:val="21"/>
              </w:rPr>
              <w:t>/d)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11.77±8.30</w:t>
            </w:r>
          </w:p>
        </w:tc>
        <w:tc>
          <w:tcPr>
            <w:tcW w:w="2127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color w:val="0C0C0C"/>
                <w:kern w:val="0"/>
                <w:sz w:val="20"/>
                <w:szCs w:val="21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  <w:t>12.62±8.78</w:t>
            </w:r>
          </w:p>
        </w:tc>
        <w:tc>
          <w:tcPr>
            <w:tcW w:w="2268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 w:cs="Times New Roman"/>
                <w:color w:val="0C0C0C"/>
                <w:kern w:val="0"/>
                <w:sz w:val="2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color w:val="0C0C0C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color w:val="0C0C0C"/>
          <w:sz w:val="18"/>
          <w:szCs w:val="18"/>
        </w:rPr>
      </w:pPr>
      <w:r>
        <w:rPr>
          <w:rFonts w:ascii="Times New Roman" w:hAnsi="Times New Roman" w:cs="Times New Roman"/>
          <w:color w:val="0C0C0C"/>
          <w:sz w:val="18"/>
          <w:szCs w:val="18"/>
        </w:rPr>
        <w:t xml:space="preserve">Note. Note. RNI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color w:val="0C0C0C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Recommended intake;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AI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color w:val="0C0C0C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Adequate Intake;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c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Average intake;</w:t>
      </w:r>
      <w:r>
        <w:rPr>
          <w:rFonts w:hint="eastAsia" w:ascii="Times New Roman" w:hAnsi="Times New Roman" w:cs="Times New Roman"/>
          <w:color w:val="0C0C0C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</w:rPr>
        <w:t>%E: The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percentage of total energy; </w:t>
      </w:r>
      <w:r>
        <w:rPr>
          <w:rFonts w:ascii="Times New Roman" w:hAnsi="Times New Roman" w:cs="Times New Roman"/>
          <w:color w:val="0C0C0C"/>
          <w:sz w:val="18"/>
          <w:szCs w:val="18"/>
          <w:vertAlign w:val="superscript"/>
        </w:rPr>
        <w:t>e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Retinol activity equivalent (RAE, μg) =Dietary or supplement source all trans retinol（μg) +1/2 Supplement Pure All Trans β- Carotene（μg)+1/12 Dietary all trans β- Carotene（μg) +1/24 Other Dietary Vitamin A Procarotenoids（μg);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f</w:t>
      </w:r>
      <w:r>
        <w:rPr>
          <w:rFonts w:ascii="Times New Roman" w:hAnsi="Times New Roman" w:cs="Times New Roman"/>
          <w:color w:val="0C0C0C"/>
          <w:sz w:val="18"/>
          <w:szCs w:val="18"/>
        </w:rPr>
        <w:t>α- Tocopherol equivalent（α- TE, mg), total in diet α- TE equivalent (mg)=1 ×α- Tocopherol (mg)+0.5 ×β- Tocopherol (mg)+0.1 × γ – tocopherol (mg)+0.2 ×δ- Tocopherol (mg)+0.3 ×α- Triene tocopherol (mg)</w:t>
      </w:r>
      <w:r>
        <w:rPr>
          <w:rFonts w:hint="eastAsia" w:ascii="Times New Roman" w:hAnsi="Times New Roman" w:cs="Times New Roman"/>
          <w:color w:val="0C0C0C"/>
          <w:sz w:val="18"/>
          <w:szCs w:val="18"/>
        </w:rPr>
        <w:t>; *</w:t>
      </w:r>
      <w:r>
        <w:rPr>
          <w:rFonts w:ascii="Times New Roman" w:hAnsi="Times New Roman" w:cs="Times New Roman"/>
          <w:color w:val="0C0C0C"/>
          <w:sz w:val="18"/>
          <w:szCs w:val="18"/>
        </w:rPr>
        <w:t>Cholesterol intake should not be excessive, so only distinguishing between moderate</w:t>
      </w:r>
      <w:r>
        <w:rPr>
          <w:rFonts w:hint="eastAsia" w:ascii="Times New Roman" w:hAnsi="Times New Roman" w:cs="Times New Roman"/>
          <w:color w:val="0C0C0C"/>
          <w:sz w:val="18"/>
          <w:szCs w:val="18"/>
        </w:rPr>
        <w:t>ness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and excessive</w:t>
      </w:r>
      <w:r>
        <w:rPr>
          <w:rFonts w:hint="eastAsia" w:ascii="Times New Roman" w:hAnsi="Times New Roman" w:cs="Times New Roman"/>
          <w:color w:val="0C0C0C"/>
          <w:sz w:val="18"/>
          <w:szCs w:val="18"/>
        </w:rPr>
        <w:t>ness.</w:t>
      </w:r>
    </w:p>
    <w:p>
      <w:pPr>
        <w:rPr>
          <w:rFonts w:ascii="Times New Roman" w:hAnsi="Times New Roman" w:cs="Times New Roman"/>
          <w:color w:val="0C0C0C"/>
          <w:sz w:val="18"/>
          <w:szCs w:val="18"/>
        </w:rPr>
      </w:pPr>
      <w:r>
        <w:rPr>
          <w:rFonts w:ascii="Times New Roman" w:hAnsi="Times New Roman" w:cs="Times New Roman"/>
          <w:color w:val="0C0C0C"/>
          <w:sz w:val="18"/>
          <w:szCs w:val="18"/>
        </w:rPr>
        <w:t xml:space="preserve">The </w:t>
      </w:r>
      <w:r>
        <w:rPr>
          <w:rFonts w:hint="eastAsia" w:ascii="Times New Roman" w:hAnsi="Times New Roman" w:cs="Times New Roman"/>
          <w:color w:val="0C0C0C"/>
          <w:sz w:val="18"/>
          <w:szCs w:val="18"/>
        </w:rPr>
        <w:t>participants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of this study are all individuals with </w:t>
      </w:r>
      <w:r>
        <w:rPr>
          <w:rFonts w:hint="eastAsia" w:ascii="Times New Roman" w:hAnsi="Times New Roman" w:cs="Times New Roman"/>
          <w:color w:val="0C0C0C"/>
          <w:sz w:val="18"/>
          <w:szCs w:val="18"/>
        </w:rPr>
        <w:t>light</w:t>
      </w:r>
      <w:r>
        <w:rPr>
          <w:rFonts w:ascii="Times New Roman" w:hAnsi="Times New Roman" w:cs="Times New Roman"/>
          <w:color w:val="0C0C0C"/>
          <w:sz w:val="18"/>
          <w:szCs w:val="18"/>
        </w:rPr>
        <w:t xml:space="preserve"> physical activity</w:t>
      </w: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hint="eastAsia" w:ascii="Times New Roman" w:hAnsi="Times New Roman" w:cs="Times New Roman"/>
          <w:b/>
          <w:color w:val="0C0C0C"/>
          <w:sz w:val="24"/>
          <w:szCs w:val="24"/>
        </w:rPr>
        <w:t>Reference</w:t>
      </w:r>
    </w:p>
    <w:p>
      <w:pPr>
        <w:spacing w:line="360" w:lineRule="auto"/>
        <w:rPr>
          <w:rFonts w:ascii="Times New Roman" w:hAnsi="Times New Roman" w:cs="Times New Roman"/>
          <w:color w:val="0C0C0C"/>
          <w:szCs w:val="21"/>
        </w:rPr>
      </w:pPr>
    </w:p>
    <w:p>
      <w:pPr>
        <w:pStyle w:val="13"/>
        <w:spacing w:line="360" w:lineRule="auto"/>
        <w:ind w:left="720" w:hanging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C0C0C"/>
          <w:sz w:val="21"/>
          <w:szCs w:val="21"/>
        </w:rPr>
        <w:fldChar w:fldCharType="begin"/>
      </w:r>
      <w:r>
        <w:rPr>
          <w:rFonts w:ascii="Times New Roman" w:hAnsi="Times New Roman" w:cs="Times New Roman"/>
          <w:color w:val="0C0C0C"/>
          <w:sz w:val="21"/>
          <w:szCs w:val="21"/>
        </w:rPr>
        <w:instrText xml:space="preserve"> ADDIN EN.REFLIST </w:instrText>
      </w:r>
      <w:r>
        <w:rPr>
          <w:rFonts w:ascii="Times New Roman" w:hAnsi="Times New Roman" w:cs="Times New Roman"/>
          <w:color w:val="0C0C0C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China NHaFPCotPsRo. Dietary guide for elderly adults:WS /T－2017. Beijing: Chinese Standard Publishing agency; 2017.</w:t>
      </w:r>
    </w:p>
    <w:p>
      <w:pPr>
        <w:spacing w:line="360" w:lineRule="auto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0C0C0C"/>
          <w:szCs w:val="21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 in Nursing Scienc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vav5099vrx2xep2rap9aeh022rsrasffdt&quot;&gt;My EndNote Library&lt;record-ids&gt;&lt;item&gt;135&lt;/item&gt;&lt;/record-ids&gt;&lt;/item&gt;&lt;/Libraries&gt;"/>
  </w:docVars>
  <w:rsids>
    <w:rsidRoot w:val="007D512B"/>
    <w:rsid w:val="000A7A2C"/>
    <w:rsid w:val="000B4846"/>
    <w:rsid w:val="00100A28"/>
    <w:rsid w:val="001346C3"/>
    <w:rsid w:val="0032315A"/>
    <w:rsid w:val="0049395F"/>
    <w:rsid w:val="004A4CB9"/>
    <w:rsid w:val="00561F0E"/>
    <w:rsid w:val="0058621E"/>
    <w:rsid w:val="005A6716"/>
    <w:rsid w:val="0062372A"/>
    <w:rsid w:val="00652C06"/>
    <w:rsid w:val="00682C52"/>
    <w:rsid w:val="007D512B"/>
    <w:rsid w:val="00884B94"/>
    <w:rsid w:val="00905295"/>
    <w:rsid w:val="009B7874"/>
    <w:rsid w:val="00A447EF"/>
    <w:rsid w:val="00A612CC"/>
    <w:rsid w:val="00AF19E9"/>
    <w:rsid w:val="00B91C43"/>
    <w:rsid w:val="00C8252C"/>
    <w:rsid w:val="00CE20CB"/>
    <w:rsid w:val="00D53084"/>
    <w:rsid w:val="00D71A1D"/>
    <w:rsid w:val="00DF624F"/>
    <w:rsid w:val="00E037AE"/>
    <w:rsid w:val="00EB3EBF"/>
    <w:rsid w:val="00FD3EB5"/>
    <w:rsid w:val="6D1B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  <w:style w:type="paragraph" w:customStyle="1" w:styleId="11">
    <w:name w:val="EndNote Bibliography Title"/>
    <w:basedOn w:val="1"/>
    <w:link w:val="12"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12">
    <w:name w:val="EndNote Bibliography Title Char"/>
    <w:basedOn w:val="7"/>
    <w:link w:val="11"/>
    <w:qFormat/>
    <w:uiPriority w:val="0"/>
    <w:rPr>
      <w:rFonts w:ascii="等线" w:hAnsi="等线" w:eastAsia="等线"/>
      <w:sz w:val="20"/>
    </w:rPr>
  </w:style>
  <w:style w:type="paragraph" w:customStyle="1" w:styleId="13">
    <w:name w:val="EndNote Bibliography"/>
    <w:basedOn w:val="1"/>
    <w:link w:val="14"/>
    <w:uiPriority w:val="0"/>
    <w:rPr>
      <w:rFonts w:ascii="等线" w:hAnsi="等线" w:eastAsia="等线"/>
      <w:sz w:val="20"/>
    </w:rPr>
  </w:style>
  <w:style w:type="character" w:customStyle="1" w:styleId="14">
    <w:name w:val="EndNote Bibliography Char"/>
    <w:basedOn w:val="7"/>
    <w:link w:val="13"/>
    <w:uiPriority w:val="0"/>
    <w:rPr>
      <w:rFonts w:ascii="等线" w:hAnsi="等线" w:eastAsia="等线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CE84-6F49-4002-91B3-2625118315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2558</Characters>
  <Lines>21</Lines>
  <Paragraphs>5</Paragraphs>
  <TotalTime>187</TotalTime>
  <ScaleCrop>false</ScaleCrop>
  <LinksUpToDate>false</LinksUpToDate>
  <CharactersWithSpaces>3001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2023-05-02T01:14:00Z</dcterms:created>
  <dc:creator>lenovo</dc:creator>
  <cp:lastModifiedBy>婋</cp:lastModifiedBy>
  <dcterms:modified xsi:type="dcterms:W3CDTF">2023-08-17T06:26:47Z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0346F31A07D8498A856205C6156132DA_12</vt:lpwstr>
  </property>
</Properties>
</file>