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730E0" w14:textId="77777777" w:rsidR="00702DE8" w:rsidRPr="00702DE8" w:rsidRDefault="00702DE8" w:rsidP="00702DE8">
      <w:pPr>
        <w:spacing w:line="259" w:lineRule="auto"/>
        <w:rPr>
          <w:rFonts w:ascii="Verdana" w:hAnsi="Verdana"/>
          <w:b/>
        </w:rPr>
      </w:pPr>
      <w:r w:rsidRPr="00702DE8">
        <w:rPr>
          <w:rFonts w:ascii="Verdana" w:hAnsi="Verdana"/>
          <w:b/>
        </w:rPr>
        <w:t>Investigating practice integration of independent prescribing by community pharmacists using Normalization Process Theory: a cross-sectional survey</w:t>
      </w:r>
    </w:p>
    <w:p w14:paraId="741AC1F6" w14:textId="77777777" w:rsidR="00702DE8" w:rsidRPr="00702DE8" w:rsidRDefault="00702DE8" w:rsidP="00702DE8">
      <w:pPr>
        <w:spacing w:line="259" w:lineRule="auto"/>
        <w:rPr>
          <w:rFonts w:ascii="Verdana" w:hAnsi="Verdana"/>
          <w:b/>
        </w:rPr>
      </w:pPr>
    </w:p>
    <w:p w14:paraId="418FEA3C" w14:textId="77777777" w:rsidR="00702DE8" w:rsidRPr="00702DE8" w:rsidRDefault="00702DE8" w:rsidP="00702DE8">
      <w:pPr>
        <w:spacing w:line="259" w:lineRule="auto"/>
        <w:rPr>
          <w:rFonts w:ascii="Verdana" w:hAnsi="Verdana"/>
          <w:b/>
          <w:vertAlign w:val="superscript"/>
        </w:rPr>
      </w:pPr>
      <w:r w:rsidRPr="00702DE8">
        <w:rPr>
          <w:rFonts w:ascii="Verdana" w:hAnsi="Verdana"/>
          <w:b/>
        </w:rPr>
        <w:t>Karim, L</w:t>
      </w:r>
      <w:r w:rsidRPr="00702DE8">
        <w:rPr>
          <w:rFonts w:ascii="Verdana" w:hAnsi="Verdana"/>
          <w:b/>
          <w:vertAlign w:val="superscript"/>
        </w:rPr>
        <w:t>a</w:t>
      </w:r>
      <w:r w:rsidRPr="00702DE8">
        <w:rPr>
          <w:rFonts w:ascii="Verdana" w:hAnsi="Verdana"/>
          <w:b/>
        </w:rPr>
        <w:t>, McIntosh T</w:t>
      </w:r>
      <w:r w:rsidRPr="00702DE8">
        <w:rPr>
          <w:rFonts w:ascii="Verdana" w:hAnsi="Verdana"/>
          <w:b/>
          <w:vertAlign w:val="superscript"/>
        </w:rPr>
        <w:t>a</w:t>
      </w:r>
      <w:r w:rsidRPr="00702DE8">
        <w:rPr>
          <w:rFonts w:ascii="Verdana" w:hAnsi="Verdana"/>
          <w:b/>
        </w:rPr>
        <w:t>, Jebara T</w:t>
      </w:r>
      <w:r w:rsidRPr="00702DE8">
        <w:rPr>
          <w:rFonts w:ascii="Verdana" w:hAnsi="Verdana"/>
          <w:b/>
          <w:vertAlign w:val="superscript"/>
        </w:rPr>
        <w:t>b</w:t>
      </w:r>
      <w:r w:rsidRPr="00702DE8">
        <w:rPr>
          <w:rFonts w:ascii="Verdana" w:hAnsi="Verdana"/>
          <w:b/>
        </w:rPr>
        <w:t>, Pfleger D</w:t>
      </w:r>
      <w:r w:rsidRPr="00702DE8">
        <w:rPr>
          <w:rFonts w:ascii="Verdana" w:hAnsi="Verdana"/>
          <w:b/>
          <w:vertAlign w:val="superscript"/>
        </w:rPr>
        <w:t>c</w:t>
      </w:r>
      <w:r w:rsidRPr="00702DE8">
        <w:rPr>
          <w:rFonts w:ascii="Verdana" w:hAnsi="Verdana"/>
          <w:b/>
        </w:rPr>
        <w:t>, Osprey A</w:t>
      </w:r>
      <w:r w:rsidRPr="00702DE8">
        <w:rPr>
          <w:rFonts w:ascii="Verdana" w:hAnsi="Verdana"/>
          <w:b/>
          <w:vertAlign w:val="superscript"/>
        </w:rPr>
        <w:t>d</w:t>
      </w:r>
      <w:r w:rsidRPr="00702DE8">
        <w:rPr>
          <w:rFonts w:ascii="Verdana" w:hAnsi="Verdana"/>
          <w:b/>
        </w:rPr>
        <w:t>, Cunningham S</w:t>
      </w:r>
      <w:r w:rsidRPr="00702DE8">
        <w:rPr>
          <w:rFonts w:ascii="Verdana" w:hAnsi="Verdana"/>
          <w:b/>
          <w:vertAlign w:val="superscript"/>
        </w:rPr>
        <w:t>a</w:t>
      </w:r>
    </w:p>
    <w:p w14:paraId="4919E0FB" w14:textId="77777777" w:rsidR="00702DE8" w:rsidRPr="00702DE8" w:rsidRDefault="00702DE8" w:rsidP="00702DE8">
      <w:pPr>
        <w:spacing w:line="259" w:lineRule="auto"/>
        <w:rPr>
          <w:rFonts w:ascii="Verdana" w:hAnsi="Verdana"/>
          <w:b/>
        </w:rPr>
      </w:pPr>
    </w:p>
    <w:p w14:paraId="00D8C738" w14:textId="77777777" w:rsidR="00702DE8" w:rsidRPr="00702DE8" w:rsidRDefault="00702DE8" w:rsidP="00702DE8">
      <w:pPr>
        <w:numPr>
          <w:ilvl w:val="0"/>
          <w:numId w:val="2"/>
        </w:numPr>
        <w:spacing w:after="0" w:line="240" w:lineRule="auto"/>
        <w:contextualSpacing/>
        <w:rPr>
          <w:rFonts w:ascii="Verdana" w:eastAsia="Times New Roman" w:hAnsi="Verdana" w:cs="Angsana New"/>
          <w:bCs/>
          <w:lang w:eastAsia="en-GB" w:bidi="th-TH"/>
        </w:rPr>
      </w:pPr>
      <w:r w:rsidRPr="00702DE8">
        <w:rPr>
          <w:rFonts w:ascii="Verdana" w:eastAsia="Times New Roman" w:hAnsi="Verdana" w:cs="Angsana New"/>
          <w:bCs/>
          <w:lang w:eastAsia="en-GB" w:bidi="th-TH"/>
        </w:rPr>
        <w:t xml:space="preserve">School of Pharmacy &amp; Life Sciences, Robert Gordon University, </w:t>
      </w:r>
      <w:proofErr w:type="spellStart"/>
      <w:r w:rsidRPr="00702DE8">
        <w:rPr>
          <w:rFonts w:ascii="Verdana" w:eastAsia="Times New Roman" w:hAnsi="Verdana" w:cs="Angsana New"/>
          <w:bCs/>
          <w:lang w:eastAsia="en-GB" w:bidi="th-TH"/>
        </w:rPr>
        <w:t>Garthdee</w:t>
      </w:r>
      <w:proofErr w:type="spellEnd"/>
      <w:r w:rsidRPr="00702DE8">
        <w:rPr>
          <w:rFonts w:ascii="Verdana" w:eastAsia="Times New Roman" w:hAnsi="Verdana" w:cs="Angsana New"/>
          <w:bCs/>
          <w:lang w:eastAsia="en-GB" w:bidi="th-TH"/>
        </w:rPr>
        <w:t xml:space="preserve"> Road, Aberdeen, AB10 7GJ</w:t>
      </w:r>
    </w:p>
    <w:p w14:paraId="175F4E24" w14:textId="77777777" w:rsidR="00702DE8" w:rsidRPr="00702DE8" w:rsidRDefault="00702DE8" w:rsidP="00702DE8">
      <w:pPr>
        <w:numPr>
          <w:ilvl w:val="0"/>
          <w:numId w:val="2"/>
        </w:numPr>
        <w:spacing w:after="0" w:line="240" w:lineRule="auto"/>
        <w:contextualSpacing/>
        <w:rPr>
          <w:rFonts w:ascii="Verdana" w:eastAsia="Times New Roman" w:hAnsi="Verdana" w:cs="Angsana New"/>
          <w:bCs/>
          <w:lang w:eastAsia="en-GB" w:bidi="th-TH"/>
        </w:rPr>
      </w:pPr>
      <w:r w:rsidRPr="00702DE8">
        <w:rPr>
          <w:rFonts w:ascii="Verdana" w:eastAsia="Times New Roman" w:hAnsi="Verdana" w:cs="Angsana New"/>
          <w:bCs/>
          <w:lang w:eastAsia="en-GB" w:bidi="th-TH"/>
        </w:rPr>
        <w:t xml:space="preserve">Health Services &amp; Population Science Department, Institute of Psychiatry, Psychology &amp; Neuroscience, De </w:t>
      </w:r>
      <w:proofErr w:type="spellStart"/>
      <w:r w:rsidRPr="00702DE8">
        <w:rPr>
          <w:rFonts w:ascii="Verdana" w:eastAsia="Times New Roman" w:hAnsi="Verdana" w:cs="Angsana New"/>
          <w:bCs/>
          <w:lang w:eastAsia="en-GB" w:bidi="th-TH"/>
        </w:rPr>
        <w:t>Crespigny</w:t>
      </w:r>
      <w:proofErr w:type="spellEnd"/>
      <w:r w:rsidRPr="00702DE8">
        <w:rPr>
          <w:rFonts w:ascii="Verdana" w:eastAsia="Times New Roman" w:hAnsi="Verdana" w:cs="Angsana New"/>
          <w:bCs/>
          <w:lang w:eastAsia="en-GB" w:bidi="th-TH"/>
        </w:rPr>
        <w:t xml:space="preserve"> Park, King's College London, London, SE5 8AF</w:t>
      </w:r>
    </w:p>
    <w:p w14:paraId="3E4587A8" w14:textId="77777777" w:rsidR="00702DE8" w:rsidRPr="00702DE8" w:rsidRDefault="00702DE8" w:rsidP="00702DE8">
      <w:pPr>
        <w:numPr>
          <w:ilvl w:val="0"/>
          <w:numId w:val="2"/>
        </w:numPr>
        <w:spacing w:after="0" w:line="240" w:lineRule="auto"/>
        <w:contextualSpacing/>
        <w:rPr>
          <w:rFonts w:ascii="Verdana" w:eastAsia="Times New Roman" w:hAnsi="Verdana" w:cs="Angsana New"/>
          <w:bCs/>
          <w:lang w:eastAsia="en-GB" w:bidi="th-TH"/>
        </w:rPr>
      </w:pPr>
      <w:r w:rsidRPr="00702DE8">
        <w:rPr>
          <w:rFonts w:ascii="Verdana" w:eastAsia="Times New Roman" w:hAnsi="Verdana" w:cs="Angsana New"/>
          <w:bCs/>
          <w:lang w:eastAsia="en-GB" w:bidi="th-TH"/>
        </w:rPr>
        <w:t>Pharmacy &amp; Medicines Directorate, Westholme, Woodend Hospital, Queens Road, Aberdeen, AB15 6LS</w:t>
      </w:r>
    </w:p>
    <w:p w14:paraId="0C720F70" w14:textId="77777777" w:rsidR="00702DE8" w:rsidRPr="00702DE8" w:rsidRDefault="00702DE8" w:rsidP="00702DE8">
      <w:pPr>
        <w:numPr>
          <w:ilvl w:val="0"/>
          <w:numId w:val="2"/>
        </w:numPr>
        <w:spacing w:after="0" w:line="240" w:lineRule="auto"/>
        <w:contextualSpacing/>
        <w:rPr>
          <w:rFonts w:ascii="Verdana" w:eastAsia="Times New Roman" w:hAnsi="Verdana" w:cs="Angsana New"/>
          <w:bCs/>
          <w:lang w:eastAsia="en-GB" w:bidi="th-TH"/>
        </w:rPr>
      </w:pPr>
      <w:r w:rsidRPr="00702DE8">
        <w:rPr>
          <w:rFonts w:ascii="Verdana" w:eastAsia="Times New Roman" w:hAnsi="Verdana" w:cs="Angsana New"/>
          <w:bCs/>
          <w:lang w:eastAsia="en-GB" w:bidi="th-TH"/>
        </w:rPr>
        <w:t>Community Pharmacy Scotland, 42 Queen Street, Edinburgh, EH2 3NH</w:t>
      </w:r>
    </w:p>
    <w:p w14:paraId="03083675" w14:textId="77777777" w:rsidR="00702DE8" w:rsidRPr="00702DE8" w:rsidRDefault="00702DE8" w:rsidP="00702DE8">
      <w:pPr>
        <w:spacing w:line="259" w:lineRule="auto"/>
        <w:rPr>
          <w:rFonts w:ascii="Verdana" w:hAnsi="Verdana"/>
          <w:b/>
        </w:rPr>
      </w:pPr>
    </w:p>
    <w:p w14:paraId="6D1DD34F" w14:textId="77777777" w:rsidR="00702DE8" w:rsidRPr="00702DE8" w:rsidRDefault="00702DE8" w:rsidP="00702DE8">
      <w:pPr>
        <w:spacing w:line="259" w:lineRule="auto"/>
        <w:jc w:val="both"/>
        <w:rPr>
          <w:rFonts w:ascii="Verdana" w:hAnsi="Verdana"/>
          <w:b/>
        </w:rPr>
      </w:pPr>
      <w:r w:rsidRPr="00702DE8">
        <w:rPr>
          <w:rFonts w:ascii="Verdana" w:hAnsi="Verdana"/>
          <w:b/>
        </w:rPr>
        <w:t>Corresponding author:</w:t>
      </w:r>
    </w:p>
    <w:p w14:paraId="2C406F5F" w14:textId="77777777" w:rsidR="00702DE8" w:rsidRPr="00702DE8" w:rsidRDefault="00702DE8" w:rsidP="00702DE8">
      <w:pPr>
        <w:spacing w:line="259" w:lineRule="auto"/>
        <w:jc w:val="both"/>
        <w:rPr>
          <w:rFonts w:ascii="Verdana" w:hAnsi="Verdana"/>
          <w:bCs/>
        </w:rPr>
      </w:pPr>
      <w:r w:rsidRPr="00702DE8">
        <w:rPr>
          <w:rFonts w:ascii="Verdana" w:hAnsi="Verdana"/>
          <w:bCs/>
        </w:rPr>
        <w:t>Professor Scott Cunningham</w:t>
      </w:r>
    </w:p>
    <w:p w14:paraId="3EFD48AF" w14:textId="77777777" w:rsidR="00702DE8" w:rsidRPr="00702DE8" w:rsidRDefault="00702DE8" w:rsidP="00702DE8">
      <w:pPr>
        <w:spacing w:line="259" w:lineRule="auto"/>
        <w:jc w:val="both"/>
        <w:rPr>
          <w:rFonts w:ascii="Verdana" w:hAnsi="Verdana"/>
          <w:bCs/>
        </w:rPr>
      </w:pPr>
      <w:r w:rsidRPr="00702DE8">
        <w:rPr>
          <w:rFonts w:ascii="Verdana" w:hAnsi="Verdana"/>
          <w:bCs/>
        </w:rPr>
        <w:t xml:space="preserve">Professor of Pharmacy Education &amp; Practice, School of Pharmacy &amp; Life Sciences, Robert Gordon University, </w:t>
      </w:r>
      <w:proofErr w:type="spellStart"/>
      <w:r w:rsidRPr="00702DE8">
        <w:rPr>
          <w:rFonts w:ascii="Verdana" w:hAnsi="Verdana"/>
          <w:bCs/>
        </w:rPr>
        <w:t>Garthdee</w:t>
      </w:r>
      <w:proofErr w:type="spellEnd"/>
      <w:r w:rsidRPr="00702DE8">
        <w:rPr>
          <w:rFonts w:ascii="Verdana" w:hAnsi="Verdana"/>
          <w:bCs/>
        </w:rPr>
        <w:t xml:space="preserve"> Road, Aberdeen, AB10 7GJ</w:t>
      </w:r>
    </w:p>
    <w:p w14:paraId="7155A3D1" w14:textId="15DA2BC2" w:rsidR="00702DE8" w:rsidRDefault="00702DE8" w:rsidP="00702DE8">
      <w:pPr>
        <w:rPr>
          <w:rFonts w:ascii="Verdana" w:hAnsi="Verdana"/>
          <w:b/>
          <w:bCs/>
        </w:rPr>
      </w:pPr>
      <w:r w:rsidRPr="00702DE8">
        <w:rPr>
          <w:rFonts w:ascii="Verdana" w:hAnsi="Verdana"/>
          <w:bCs/>
        </w:rPr>
        <w:t xml:space="preserve">Email: </w:t>
      </w:r>
      <w:hyperlink r:id="rId5" w:history="1">
        <w:r w:rsidRPr="00702DE8">
          <w:rPr>
            <w:rFonts w:ascii="Verdana" w:hAnsi="Verdana"/>
            <w:bCs/>
            <w:color w:val="0000FF"/>
            <w:u w:val="single"/>
          </w:rPr>
          <w:t>s.cunningham@rgu.ac.uk</w:t>
        </w:r>
      </w:hyperlink>
    </w:p>
    <w:p w14:paraId="5C98DA99" w14:textId="77777777" w:rsidR="00702DE8" w:rsidRDefault="00702DE8" w:rsidP="00702DE8">
      <w:pPr>
        <w:rPr>
          <w:rFonts w:ascii="Verdana" w:hAnsi="Verdana"/>
          <w:b/>
          <w:bCs/>
        </w:rPr>
      </w:pPr>
    </w:p>
    <w:p w14:paraId="11743EA9" w14:textId="7D7A6C47" w:rsidR="00702DE8" w:rsidRDefault="00702DE8" w:rsidP="00702DE8">
      <w:pPr>
        <w:rPr>
          <w:rFonts w:ascii="Verdana" w:hAnsi="Verdana"/>
          <w:b/>
          <w:bCs/>
        </w:rPr>
      </w:pPr>
      <w:r>
        <w:rPr>
          <w:rFonts w:ascii="Verdana" w:hAnsi="Verdana"/>
          <w:b/>
          <w:bCs/>
        </w:rPr>
        <w:t>Supplementary Materials</w:t>
      </w:r>
    </w:p>
    <w:p w14:paraId="33949377" w14:textId="77777777" w:rsidR="00702DE8" w:rsidRDefault="00702DE8" w:rsidP="00702DE8">
      <w:pPr>
        <w:rPr>
          <w:rFonts w:ascii="Verdana" w:hAnsi="Verdana"/>
          <w:b/>
          <w:bCs/>
        </w:rPr>
      </w:pPr>
      <w:r>
        <w:rPr>
          <w:rFonts w:ascii="Verdana" w:hAnsi="Verdana"/>
          <w:b/>
          <w:bCs/>
        </w:rPr>
        <w:t>S1. Content analysis of open comments</w:t>
      </w:r>
    </w:p>
    <w:p w14:paraId="65EA18CD" w14:textId="77777777" w:rsidR="00702DE8" w:rsidRDefault="00702DE8" w:rsidP="00702DE8">
      <w:pPr>
        <w:rPr>
          <w:rFonts w:ascii="Verdana" w:hAnsi="Verdana"/>
        </w:rPr>
      </w:pPr>
      <w:r>
        <w:rPr>
          <w:rFonts w:ascii="Verdana" w:hAnsi="Verdana"/>
        </w:rPr>
        <w:t xml:space="preserve">The high levels of agreement in the three </w:t>
      </w:r>
      <w:proofErr w:type="spellStart"/>
      <w:r>
        <w:rPr>
          <w:rFonts w:ascii="Verdana" w:hAnsi="Verdana"/>
        </w:rPr>
        <w:t>NoMAD</w:t>
      </w:r>
      <w:proofErr w:type="spellEnd"/>
      <w:r>
        <w:rPr>
          <w:rFonts w:ascii="Verdana" w:hAnsi="Verdana"/>
        </w:rPr>
        <w:t xml:space="preserve"> constructs: ‘coherence’, ‘cognitive participation’ and ‘reflexive monitoring’ were in contrast to those in the ‘collective action’ construct, where there was less agreement and less positivity.  Participants’ open comments in the questionnaire also reflected this.  </w:t>
      </w:r>
    </w:p>
    <w:p w14:paraId="60C66D7D" w14:textId="77777777" w:rsidR="00702DE8" w:rsidRDefault="00702DE8" w:rsidP="00702DE8">
      <w:pPr>
        <w:rPr>
          <w:rFonts w:ascii="Verdana" w:hAnsi="Verdana"/>
        </w:rPr>
      </w:pPr>
      <w:r>
        <w:rPr>
          <w:rFonts w:ascii="Verdana" w:hAnsi="Verdana"/>
        </w:rPr>
        <w:t>Themes are highlighted in bold and illustrative quotations are provided with an indication of the respondent’s characteristics including: number of PFP consults per week, staff working alongside whilst offering PFP and years qualified as IP.</w:t>
      </w:r>
    </w:p>
    <w:p w14:paraId="3763440E" w14:textId="77777777" w:rsidR="00702DE8" w:rsidRDefault="00702DE8" w:rsidP="00702DE8">
      <w:pPr>
        <w:rPr>
          <w:rFonts w:ascii="Verdana" w:hAnsi="Verdana"/>
        </w:rPr>
      </w:pPr>
      <w:r>
        <w:rPr>
          <w:rFonts w:ascii="Verdana" w:hAnsi="Verdana"/>
        </w:rPr>
        <w:t xml:space="preserve">Integration of PFP into usual </w:t>
      </w:r>
      <w:r>
        <w:rPr>
          <w:rFonts w:ascii="Verdana" w:hAnsi="Verdana"/>
          <w:b/>
          <w:bCs/>
        </w:rPr>
        <w:t>working patterns was felt to be challenging</w:t>
      </w:r>
      <w:r>
        <w:rPr>
          <w:rFonts w:ascii="Verdana" w:hAnsi="Verdana"/>
        </w:rPr>
        <w:t xml:space="preserve">, with documentation and communication with GP practices particularly so. </w:t>
      </w:r>
    </w:p>
    <w:p w14:paraId="76369949" w14:textId="77777777" w:rsidR="00702DE8" w:rsidRDefault="00702DE8" w:rsidP="00702DE8">
      <w:pPr>
        <w:ind w:left="720"/>
        <w:rPr>
          <w:rFonts w:ascii="Verdana" w:hAnsi="Verdana"/>
        </w:rPr>
      </w:pPr>
      <w:r>
        <w:rPr>
          <w:rFonts w:ascii="Verdana" w:hAnsi="Verdana"/>
        </w:rPr>
        <w:t>“Documenting Pharmacy First Plus consultations takes time. This information then needs to be copied and sent to GP practice. They then scan into [the] patient’s file. IP community pharmacists need access to GP systems to cut down on admin and improve communication.” (&gt;10 times per week, 4-6 staff, IP for 1-5 years)</w:t>
      </w:r>
    </w:p>
    <w:p w14:paraId="27A37B4F" w14:textId="77777777" w:rsidR="00702DE8" w:rsidRDefault="00702DE8" w:rsidP="00702DE8">
      <w:pPr>
        <w:rPr>
          <w:rFonts w:ascii="Verdana" w:hAnsi="Verdana"/>
        </w:rPr>
      </w:pPr>
      <w:r>
        <w:rPr>
          <w:rFonts w:ascii="Verdana" w:hAnsi="Verdana"/>
        </w:rPr>
        <w:t xml:space="preserve">Participants highlighted the </w:t>
      </w:r>
      <w:r>
        <w:rPr>
          <w:rFonts w:ascii="Verdana" w:hAnsi="Verdana"/>
          <w:b/>
          <w:bCs/>
        </w:rPr>
        <w:t>potential difficulties inherent in making clinical decisions without access to sufficient information</w:t>
      </w:r>
      <w:r>
        <w:rPr>
          <w:rFonts w:ascii="Verdana" w:hAnsi="Verdana"/>
        </w:rPr>
        <w:t xml:space="preserve">. </w:t>
      </w:r>
    </w:p>
    <w:p w14:paraId="45BE4DDB" w14:textId="77777777" w:rsidR="00702DE8" w:rsidRDefault="00702DE8" w:rsidP="00702DE8">
      <w:pPr>
        <w:ind w:left="720"/>
        <w:rPr>
          <w:rFonts w:ascii="Verdana" w:hAnsi="Verdana"/>
        </w:rPr>
      </w:pPr>
      <w:r>
        <w:rPr>
          <w:rFonts w:ascii="Verdana" w:hAnsi="Verdana"/>
        </w:rPr>
        <w:lastRenderedPageBreak/>
        <w:t>“The communicating each interaction with GP surgeries is the most time consuming part of this role and we sometimes feel we are acting in the dark as we don’t have access to notes.” (6-10 times per week, 4-6 staff, IP for 6-10 years)</w:t>
      </w:r>
    </w:p>
    <w:p w14:paraId="30BDA154" w14:textId="77777777" w:rsidR="00702DE8" w:rsidRDefault="00702DE8" w:rsidP="00702DE8">
      <w:pPr>
        <w:rPr>
          <w:rFonts w:ascii="Verdana" w:hAnsi="Verdana"/>
        </w:rPr>
      </w:pPr>
      <w:r>
        <w:rPr>
          <w:rFonts w:ascii="Verdana" w:hAnsi="Verdana"/>
        </w:rPr>
        <w:t xml:space="preserve">Given that the service is offered across Scotland, one participant suggested the need for </w:t>
      </w:r>
      <w:r>
        <w:rPr>
          <w:rFonts w:ascii="Verdana" w:hAnsi="Verdana"/>
          <w:b/>
          <w:bCs/>
        </w:rPr>
        <w:t>provision of nationwide GP contact information</w:t>
      </w:r>
      <w:r>
        <w:rPr>
          <w:rFonts w:ascii="Verdana" w:hAnsi="Verdana"/>
        </w:rPr>
        <w:t>.</w:t>
      </w:r>
    </w:p>
    <w:p w14:paraId="75E2D407" w14:textId="77777777" w:rsidR="00702DE8" w:rsidRDefault="00702DE8" w:rsidP="00702DE8">
      <w:pPr>
        <w:ind w:left="720"/>
        <w:rPr>
          <w:rFonts w:ascii="Verdana" w:hAnsi="Verdana"/>
        </w:rPr>
      </w:pPr>
      <w:r>
        <w:rPr>
          <w:rFonts w:ascii="Verdana" w:hAnsi="Verdana"/>
        </w:rPr>
        <w:t>“I see a lot of tourists and there isn't even a list of GP practice clinical e-mails meaning we have to phone and get this before sending info through - this seems like something that could easily be pulled together to help make our lives easier!” (6-10 times per week, has 3 or fewer staff, IP for 6-10 years)</w:t>
      </w:r>
    </w:p>
    <w:p w14:paraId="19ECF972" w14:textId="77777777" w:rsidR="00702DE8" w:rsidRDefault="00702DE8" w:rsidP="00702DE8">
      <w:pPr>
        <w:rPr>
          <w:rFonts w:ascii="Verdana" w:hAnsi="Verdana"/>
        </w:rPr>
      </w:pPr>
      <w:r>
        <w:rPr>
          <w:rFonts w:ascii="Verdana" w:hAnsi="Verdana"/>
          <w:b/>
          <w:bCs/>
        </w:rPr>
        <w:t>Uptake of the service by patients varied</w:t>
      </w:r>
      <w:r>
        <w:rPr>
          <w:rFonts w:ascii="Verdana" w:hAnsi="Verdana"/>
        </w:rPr>
        <w:t xml:space="preserve"> with some pharmacists spending a large proportion of their time in PFP consultations while others described much lower uptake.  </w:t>
      </w:r>
    </w:p>
    <w:p w14:paraId="332A4948" w14:textId="77777777" w:rsidR="00702DE8" w:rsidRDefault="00702DE8" w:rsidP="00702DE8">
      <w:pPr>
        <w:ind w:left="720"/>
        <w:rPr>
          <w:rFonts w:ascii="Verdana" w:hAnsi="Verdana"/>
        </w:rPr>
      </w:pPr>
      <w:r>
        <w:rPr>
          <w:rFonts w:ascii="Verdana" w:hAnsi="Verdana"/>
        </w:rPr>
        <w:t>“Community pharmacy is a very challenging place to work…..The stress of undertaking multiple consultations a day including required paperwork and consultation notes/SBARs and then to do the normal day’s work is very challenging. I feel over-worked on a daily basis with very little support from higher up management (despite raising concerns).” (fewer than 5 times per week under PFP, has 3 or fewer staff, IP for 1-5 years)</w:t>
      </w:r>
    </w:p>
    <w:p w14:paraId="784A11D7" w14:textId="77777777" w:rsidR="00702DE8" w:rsidRDefault="00702DE8" w:rsidP="00702DE8">
      <w:pPr>
        <w:ind w:left="720"/>
        <w:rPr>
          <w:rFonts w:ascii="Verdana" w:hAnsi="Verdana"/>
        </w:rPr>
      </w:pPr>
      <w:r>
        <w:rPr>
          <w:rFonts w:ascii="Verdana" w:hAnsi="Verdana"/>
        </w:rPr>
        <w:t>“Despite promoting within our social media sites, pharmacy app, local HSCP prescribing team and GP surgeries, uptake is surprisingly small. That said, we are so busy with our usual workload that it would be difficult to imagine how I would fit everything in if numbers were big.” (6-10 times per week, has 4-6 staff, IP for &gt;10 years)</w:t>
      </w:r>
    </w:p>
    <w:p w14:paraId="4C9B5845" w14:textId="77777777" w:rsidR="00702DE8" w:rsidRDefault="00702DE8" w:rsidP="00702DE8">
      <w:pPr>
        <w:rPr>
          <w:rFonts w:ascii="Verdana" w:hAnsi="Verdana"/>
        </w:rPr>
      </w:pPr>
      <w:r>
        <w:rPr>
          <w:rFonts w:ascii="Verdana" w:hAnsi="Verdana"/>
        </w:rPr>
        <w:t xml:space="preserve">The </w:t>
      </w:r>
      <w:r>
        <w:rPr>
          <w:rFonts w:ascii="Verdana" w:hAnsi="Verdana"/>
          <w:b/>
          <w:bCs/>
        </w:rPr>
        <w:t>need for additional training</w:t>
      </w:r>
      <w:r>
        <w:rPr>
          <w:rFonts w:ascii="Verdana" w:hAnsi="Verdana"/>
        </w:rPr>
        <w:t xml:space="preserve"> was highlighted.  </w:t>
      </w:r>
    </w:p>
    <w:p w14:paraId="7E962FF2" w14:textId="77777777" w:rsidR="00702DE8" w:rsidRDefault="00702DE8" w:rsidP="00702DE8">
      <w:pPr>
        <w:ind w:left="720"/>
        <w:rPr>
          <w:rFonts w:ascii="Verdana" w:hAnsi="Verdana"/>
        </w:rPr>
      </w:pPr>
      <w:r>
        <w:rPr>
          <w:rFonts w:ascii="Verdana" w:hAnsi="Verdana"/>
        </w:rPr>
        <w:t>“We have had to learn new skills on the job. As the programme evolves and evidence is gathered about conditions treated, hopefully adequate info and training programmes will be offered so we are adequately prepared.” (Fewer than 5 times per week, has 3 or fewer staff, IP for &gt;10 years)</w:t>
      </w:r>
    </w:p>
    <w:p w14:paraId="62BA51CB" w14:textId="77777777" w:rsidR="00702DE8" w:rsidRDefault="00702DE8" w:rsidP="00702DE8">
      <w:pPr>
        <w:rPr>
          <w:rFonts w:ascii="Verdana" w:hAnsi="Verdana"/>
        </w:rPr>
      </w:pPr>
      <w:r>
        <w:rPr>
          <w:rFonts w:ascii="Verdana" w:hAnsi="Verdana"/>
        </w:rPr>
        <w:t>These comments describe respondents’ willingness to adopt and integrate this new service into their already substantial workloads and the urgent need to improve communication with GP practices including access to patient notes to facilitate this.  Respondents expressed a need for additional training and staff resource with many working in a very demanding role as the sole pharmacist while providing the PFP service.</w:t>
      </w:r>
    </w:p>
    <w:p w14:paraId="20E0D4C1" w14:textId="77777777" w:rsidR="00702DE8" w:rsidRDefault="00702DE8" w:rsidP="00702DE8">
      <w:pPr>
        <w:rPr>
          <w:rFonts w:ascii="Verdana" w:hAnsi="Verdana"/>
        </w:rPr>
      </w:pPr>
    </w:p>
    <w:p w14:paraId="6C4EBB30" w14:textId="77777777" w:rsidR="00702DE8" w:rsidRDefault="00702DE8" w:rsidP="00702DE8">
      <w:pPr>
        <w:rPr>
          <w:rFonts w:ascii="Verdana" w:hAnsi="Verdana"/>
          <w:b/>
          <w:bCs/>
        </w:rPr>
      </w:pPr>
      <w:r>
        <w:rPr>
          <w:rFonts w:ascii="Verdana" w:hAnsi="Verdana"/>
          <w:b/>
          <w:bCs/>
        </w:rPr>
        <w:t xml:space="preserve">S2. Further validation of </w:t>
      </w:r>
      <w:proofErr w:type="spellStart"/>
      <w:r>
        <w:rPr>
          <w:rFonts w:ascii="Verdana" w:hAnsi="Verdana"/>
          <w:b/>
          <w:bCs/>
        </w:rPr>
        <w:t>NoMAD</w:t>
      </w:r>
      <w:proofErr w:type="spellEnd"/>
      <w:r>
        <w:rPr>
          <w:rFonts w:ascii="Verdana" w:hAnsi="Verdana"/>
          <w:b/>
          <w:bCs/>
        </w:rPr>
        <w:t xml:space="preserve"> derived questionnaire items </w:t>
      </w:r>
    </w:p>
    <w:p w14:paraId="237020CB" w14:textId="77777777" w:rsidR="00702DE8" w:rsidRDefault="00702DE8" w:rsidP="00702DE8">
      <w:pPr>
        <w:rPr>
          <w:rFonts w:ascii="Verdana" w:hAnsi="Verdana"/>
        </w:rPr>
      </w:pPr>
      <w:r>
        <w:rPr>
          <w:rFonts w:ascii="Verdana" w:hAnsi="Verdana"/>
        </w:rPr>
        <w:t xml:space="preserve">As outlined in the paper, scale scores for each of the four NPT constructs were calculated through summation of item scores from within each construct for each respondent.  In order to assure the validity of taking this approach the items </w:t>
      </w:r>
      <w:r>
        <w:rPr>
          <w:rFonts w:ascii="Verdana" w:hAnsi="Verdana"/>
        </w:rPr>
        <w:lastRenderedPageBreak/>
        <w:t>were tested for internal consistency (i.e. how well they related to each other) by calculation of Cronbach’s alpha.</w:t>
      </w:r>
    </w:p>
    <w:p w14:paraId="1FA6C512" w14:textId="77777777" w:rsidR="00702DE8" w:rsidRDefault="00702DE8" w:rsidP="00702DE8">
      <w:pPr>
        <w:rPr>
          <w:rFonts w:ascii="Verdana" w:hAnsi="Verdana"/>
        </w:rPr>
      </w:pPr>
      <w:r>
        <w:rPr>
          <w:rFonts w:ascii="Verdana" w:hAnsi="Verdana"/>
        </w:rPr>
        <w:t xml:space="preserve">Additionally, and in line with the procedures taken by the original developers of the </w:t>
      </w:r>
      <w:proofErr w:type="spellStart"/>
      <w:r>
        <w:rPr>
          <w:rFonts w:ascii="Verdana" w:hAnsi="Verdana"/>
        </w:rPr>
        <w:t>NoMAD</w:t>
      </w:r>
      <w:proofErr w:type="spellEnd"/>
      <w:r>
        <w:rPr>
          <w:rFonts w:ascii="Verdana" w:hAnsi="Verdana"/>
        </w:rPr>
        <w:t xml:space="preserve"> tool [1] the correlations between the construct measures scores and the overall normalisation score with the general assessment items are shown in Table A. </w:t>
      </w:r>
    </w:p>
    <w:p w14:paraId="5BE2F54A" w14:textId="77777777" w:rsidR="00702DE8" w:rsidRDefault="00702DE8" w:rsidP="00702DE8">
      <w:pPr>
        <w:rPr>
          <w:rFonts w:ascii="Verdana" w:hAnsi="Verdana"/>
        </w:rPr>
      </w:pPr>
      <w:r>
        <w:rPr>
          <w:rFonts w:ascii="Verdana" w:hAnsi="Verdana"/>
        </w:rPr>
        <w:t>Correlations were generally low to moderate (r=0.279 to r=0.410). Of the two general assessment items relating to ‘familiarity’ and ‘normality’, the four construct measures appear to relate most strongly to perceptions that PFP has become a ‘familiar’ part of practice within CP with three of the four r values greater than 0.3.</w:t>
      </w:r>
    </w:p>
    <w:p w14:paraId="2CE9091A" w14:textId="77777777" w:rsidR="00702DE8" w:rsidRDefault="00702DE8" w:rsidP="00702DE8">
      <w:pPr>
        <w:jc w:val="both"/>
        <w:rPr>
          <w:rFonts w:ascii="Verdana" w:hAnsi="Verdana"/>
          <w:b/>
        </w:rPr>
      </w:pPr>
    </w:p>
    <w:p w14:paraId="030EEF89" w14:textId="77777777" w:rsidR="00702DE8" w:rsidRDefault="00702DE8" w:rsidP="00702DE8">
      <w:pPr>
        <w:jc w:val="both"/>
        <w:rPr>
          <w:rFonts w:ascii="Verdana" w:hAnsi="Verdana"/>
          <w:b/>
        </w:rPr>
      </w:pPr>
      <w:r>
        <w:rPr>
          <w:rFonts w:ascii="Verdana" w:hAnsi="Verdana"/>
          <w:b/>
        </w:rPr>
        <w:t xml:space="preserve">Table A. Bivariate correlation between </w:t>
      </w:r>
      <w:proofErr w:type="spellStart"/>
      <w:r>
        <w:rPr>
          <w:rFonts w:ascii="Verdana" w:hAnsi="Verdana"/>
          <w:b/>
        </w:rPr>
        <w:t>NoMAD</w:t>
      </w:r>
      <w:proofErr w:type="spellEnd"/>
      <w:r>
        <w:rPr>
          <w:rFonts w:ascii="Verdana" w:hAnsi="Verdana"/>
          <w:b/>
        </w:rPr>
        <w:t xml:space="preserve"> ‘General assessment’ questions and construct scale scores (N=88)</w:t>
      </w:r>
    </w:p>
    <w:tbl>
      <w:tblPr>
        <w:tblStyle w:val="TableGrid"/>
        <w:tblW w:w="9116" w:type="dxa"/>
        <w:tblInd w:w="0" w:type="dxa"/>
        <w:tblLook w:val="04A0" w:firstRow="1" w:lastRow="0" w:firstColumn="1" w:lastColumn="0" w:noHBand="0" w:noVBand="1"/>
      </w:tblPr>
      <w:tblGrid>
        <w:gridCol w:w="2269"/>
        <w:gridCol w:w="1457"/>
        <w:gridCol w:w="1281"/>
        <w:gridCol w:w="1518"/>
        <w:gridCol w:w="1280"/>
        <w:gridCol w:w="1311"/>
      </w:tblGrid>
      <w:tr w:rsidR="00702DE8" w14:paraId="075C7C41" w14:textId="77777777" w:rsidTr="00702DE8">
        <w:tc>
          <w:tcPr>
            <w:tcW w:w="2269" w:type="dxa"/>
            <w:tcBorders>
              <w:top w:val="nil"/>
              <w:left w:val="nil"/>
              <w:bottom w:val="single" w:sz="4" w:space="0" w:color="auto"/>
              <w:right w:val="nil"/>
            </w:tcBorders>
          </w:tcPr>
          <w:p w14:paraId="6F07FA03" w14:textId="77777777" w:rsidR="00702DE8" w:rsidRDefault="00702DE8">
            <w:pPr>
              <w:autoSpaceDE w:val="0"/>
              <w:autoSpaceDN w:val="0"/>
              <w:adjustRightInd w:val="0"/>
              <w:spacing w:line="240" w:lineRule="auto"/>
              <w:jc w:val="center"/>
              <w:rPr>
                <w:rFonts w:ascii="Verdana" w:hAnsi="Verdana" w:cs="FctykbAdvTT86d47313"/>
                <w:b/>
                <w:bCs/>
                <w:color w:val="131413"/>
                <w:sz w:val="18"/>
                <w:szCs w:val="18"/>
              </w:rPr>
            </w:pPr>
          </w:p>
        </w:tc>
        <w:tc>
          <w:tcPr>
            <w:tcW w:w="1457" w:type="dxa"/>
            <w:tcBorders>
              <w:top w:val="nil"/>
              <w:left w:val="nil"/>
              <w:bottom w:val="single" w:sz="4" w:space="0" w:color="auto"/>
              <w:right w:val="single" w:sz="4" w:space="0" w:color="auto"/>
            </w:tcBorders>
          </w:tcPr>
          <w:p w14:paraId="200F3B7B" w14:textId="77777777" w:rsidR="00702DE8" w:rsidRDefault="00702DE8">
            <w:pPr>
              <w:autoSpaceDE w:val="0"/>
              <w:autoSpaceDN w:val="0"/>
              <w:adjustRightInd w:val="0"/>
              <w:spacing w:line="240" w:lineRule="auto"/>
              <w:rPr>
                <w:rFonts w:ascii="Verdana" w:hAnsi="Verdana" w:cs="FctykbAdvTT86d47313"/>
                <w:b/>
                <w:bCs/>
                <w:color w:val="131413"/>
                <w:sz w:val="18"/>
                <w:szCs w:val="18"/>
              </w:rPr>
            </w:pPr>
          </w:p>
        </w:tc>
        <w:tc>
          <w:tcPr>
            <w:tcW w:w="5390" w:type="dxa"/>
            <w:gridSpan w:val="4"/>
            <w:tcBorders>
              <w:top w:val="single" w:sz="4" w:space="0" w:color="auto"/>
              <w:left w:val="single" w:sz="4" w:space="0" w:color="auto"/>
              <w:bottom w:val="single" w:sz="4" w:space="0" w:color="auto"/>
              <w:right w:val="single" w:sz="4" w:space="0" w:color="auto"/>
            </w:tcBorders>
            <w:hideMark/>
          </w:tcPr>
          <w:p w14:paraId="0369A7F1" w14:textId="77777777" w:rsidR="00702DE8" w:rsidRDefault="00702DE8">
            <w:pPr>
              <w:autoSpaceDE w:val="0"/>
              <w:autoSpaceDN w:val="0"/>
              <w:adjustRightInd w:val="0"/>
              <w:spacing w:line="240" w:lineRule="auto"/>
              <w:jc w:val="center"/>
              <w:rPr>
                <w:rFonts w:ascii="Verdana" w:hAnsi="Verdana" w:cs="FctykbAdvTT86d47313"/>
                <w:b/>
                <w:bCs/>
                <w:color w:val="131413"/>
                <w:sz w:val="18"/>
                <w:szCs w:val="18"/>
              </w:rPr>
            </w:pPr>
            <w:r>
              <w:rPr>
                <w:rFonts w:ascii="Verdana" w:hAnsi="Verdana" w:cs="FctykbAdvTT86d47313"/>
                <w:b/>
                <w:bCs/>
                <w:color w:val="131413"/>
                <w:sz w:val="18"/>
                <w:szCs w:val="18"/>
              </w:rPr>
              <w:t>Construct</w:t>
            </w:r>
          </w:p>
        </w:tc>
      </w:tr>
      <w:tr w:rsidR="00702DE8" w14:paraId="76FFB7FF" w14:textId="77777777" w:rsidTr="00702DE8">
        <w:tc>
          <w:tcPr>
            <w:tcW w:w="2269" w:type="dxa"/>
            <w:tcBorders>
              <w:top w:val="single" w:sz="4" w:space="0" w:color="auto"/>
              <w:left w:val="single" w:sz="4" w:space="0" w:color="auto"/>
              <w:bottom w:val="single" w:sz="4" w:space="0" w:color="auto"/>
              <w:right w:val="nil"/>
            </w:tcBorders>
          </w:tcPr>
          <w:p w14:paraId="021789D5" w14:textId="77777777" w:rsidR="00702DE8" w:rsidRDefault="00702DE8">
            <w:pPr>
              <w:autoSpaceDE w:val="0"/>
              <w:autoSpaceDN w:val="0"/>
              <w:adjustRightInd w:val="0"/>
              <w:spacing w:line="240" w:lineRule="auto"/>
              <w:jc w:val="center"/>
              <w:rPr>
                <w:rFonts w:ascii="Verdana" w:hAnsi="Verdana" w:cs="FctykbAdvTT86d47313"/>
                <w:b/>
                <w:bCs/>
                <w:color w:val="131413"/>
                <w:sz w:val="18"/>
                <w:szCs w:val="18"/>
              </w:rPr>
            </w:pPr>
          </w:p>
        </w:tc>
        <w:tc>
          <w:tcPr>
            <w:tcW w:w="1457" w:type="dxa"/>
            <w:tcBorders>
              <w:top w:val="single" w:sz="4" w:space="0" w:color="auto"/>
              <w:left w:val="nil"/>
              <w:bottom w:val="single" w:sz="4" w:space="0" w:color="auto"/>
              <w:right w:val="nil"/>
            </w:tcBorders>
          </w:tcPr>
          <w:p w14:paraId="5C0F570A" w14:textId="77777777" w:rsidR="00702DE8" w:rsidRDefault="00702DE8">
            <w:pPr>
              <w:autoSpaceDE w:val="0"/>
              <w:autoSpaceDN w:val="0"/>
              <w:adjustRightInd w:val="0"/>
              <w:spacing w:line="240" w:lineRule="auto"/>
              <w:rPr>
                <w:rFonts w:ascii="Verdana" w:hAnsi="Verdana" w:cs="FctykbAdvTT86d47313"/>
                <w:b/>
                <w:bCs/>
                <w:color w:val="131413"/>
                <w:sz w:val="18"/>
                <w:szCs w:val="18"/>
              </w:rPr>
            </w:pPr>
          </w:p>
        </w:tc>
        <w:tc>
          <w:tcPr>
            <w:tcW w:w="1281" w:type="dxa"/>
            <w:tcBorders>
              <w:top w:val="single" w:sz="4" w:space="0" w:color="auto"/>
              <w:left w:val="nil"/>
              <w:bottom w:val="single" w:sz="4" w:space="0" w:color="auto"/>
              <w:right w:val="nil"/>
            </w:tcBorders>
            <w:hideMark/>
          </w:tcPr>
          <w:p w14:paraId="538B1059" w14:textId="77777777" w:rsidR="00702DE8" w:rsidRDefault="00702DE8">
            <w:pPr>
              <w:autoSpaceDE w:val="0"/>
              <w:autoSpaceDN w:val="0"/>
              <w:adjustRightInd w:val="0"/>
              <w:spacing w:line="240" w:lineRule="auto"/>
              <w:rPr>
                <w:rFonts w:ascii="Verdana" w:hAnsi="Verdana" w:cs="FctykbAdvTT86d47313"/>
                <w:b/>
                <w:bCs/>
                <w:color w:val="131413"/>
                <w:sz w:val="18"/>
                <w:szCs w:val="18"/>
              </w:rPr>
            </w:pPr>
            <w:r>
              <w:rPr>
                <w:rFonts w:ascii="Verdana" w:hAnsi="Verdana" w:cs="FctykbAdvTT86d47313"/>
                <w:b/>
                <w:bCs/>
                <w:color w:val="131413"/>
                <w:sz w:val="18"/>
                <w:szCs w:val="18"/>
              </w:rPr>
              <w:t>Coherence</w:t>
            </w:r>
          </w:p>
        </w:tc>
        <w:tc>
          <w:tcPr>
            <w:tcW w:w="1518" w:type="dxa"/>
            <w:tcBorders>
              <w:top w:val="single" w:sz="4" w:space="0" w:color="auto"/>
              <w:left w:val="nil"/>
              <w:bottom w:val="single" w:sz="4" w:space="0" w:color="auto"/>
              <w:right w:val="nil"/>
            </w:tcBorders>
            <w:hideMark/>
          </w:tcPr>
          <w:p w14:paraId="18FEFE86" w14:textId="77777777" w:rsidR="00702DE8" w:rsidRDefault="00702DE8">
            <w:pPr>
              <w:autoSpaceDE w:val="0"/>
              <w:autoSpaceDN w:val="0"/>
              <w:adjustRightInd w:val="0"/>
              <w:spacing w:line="240" w:lineRule="auto"/>
              <w:rPr>
                <w:rFonts w:ascii="Verdana" w:hAnsi="Verdana" w:cs="FctykbAdvTT86d47313"/>
                <w:b/>
                <w:bCs/>
                <w:color w:val="131413"/>
                <w:sz w:val="18"/>
                <w:szCs w:val="18"/>
              </w:rPr>
            </w:pPr>
            <w:r>
              <w:rPr>
                <w:rFonts w:ascii="Verdana" w:hAnsi="Verdana" w:cs="FctykbAdvTT86d47313"/>
                <w:b/>
                <w:bCs/>
                <w:color w:val="131413"/>
                <w:sz w:val="18"/>
                <w:szCs w:val="18"/>
              </w:rPr>
              <w:t>Cognitive Participation</w:t>
            </w:r>
          </w:p>
        </w:tc>
        <w:tc>
          <w:tcPr>
            <w:tcW w:w="1280" w:type="dxa"/>
            <w:tcBorders>
              <w:top w:val="single" w:sz="4" w:space="0" w:color="auto"/>
              <w:left w:val="nil"/>
              <w:bottom w:val="single" w:sz="4" w:space="0" w:color="auto"/>
              <w:right w:val="nil"/>
            </w:tcBorders>
            <w:hideMark/>
          </w:tcPr>
          <w:p w14:paraId="09772C81" w14:textId="77777777" w:rsidR="00702DE8" w:rsidRDefault="00702DE8">
            <w:pPr>
              <w:autoSpaceDE w:val="0"/>
              <w:autoSpaceDN w:val="0"/>
              <w:adjustRightInd w:val="0"/>
              <w:spacing w:line="240" w:lineRule="auto"/>
              <w:rPr>
                <w:rFonts w:ascii="Verdana" w:hAnsi="Verdana" w:cs="FctykbAdvTT86d47313"/>
                <w:b/>
                <w:bCs/>
                <w:color w:val="131413"/>
                <w:sz w:val="18"/>
                <w:szCs w:val="18"/>
              </w:rPr>
            </w:pPr>
            <w:r>
              <w:rPr>
                <w:rFonts w:ascii="Verdana" w:hAnsi="Verdana" w:cs="FctykbAdvTT86d47313"/>
                <w:b/>
                <w:bCs/>
                <w:color w:val="131413"/>
                <w:sz w:val="18"/>
                <w:szCs w:val="18"/>
              </w:rPr>
              <w:t>Collective Action</w:t>
            </w:r>
          </w:p>
        </w:tc>
        <w:tc>
          <w:tcPr>
            <w:tcW w:w="1311" w:type="dxa"/>
            <w:tcBorders>
              <w:top w:val="single" w:sz="4" w:space="0" w:color="auto"/>
              <w:left w:val="nil"/>
              <w:bottom w:val="single" w:sz="4" w:space="0" w:color="auto"/>
              <w:right w:val="single" w:sz="4" w:space="0" w:color="auto"/>
            </w:tcBorders>
            <w:hideMark/>
          </w:tcPr>
          <w:p w14:paraId="3BF311D4" w14:textId="77777777" w:rsidR="00702DE8" w:rsidRDefault="00702DE8">
            <w:pPr>
              <w:autoSpaceDE w:val="0"/>
              <w:autoSpaceDN w:val="0"/>
              <w:adjustRightInd w:val="0"/>
              <w:spacing w:line="240" w:lineRule="auto"/>
              <w:rPr>
                <w:rFonts w:ascii="Verdana" w:hAnsi="Verdana" w:cs="FctykbAdvTT86d47313"/>
                <w:b/>
                <w:bCs/>
                <w:color w:val="131413"/>
                <w:sz w:val="18"/>
                <w:szCs w:val="18"/>
              </w:rPr>
            </w:pPr>
            <w:r>
              <w:rPr>
                <w:rFonts w:ascii="Verdana" w:hAnsi="Verdana" w:cs="FctykbAdvTT86d47313"/>
                <w:b/>
                <w:bCs/>
                <w:color w:val="131413"/>
                <w:sz w:val="18"/>
                <w:szCs w:val="18"/>
              </w:rPr>
              <w:t>Reflexive Monitoring</w:t>
            </w:r>
          </w:p>
        </w:tc>
      </w:tr>
      <w:tr w:rsidR="00702DE8" w14:paraId="2280BDA8" w14:textId="77777777" w:rsidTr="00702DE8">
        <w:tc>
          <w:tcPr>
            <w:tcW w:w="3726" w:type="dxa"/>
            <w:gridSpan w:val="2"/>
            <w:tcBorders>
              <w:top w:val="single" w:sz="4" w:space="0" w:color="auto"/>
              <w:left w:val="single" w:sz="4" w:space="0" w:color="auto"/>
              <w:bottom w:val="single" w:sz="4" w:space="0" w:color="auto"/>
              <w:right w:val="nil"/>
            </w:tcBorders>
          </w:tcPr>
          <w:p w14:paraId="4B42A480" w14:textId="77777777" w:rsidR="00702DE8" w:rsidRDefault="00702DE8">
            <w:pPr>
              <w:autoSpaceDE w:val="0"/>
              <w:autoSpaceDN w:val="0"/>
              <w:adjustRightInd w:val="0"/>
              <w:spacing w:line="240" w:lineRule="auto"/>
              <w:jc w:val="center"/>
              <w:rPr>
                <w:rFonts w:ascii="Verdana" w:hAnsi="Verdana"/>
                <w:b/>
              </w:rPr>
            </w:pPr>
            <w:proofErr w:type="spellStart"/>
            <w:r>
              <w:rPr>
                <w:rFonts w:ascii="Verdana" w:hAnsi="Verdana"/>
                <w:b/>
              </w:rPr>
              <w:t>NoMAD</w:t>
            </w:r>
            <w:proofErr w:type="spellEnd"/>
            <w:r>
              <w:rPr>
                <w:rFonts w:ascii="Verdana" w:hAnsi="Verdana"/>
                <w:b/>
              </w:rPr>
              <w:t xml:space="preserve"> ‘General assessment’ questions</w:t>
            </w:r>
          </w:p>
          <w:p w14:paraId="56ADADDF" w14:textId="77777777" w:rsidR="00702DE8" w:rsidRDefault="00702DE8">
            <w:pPr>
              <w:autoSpaceDE w:val="0"/>
              <w:autoSpaceDN w:val="0"/>
              <w:adjustRightInd w:val="0"/>
              <w:spacing w:line="240" w:lineRule="auto"/>
              <w:jc w:val="center"/>
              <w:rPr>
                <w:rFonts w:ascii="Verdana" w:hAnsi="Verdana" w:cs="FctykbAdvTT86d47313"/>
                <w:b/>
                <w:bCs/>
                <w:color w:val="131413"/>
                <w:sz w:val="18"/>
                <w:szCs w:val="18"/>
              </w:rPr>
            </w:pPr>
          </w:p>
        </w:tc>
        <w:tc>
          <w:tcPr>
            <w:tcW w:w="1281" w:type="dxa"/>
            <w:tcBorders>
              <w:top w:val="single" w:sz="4" w:space="0" w:color="auto"/>
              <w:left w:val="nil"/>
              <w:bottom w:val="single" w:sz="4" w:space="0" w:color="auto"/>
              <w:right w:val="nil"/>
            </w:tcBorders>
          </w:tcPr>
          <w:p w14:paraId="5FF42903" w14:textId="77777777" w:rsidR="00702DE8" w:rsidRDefault="00702DE8">
            <w:pPr>
              <w:autoSpaceDE w:val="0"/>
              <w:autoSpaceDN w:val="0"/>
              <w:adjustRightInd w:val="0"/>
              <w:spacing w:line="240" w:lineRule="auto"/>
              <w:rPr>
                <w:rFonts w:ascii="Verdana" w:hAnsi="Verdana" w:cs="FctykbAdvTT86d47313"/>
                <w:b/>
                <w:bCs/>
                <w:color w:val="131413"/>
                <w:sz w:val="18"/>
                <w:szCs w:val="18"/>
              </w:rPr>
            </w:pPr>
          </w:p>
        </w:tc>
        <w:tc>
          <w:tcPr>
            <w:tcW w:w="1518" w:type="dxa"/>
            <w:tcBorders>
              <w:top w:val="single" w:sz="4" w:space="0" w:color="auto"/>
              <w:left w:val="nil"/>
              <w:bottom w:val="single" w:sz="4" w:space="0" w:color="auto"/>
              <w:right w:val="nil"/>
            </w:tcBorders>
          </w:tcPr>
          <w:p w14:paraId="34D65299" w14:textId="77777777" w:rsidR="00702DE8" w:rsidRDefault="00702DE8">
            <w:pPr>
              <w:autoSpaceDE w:val="0"/>
              <w:autoSpaceDN w:val="0"/>
              <w:adjustRightInd w:val="0"/>
              <w:spacing w:line="240" w:lineRule="auto"/>
              <w:rPr>
                <w:rFonts w:ascii="Verdana" w:hAnsi="Verdana" w:cs="FctykbAdvTT86d47313"/>
                <w:b/>
                <w:bCs/>
                <w:color w:val="131413"/>
                <w:sz w:val="18"/>
                <w:szCs w:val="18"/>
              </w:rPr>
            </w:pPr>
          </w:p>
        </w:tc>
        <w:tc>
          <w:tcPr>
            <w:tcW w:w="1280" w:type="dxa"/>
            <w:tcBorders>
              <w:top w:val="single" w:sz="4" w:space="0" w:color="auto"/>
              <w:left w:val="nil"/>
              <w:bottom w:val="single" w:sz="4" w:space="0" w:color="auto"/>
              <w:right w:val="nil"/>
            </w:tcBorders>
          </w:tcPr>
          <w:p w14:paraId="1D2B90C0" w14:textId="77777777" w:rsidR="00702DE8" w:rsidRDefault="00702DE8">
            <w:pPr>
              <w:autoSpaceDE w:val="0"/>
              <w:autoSpaceDN w:val="0"/>
              <w:adjustRightInd w:val="0"/>
              <w:spacing w:line="240" w:lineRule="auto"/>
              <w:rPr>
                <w:rFonts w:ascii="Verdana" w:hAnsi="Verdana" w:cs="FctykbAdvTT86d47313"/>
                <w:b/>
                <w:bCs/>
                <w:color w:val="131413"/>
                <w:sz w:val="18"/>
                <w:szCs w:val="18"/>
              </w:rPr>
            </w:pPr>
          </w:p>
        </w:tc>
        <w:tc>
          <w:tcPr>
            <w:tcW w:w="1311" w:type="dxa"/>
            <w:tcBorders>
              <w:top w:val="single" w:sz="4" w:space="0" w:color="auto"/>
              <w:left w:val="nil"/>
              <w:bottom w:val="single" w:sz="4" w:space="0" w:color="auto"/>
              <w:right w:val="single" w:sz="4" w:space="0" w:color="auto"/>
            </w:tcBorders>
          </w:tcPr>
          <w:p w14:paraId="2B5CCF12" w14:textId="77777777" w:rsidR="00702DE8" w:rsidRDefault="00702DE8">
            <w:pPr>
              <w:autoSpaceDE w:val="0"/>
              <w:autoSpaceDN w:val="0"/>
              <w:adjustRightInd w:val="0"/>
              <w:spacing w:line="240" w:lineRule="auto"/>
              <w:rPr>
                <w:rFonts w:ascii="Verdana" w:hAnsi="Verdana" w:cs="FctykbAdvTT86d47313"/>
                <w:b/>
                <w:bCs/>
                <w:color w:val="131413"/>
                <w:sz w:val="18"/>
                <w:szCs w:val="18"/>
              </w:rPr>
            </w:pPr>
          </w:p>
        </w:tc>
      </w:tr>
      <w:tr w:rsidR="00702DE8" w14:paraId="097A7131" w14:textId="77777777" w:rsidTr="00702DE8">
        <w:tc>
          <w:tcPr>
            <w:tcW w:w="2269" w:type="dxa"/>
            <w:tcBorders>
              <w:top w:val="single" w:sz="4" w:space="0" w:color="auto"/>
              <w:left w:val="single" w:sz="4" w:space="0" w:color="auto"/>
              <w:bottom w:val="single" w:sz="4" w:space="0" w:color="auto"/>
              <w:right w:val="nil"/>
            </w:tcBorders>
          </w:tcPr>
          <w:p w14:paraId="3FF8A0E3"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When you deliver Pharmacy First Plus, how FAMILIAR does it feel to you?</w:t>
            </w:r>
          </w:p>
          <w:p w14:paraId="4040E98D" w14:textId="77777777" w:rsidR="00702DE8" w:rsidRDefault="00702DE8">
            <w:pPr>
              <w:autoSpaceDE w:val="0"/>
              <w:autoSpaceDN w:val="0"/>
              <w:adjustRightInd w:val="0"/>
              <w:spacing w:line="240" w:lineRule="auto"/>
              <w:rPr>
                <w:rFonts w:ascii="Verdana" w:hAnsi="Verdana" w:cs="FctykbAdvTT86d47313"/>
                <w:color w:val="131413"/>
                <w:sz w:val="18"/>
                <w:szCs w:val="18"/>
              </w:rPr>
            </w:pPr>
          </w:p>
        </w:tc>
        <w:tc>
          <w:tcPr>
            <w:tcW w:w="1457" w:type="dxa"/>
            <w:tcBorders>
              <w:top w:val="single" w:sz="4" w:space="0" w:color="auto"/>
              <w:left w:val="nil"/>
              <w:bottom w:val="single" w:sz="4" w:space="0" w:color="auto"/>
              <w:right w:val="nil"/>
            </w:tcBorders>
            <w:hideMark/>
          </w:tcPr>
          <w:p w14:paraId="154C8BD5"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Pearson Correlation</w:t>
            </w:r>
          </w:p>
          <w:p w14:paraId="349D3A67"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(Sig - 2 tailed)</w:t>
            </w:r>
          </w:p>
        </w:tc>
        <w:tc>
          <w:tcPr>
            <w:tcW w:w="1281" w:type="dxa"/>
            <w:tcBorders>
              <w:top w:val="single" w:sz="4" w:space="0" w:color="auto"/>
              <w:left w:val="nil"/>
              <w:bottom w:val="single" w:sz="4" w:space="0" w:color="auto"/>
              <w:right w:val="nil"/>
            </w:tcBorders>
          </w:tcPr>
          <w:p w14:paraId="0ED65AF6" w14:textId="77777777" w:rsidR="00702DE8" w:rsidRDefault="00702DE8">
            <w:pPr>
              <w:autoSpaceDE w:val="0"/>
              <w:autoSpaceDN w:val="0"/>
              <w:adjustRightInd w:val="0"/>
              <w:spacing w:line="240" w:lineRule="auto"/>
              <w:rPr>
                <w:rFonts w:ascii="Verdana" w:hAnsi="Verdana" w:cs="FctykbAdvTT86d47313"/>
                <w:color w:val="131413"/>
                <w:sz w:val="18"/>
                <w:szCs w:val="18"/>
              </w:rPr>
            </w:pPr>
          </w:p>
          <w:p w14:paraId="506C452A"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0.297</w:t>
            </w:r>
          </w:p>
          <w:p w14:paraId="64A64621"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(p=0.005)</w:t>
            </w:r>
          </w:p>
        </w:tc>
        <w:tc>
          <w:tcPr>
            <w:tcW w:w="1518" w:type="dxa"/>
            <w:tcBorders>
              <w:top w:val="single" w:sz="4" w:space="0" w:color="auto"/>
              <w:left w:val="nil"/>
              <w:bottom w:val="single" w:sz="4" w:space="0" w:color="auto"/>
              <w:right w:val="nil"/>
            </w:tcBorders>
          </w:tcPr>
          <w:p w14:paraId="59DD5314" w14:textId="77777777" w:rsidR="00702DE8" w:rsidRDefault="00702DE8">
            <w:pPr>
              <w:autoSpaceDE w:val="0"/>
              <w:autoSpaceDN w:val="0"/>
              <w:adjustRightInd w:val="0"/>
              <w:spacing w:line="240" w:lineRule="auto"/>
              <w:rPr>
                <w:rFonts w:ascii="Verdana" w:hAnsi="Verdana" w:cs="FctykbAdvTT86d47313"/>
                <w:color w:val="131413"/>
                <w:sz w:val="18"/>
                <w:szCs w:val="18"/>
              </w:rPr>
            </w:pPr>
          </w:p>
          <w:p w14:paraId="1AC9001B"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0.353</w:t>
            </w:r>
          </w:p>
          <w:p w14:paraId="2C15DD7B"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(p&lt;0.001)</w:t>
            </w:r>
          </w:p>
        </w:tc>
        <w:tc>
          <w:tcPr>
            <w:tcW w:w="1280" w:type="dxa"/>
            <w:tcBorders>
              <w:top w:val="single" w:sz="4" w:space="0" w:color="auto"/>
              <w:left w:val="nil"/>
              <w:bottom w:val="single" w:sz="4" w:space="0" w:color="auto"/>
              <w:right w:val="nil"/>
            </w:tcBorders>
          </w:tcPr>
          <w:p w14:paraId="5DDE9112" w14:textId="77777777" w:rsidR="00702DE8" w:rsidRDefault="00702DE8">
            <w:pPr>
              <w:autoSpaceDE w:val="0"/>
              <w:autoSpaceDN w:val="0"/>
              <w:adjustRightInd w:val="0"/>
              <w:spacing w:line="240" w:lineRule="auto"/>
              <w:rPr>
                <w:rFonts w:ascii="Verdana" w:hAnsi="Verdana" w:cs="FctykbAdvTT86d47313"/>
                <w:color w:val="131413"/>
                <w:sz w:val="18"/>
                <w:szCs w:val="18"/>
              </w:rPr>
            </w:pPr>
          </w:p>
          <w:p w14:paraId="3E705421"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0.302</w:t>
            </w:r>
          </w:p>
          <w:p w14:paraId="765841BD"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(p=0.004)</w:t>
            </w:r>
          </w:p>
        </w:tc>
        <w:tc>
          <w:tcPr>
            <w:tcW w:w="1311" w:type="dxa"/>
            <w:tcBorders>
              <w:top w:val="single" w:sz="4" w:space="0" w:color="auto"/>
              <w:left w:val="nil"/>
              <w:bottom w:val="single" w:sz="4" w:space="0" w:color="auto"/>
              <w:right w:val="single" w:sz="4" w:space="0" w:color="auto"/>
            </w:tcBorders>
          </w:tcPr>
          <w:p w14:paraId="32DEE200" w14:textId="77777777" w:rsidR="00702DE8" w:rsidRDefault="00702DE8">
            <w:pPr>
              <w:autoSpaceDE w:val="0"/>
              <w:autoSpaceDN w:val="0"/>
              <w:adjustRightInd w:val="0"/>
              <w:spacing w:line="240" w:lineRule="auto"/>
              <w:rPr>
                <w:rFonts w:ascii="Verdana" w:hAnsi="Verdana" w:cs="FctykbAdvTT86d47313"/>
                <w:color w:val="131413"/>
                <w:sz w:val="18"/>
                <w:szCs w:val="18"/>
              </w:rPr>
            </w:pPr>
          </w:p>
          <w:p w14:paraId="2B90FB09"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 xml:space="preserve">0.327 </w:t>
            </w:r>
          </w:p>
          <w:p w14:paraId="73FB445C"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(p=0.002)</w:t>
            </w:r>
          </w:p>
        </w:tc>
      </w:tr>
      <w:tr w:rsidR="00702DE8" w14:paraId="508A199A" w14:textId="77777777" w:rsidTr="00702DE8">
        <w:tc>
          <w:tcPr>
            <w:tcW w:w="2269" w:type="dxa"/>
            <w:tcBorders>
              <w:top w:val="single" w:sz="4" w:space="0" w:color="auto"/>
              <w:left w:val="single" w:sz="4" w:space="0" w:color="auto"/>
              <w:bottom w:val="single" w:sz="4" w:space="0" w:color="auto"/>
              <w:right w:val="nil"/>
            </w:tcBorders>
          </w:tcPr>
          <w:p w14:paraId="39550A57"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To what extent do you feel Pharmacy First Plus is currently a NORMAL PART of your work?</w:t>
            </w:r>
          </w:p>
          <w:p w14:paraId="0E7A8586" w14:textId="77777777" w:rsidR="00702DE8" w:rsidRDefault="00702DE8">
            <w:pPr>
              <w:autoSpaceDE w:val="0"/>
              <w:autoSpaceDN w:val="0"/>
              <w:adjustRightInd w:val="0"/>
              <w:spacing w:line="240" w:lineRule="auto"/>
              <w:rPr>
                <w:rFonts w:ascii="Verdana" w:hAnsi="Verdana" w:cs="FctykbAdvTT86d47313"/>
                <w:color w:val="131413"/>
                <w:sz w:val="18"/>
                <w:szCs w:val="18"/>
              </w:rPr>
            </w:pPr>
          </w:p>
        </w:tc>
        <w:tc>
          <w:tcPr>
            <w:tcW w:w="1457" w:type="dxa"/>
            <w:tcBorders>
              <w:top w:val="single" w:sz="4" w:space="0" w:color="auto"/>
              <w:left w:val="nil"/>
              <w:bottom w:val="single" w:sz="4" w:space="0" w:color="auto"/>
              <w:right w:val="nil"/>
            </w:tcBorders>
            <w:hideMark/>
          </w:tcPr>
          <w:p w14:paraId="0D6117F6"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Pearson Correlation</w:t>
            </w:r>
          </w:p>
          <w:p w14:paraId="60E0E745"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(Sig - 2 tailed)</w:t>
            </w:r>
          </w:p>
        </w:tc>
        <w:tc>
          <w:tcPr>
            <w:tcW w:w="1281" w:type="dxa"/>
            <w:tcBorders>
              <w:top w:val="single" w:sz="4" w:space="0" w:color="auto"/>
              <w:left w:val="nil"/>
              <w:bottom w:val="single" w:sz="4" w:space="0" w:color="auto"/>
              <w:right w:val="nil"/>
            </w:tcBorders>
          </w:tcPr>
          <w:p w14:paraId="2F153708" w14:textId="77777777" w:rsidR="00702DE8" w:rsidRDefault="00702DE8">
            <w:pPr>
              <w:autoSpaceDE w:val="0"/>
              <w:autoSpaceDN w:val="0"/>
              <w:adjustRightInd w:val="0"/>
              <w:spacing w:line="240" w:lineRule="auto"/>
              <w:rPr>
                <w:rFonts w:ascii="Verdana" w:hAnsi="Verdana" w:cs="FctykbAdvTT86d47313"/>
                <w:color w:val="131413"/>
                <w:sz w:val="18"/>
                <w:szCs w:val="18"/>
              </w:rPr>
            </w:pPr>
          </w:p>
          <w:p w14:paraId="5BECF623"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 xml:space="preserve">0.279 </w:t>
            </w:r>
          </w:p>
          <w:p w14:paraId="2CAB7A74"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(p=0.009)</w:t>
            </w:r>
          </w:p>
        </w:tc>
        <w:tc>
          <w:tcPr>
            <w:tcW w:w="1518" w:type="dxa"/>
            <w:tcBorders>
              <w:top w:val="single" w:sz="4" w:space="0" w:color="auto"/>
              <w:left w:val="nil"/>
              <w:bottom w:val="single" w:sz="4" w:space="0" w:color="auto"/>
              <w:right w:val="nil"/>
            </w:tcBorders>
          </w:tcPr>
          <w:p w14:paraId="49857088" w14:textId="77777777" w:rsidR="00702DE8" w:rsidRDefault="00702DE8">
            <w:pPr>
              <w:autoSpaceDE w:val="0"/>
              <w:autoSpaceDN w:val="0"/>
              <w:adjustRightInd w:val="0"/>
              <w:spacing w:line="240" w:lineRule="auto"/>
              <w:rPr>
                <w:rFonts w:ascii="Verdana" w:hAnsi="Verdana" w:cs="FctykbAdvTT86d47313"/>
                <w:color w:val="131413"/>
                <w:sz w:val="18"/>
                <w:szCs w:val="18"/>
              </w:rPr>
            </w:pPr>
          </w:p>
          <w:p w14:paraId="1F3AFAAF"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 xml:space="preserve">0.290 </w:t>
            </w:r>
          </w:p>
          <w:p w14:paraId="34AFC6EB"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(p=0.006)</w:t>
            </w:r>
          </w:p>
        </w:tc>
        <w:tc>
          <w:tcPr>
            <w:tcW w:w="1280" w:type="dxa"/>
            <w:tcBorders>
              <w:top w:val="single" w:sz="4" w:space="0" w:color="auto"/>
              <w:left w:val="nil"/>
              <w:bottom w:val="single" w:sz="4" w:space="0" w:color="auto"/>
              <w:right w:val="nil"/>
            </w:tcBorders>
          </w:tcPr>
          <w:p w14:paraId="566EF9D0" w14:textId="77777777" w:rsidR="00702DE8" w:rsidRDefault="00702DE8">
            <w:pPr>
              <w:autoSpaceDE w:val="0"/>
              <w:autoSpaceDN w:val="0"/>
              <w:adjustRightInd w:val="0"/>
              <w:spacing w:line="240" w:lineRule="auto"/>
              <w:rPr>
                <w:rFonts w:ascii="Verdana" w:hAnsi="Verdana" w:cs="FctykbAdvTT86d47313"/>
                <w:color w:val="131413"/>
                <w:sz w:val="18"/>
                <w:szCs w:val="18"/>
              </w:rPr>
            </w:pPr>
          </w:p>
          <w:p w14:paraId="7A729599"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0.410</w:t>
            </w:r>
          </w:p>
          <w:p w14:paraId="18E20426"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(p&lt;0.001)</w:t>
            </w:r>
          </w:p>
        </w:tc>
        <w:tc>
          <w:tcPr>
            <w:tcW w:w="1311" w:type="dxa"/>
            <w:tcBorders>
              <w:top w:val="single" w:sz="4" w:space="0" w:color="auto"/>
              <w:left w:val="nil"/>
              <w:bottom w:val="single" w:sz="4" w:space="0" w:color="auto"/>
              <w:right w:val="single" w:sz="4" w:space="0" w:color="auto"/>
            </w:tcBorders>
          </w:tcPr>
          <w:p w14:paraId="31C5D922" w14:textId="77777777" w:rsidR="00702DE8" w:rsidRDefault="00702DE8">
            <w:pPr>
              <w:autoSpaceDE w:val="0"/>
              <w:autoSpaceDN w:val="0"/>
              <w:adjustRightInd w:val="0"/>
              <w:spacing w:line="240" w:lineRule="auto"/>
              <w:rPr>
                <w:rFonts w:ascii="Verdana" w:hAnsi="Verdana" w:cs="FctykbAdvTT86d47313"/>
                <w:color w:val="131413"/>
                <w:sz w:val="18"/>
                <w:szCs w:val="18"/>
              </w:rPr>
            </w:pPr>
          </w:p>
          <w:p w14:paraId="0E27B117"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 xml:space="preserve">0.296 </w:t>
            </w:r>
          </w:p>
          <w:p w14:paraId="23C17AA0"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(p=0.005)</w:t>
            </w:r>
          </w:p>
        </w:tc>
      </w:tr>
      <w:tr w:rsidR="00702DE8" w14:paraId="40620F5B" w14:textId="77777777" w:rsidTr="00702DE8">
        <w:tc>
          <w:tcPr>
            <w:tcW w:w="3726" w:type="dxa"/>
            <w:gridSpan w:val="2"/>
            <w:tcBorders>
              <w:top w:val="single" w:sz="4" w:space="0" w:color="auto"/>
              <w:left w:val="single" w:sz="4" w:space="0" w:color="auto"/>
              <w:bottom w:val="single" w:sz="4" w:space="0" w:color="auto"/>
              <w:right w:val="nil"/>
            </w:tcBorders>
          </w:tcPr>
          <w:p w14:paraId="5D04FBBD" w14:textId="77777777" w:rsidR="00702DE8" w:rsidRDefault="00702DE8">
            <w:pPr>
              <w:autoSpaceDE w:val="0"/>
              <w:autoSpaceDN w:val="0"/>
              <w:adjustRightInd w:val="0"/>
              <w:spacing w:line="240" w:lineRule="auto"/>
              <w:jc w:val="center"/>
              <w:rPr>
                <w:rFonts w:ascii="Verdana" w:hAnsi="Verdana" w:cs="FctykbAdvTT86d47313"/>
                <w:b/>
                <w:bCs/>
                <w:color w:val="131413"/>
              </w:rPr>
            </w:pPr>
            <w:proofErr w:type="spellStart"/>
            <w:r>
              <w:rPr>
                <w:rFonts w:ascii="Verdana" w:hAnsi="Verdana" w:cs="FctykbAdvTT86d47313"/>
                <w:b/>
                <w:bCs/>
                <w:color w:val="131413"/>
              </w:rPr>
              <w:t>NoMAD</w:t>
            </w:r>
            <w:proofErr w:type="spellEnd"/>
            <w:r>
              <w:rPr>
                <w:rFonts w:ascii="Verdana" w:hAnsi="Verdana" w:cs="FctykbAdvTT86d47313"/>
                <w:b/>
                <w:bCs/>
                <w:color w:val="131413"/>
              </w:rPr>
              <w:t xml:space="preserve"> (NPT) construct scale scores</w:t>
            </w:r>
          </w:p>
          <w:p w14:paraId="233A76DA" w14:textId="77777777" w:rsidR="00702DE8" w:rsidRDefault="00702DE8">
            <w:pPr>
              <w:autoSpaceDE w:val="0"/>
              <w:autoSpaceDN w:val="0"/>
              <w:adjustRightInd w:val="0"/>
              <w:spacing w:line="240" w:lineRule="auto"/>
              <w:rPr>
                <w:rFonts w:ascii="Verdana" w:hAnsi="Verdana" w:cs="FctykbAdvTT86d47313"/>
                <w:color w:val="131413"/>
                <w:sz w:val="18"/>
                <w:szCs w:val="18"/>
              </w:rPr>
            </w:pPr>
          </w:p>
        </w:tc>
        <w:tc>
          <w:tcPr>
            <w:tcW w:w="1281" w:type="dxa"/>
            <w:tcBorders>
              <w:top w:val="single" w:sz="4" w:space="0" w:color="auto"/>
              <w:left w:val="nil"/>
              <w:bottom w:val="single" w:sz="4" w:space="0" w:color="auto"/>
              <w:right w:val="nil"/>
            </w:tcBorders>
          </w:tcPr>
          <w:p w14:paraId="14EE3FF9" w14:textId="77777777" w:rsidR="00702DE8" w:rsidRDefault="00702DE8">
            <w:pPr>
              <w:autoSpaceDE w:val="0"/>
              <w:autoSpaceDN w:val="0"/>
              <w:adjustRightInd w:val="0"/>
              <w:spacing w:line="240" w:lineRule="auto"/>
              <w:rPr>
                <w:rFonts w:ascii="Verdana" w:hAnsi="Verdana" w:cs="FctykbAdvTT86d47313"/>
                <w:color w:val="131413"/>
                <w:sz w:val="18"/>
                <w:szCs w:val="18"/>
              </w:rPr>
            </w:pPr>
          </w:p>
        </w:tc>
        <w:tc>
          <w:tcPr>
            <w:tcW w:w="1518" w:type="dxa"/>
            <w:tcBorders>
              <w:top w:val="single" w:sz="4" w:space="0" w:color="auto"/>
              <w:left w:val="nil"/>
              <w:bottom w:val="single" w:sz="4" w:space="0" w:color="auto"/>
              <w:right w:val="nil"/>
            </w:tcBorders>
          </w:tcPr>
          <w:p w14:paraId="1318DE78" w14:textId="77777777" w:rsidR="00702DE8" w:rsidRDefault="00702DE8">
            <w:pPr>
              <w:autoSpaceDE w:val="0"/>
              <w:autoSpaceDN w:val="0"/>
              <w:adjustRightInd w:val="0"/>
              <w:spacing w:line="240" w:lineRule="auto"/>
              <w:rPr>
                <w:rFonts w:ascii="Verdana" w:hAnsi="Verdana" w:cs="FctykbAdvTT86d47313"/>
                <w:color w:val="131413"/>
                <w:sz w:val="18"/>
                <w:szCs w:val="18"/>
              </w:rPr>
            </w:pPr>
          </w:p>
        </w:tc>
        <w:tc>
          <w:tcPr>
            <w:tcW w:w="1280" w:type="dxa"/>
            <w:tcBorders>
              <w:top w:val="single" w:sz="4" w:space="0" w:color="auto"/>
              <w:left w:val="nil"/>
              <w:bottom w:val="single" w:sz="4" w:space="0" w:color="auto"/>
              <w:right w:val="nil"/>
            </w:tcBorders>
          </w:tcPr>
          <w:p w14:paraId="3C1B5F1C" w14:textId="77777777" w:rsidR="00702DE8" w:rsidRDefault="00702DE8">
            <w:pPr>
              <w:autoSpaceDE w:val="0"/>
              <w:autoSpaceDN w:val="0"/>
              <w:adjustRightInd w:val="0"/>
              <w:spacing w:line="240" w:lineRule="auto"/>
              <w:rPr>
                <w:rFonts w:ascii="Verdana" w:hAnsi="Verdana" w:cs="FctykbAdvTT86d47313"/>
                <w:color w:val="131413"/>
                <w:sz w:val="18"/>
                <w:szCs w:val="18"/>
              </w:rPr>
            </w:pPr>
          </w:p>
        </w:tc>
        <w:tc>
          <w:tcPr>
            <w:tcW w:w="1311" w:type="dxa"/>
            <w:tcBorders>
              <w:top w:val="single" w:sz="4" w:space="0" w:color="auto"/>
              <w:left w:val="nil"/>
              <w:bottom w:val="single" w:sz="4" w:space="0" w:color="auto"/>
              <w:right w:val="single" w:sz="4" w:space="0" w:color="auto"/>
            </w:tcBorders>
          </w:tcPr>
          <w:p w14:paraId="011C93E3" w14:textId="77777777" w:rsidR="00702DE8" w:rsidRDefault="00702DE8">
            <w:pPr>
              <w:autoSpaceDE w:val="0"/>
              <w:autoSpaceDN w:val="0"/>
              <w:adjustRightInd w:val="0"/>
              <w:spacing w:line="240" w:lineRule="auto"/>
              <w:rPr>
                <w:rFonts w:ascii="Verdana" w:hAnsi="Verdana" w:cs="FctykbAdvTT86d47313"/>
                <w:color w:val="131413"/>
                <w:sz w:val="18"/>
                <w:szCs w:val="18"/>
              </w:rPr>
            </w:pPr>
          </w:p>
        </w:tc>
      </w:tr>
      <w:tr w:rsidR="00702DE8" w14:paraId="6A90B3AC" w14:textId="77777777" w:rsidTr="00702DE8">
        <w:tc>
          <w:tcPr>
            <w:tcW w:w="2269" w:type="dxa"/>
            <w:tcBorders>
              <w:top w:val="single" w:sz="4" w:space="0" w:color="auto"/>
              <w:left w:val="single" w:sz="4" w:space="0" w:color="auto"/>
              <w:bottom w:val="single" w:sz="4" w:space="0" w:color="auto"/>
              <w:right w:val="nil"/>
            </w:tcBorders>
            <w:hideMark/>
          </w:tcPr>
          <w:p w14:paraId="0CF3F021" w14:textId="77777777" w:rsidR="00702DE8" w:rsidRDefault="00702DE8">
            <w:pPr>
              <w:autoSpaceDE w:val="0"/>
              <w:autoSpaceDN w:val="0"/>
              <w:adjustRightInd w:val="0"/>
              <w:spacing w:line="240" w:lineRule="auto"/>
              <w:rPr>
                <w:rFonts w:ascii="Verdana" w:hAnsi="Verdana" w:cs="FctykbAdvTT86d47313"/>
                <w:b/>
                <w:bCs/>
                <w:color w:val="131413"/>
                <w:sz w:val="18"/>
                <w:szCs w:val="18"/>
              </w:rPr>
            </w:pPr>
            <w:r>
              <w:rPr>
                <w:rFonts w:ascii="Verdana" w:hAnsi="Verdana" w:cs="FctykbAdvTT86d47313"/>
                <w:b/>
                <w:bCs/>
                <w:color w:val="131413"/>
                <w:sz w:val="18"/>
                <w:szCs w:val="18"/>
              </w:rPr>
              <w:t>Coherence</w:t>
            </w:r>
          </w:p>
        </w:tc>
        <w:tc>
          <w:tcPr>
            <w:tcW w:w="1457" w:type="dxa"/>
            <w:tcBorders>
              <w:top w:val="single" w:sz="4" w:space="0" w:color="auto"/>
              <w:left w:val="nil"/>
              <w:bottom w:val="single" w:sz="4" w:space="0" w:color="auto"/>
              <w:right w:val="nil"/>
            </w:tcBorders>
            <w:hideMark/>
          </w:tcPr>
          <w:p w14:paraId="054FC74E"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 xml:space="preserve">Pearson Correlation </w:t>
            </w:r>
          </w:p>
          <w:p w14:paraId="609DC058"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(Sig - 2 tailed)</w:t>
            </w:r>
          </w:p>
        </w:tc>
        <w:tc>
          <w:tcPr>
            <w:tcW w:w="1281" w:type="dxa"/>
            <w:tcBorders>
              <w:top w:val="single" w:sz="4" w:space="0" w:color="auto"/>
              <w:left w:val="nil"/>
              <w:bottom w:val="single" w:sz="4" w:space="0" w:color="auto"/>
              <w:right w:val="nil"/>
            </w:tcBorders>
            <w:hideMark/>
          </w:tcPr>
          <w:p w14:paraId="1EE8D4F9"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1</w:t>
            </w:r>
          </w:p>
        </w:tc>
        <w:tc>
          <w:tcPr>
            <w:tcW w:w="1518" w:type="dxa"/>
            <w:tcBorders>
              <w:top w:val="single" w:sz="4" w:space="0" w:color="auto"/>
              <w:left w:val="nil"/>
              <w:bottom w:val="single" w:sz="4" w:space="0" w:color="auto"/>
              <w:right w:val="nil"/>
            </w:tcBorders>
          </w:tcPr>
          <w:p w14:paraId="653F2899" w14:textId="77777777" w:rsidR="00702DE8" w:rsidRDefault="00702DE8">
            <w:pPr>
              <w:autoSpaceDE w:val="0"/>
              <w:autoSpaceDN w:val="0"/>
              <w:adjustRightInd w:val="0"/>
              <w:spacing w:line="240" w:lineRule="auto"/>
              <w:rPr>
                <w:rFonts w:ascii="Verdana" w:hAnsi="Verdana" w:cs="FctykbAdvTT86d47313"/>
                <w:color w:val="131413"/>
                <w:sz w:val="18"/>
                <w:szCs w:val="18"/>
              </w:rPr>
            </w:pPr>
          </w:p>
        </w:tc>
        <w:tc>
          <w:tcPr>
            <w:tcW w:w="1280" w:type="dxa"/>
            <w:tcBorders>
              <w:top w:val="single" w:sz="4" w:space="0" w:color="auto"/>
              <w:left w:val="nil"/>
              <w:bottom w:val="single" w:sz="4" w:space="0" w:color="auto"/>
              <w:right w:val="nil"/>
            </w:tcBorders>
          </w:tcPr>
          <w:p w14:paraId="4305751C" w14:textId="77777777" w:rsidR="00702DE8" w:rsidRDefault="00702DE8">
            <w:pPr>
              <w:autoSpaceDE w:val="0"/>
              <w:autoSpaceDN w:val="0"/>
              <w:adjustRightInd w:val="0"/>
              <w:spacing w:line="240" w:lineRule="auto"/>
              <w:rPr>
                <w:rFonts w:ascii="Verdana" w:hAnsi="Verdana" w:cs="FctykbAdvTT86d47313"/>
                <w:color w:val="131413"/>
                <w:sz w:val="18"/>
                <w:szCs w:val="18"/>
              </w:rPr>
            </w:pPr>
          </w:p>
        </w:tc>
        <w:tc>
          <w:tcPr>
            <w:tcW w:w="1311" w:type="dxa"/>
            <w:tcBorders>
              <w:top w:val="single" w:sz="4" w:space="0" w:color="auto"/>
              <w:left w:val="nil"/>
              <w:bottom w:val="single" w:sz="4" w:space="0" w:color="auto"/>
              <w:right w:val="single" w:sz="4" w:space="0" w:color="auto"/>
            </w:tcBorders>
          </w:tcPr>
          <w:p w14:paraId="436A92DB" w14:textId="77777777" w:rsidR="00702DE8" w:rsidRDefault="00702DE8">
            <w:pPr>
              <w:autoSpaceDE w:val="0"/>
              <w:autoSpaceDN w:val="0"/>
              <w:adjustRightInd w:val="0"/>
              <w:spacing w:line="240" w:lineRule="auto"/>
              <w:rPr>
                <w:rFonts w:ascii="Verdana" w:hAnsi="Verdana" w:cs="FctykbAdvTT86d47313"/>
                <w:color w:val="131413"/>
                <w:sz w:val="18"/>
                <w:szCs w:val="18"/>
              </w:rPr>
            </w:pPr>
          </w:p>
        </w:tc>
      </w:tr>
      <w:tr w:rsidR="00702DE8" w14:paraId="542AEC54" w14:textId="77777777" w:rsidTr="00702DE8">
        <w:tc>
          <w:tcPr>
            <w:tcW w:w="2269" w:type="dxa"/>
            <w:tcBorders>
              <w:top w:val="single" w:sz="4" w:space="0" w:color="auto"/>
              <w:left w:val="single" w:sz="4" w:space="0" w:color="auto"/>
              <w:bottom w:val="single" w:sz="4" w:space="0" w:color="auto"/>
              <w:right w:val="nil"/>
            </w:tcBorders>
            <w:hideMark/>
          </w:tcPr>
          <w:p w14:paraId="4C49BEB3" w14:textId="77777777" w:rsidR="00702DE8" w:rsidRDefault="00702DE8">
            <w:pPr>
              <w:autoSpaceDE w:val="0"/>
              <w:autoSpaceDN w:val="0"/>
              <w:adjustRightInd w:val="0"/>
              <w:spacing w:line="240" w:lineRule="auto"/>
              <w:rPr>
                <w:rFonts w:ascii="Verdana" w:hAnsi="Verdana" w:cs="FctykbAdvTT86d47313"/>
                <w:b/>
                <w:bCs/>
                <w:color w:val="131413"/>
                <w:sz w:val="18"/>
                <w:szCs w:val="18"/>
              </w:rPr>
            </w:pPr>
            <w:r>
              <w:rPr>
                <w:rFonts w:ascii="Verdana" w:hAnsi="Verdana" w:cs="FctykbAdvTT86d47313"/>
                <w:b/>
                <w:bCs/>
                <w:color w:val="131413"/>
                <w:sz w:val="18"/>
                <w:szCs w:val="18"/>
              </w:rPr>
              <w:t>Cognitive Participation</w:t>
            </w:r>
          </w:p>
        </w:tc>
        <w:tc>
          <w:tcPr>
            <w:tcW w:w="1457" w:type="dxa"/>
            <w:tcBorders>
              <w:top w:val="single" w:sz="4" w:space="0" w:color="auto"/>
              <w:left w:val="nil"/>
              <w:bottom w:val="single" w:sz="4" w:space="0" w:color="auto"/>
              <w:right w:val="nil"/>
            </w:tcBorders>
            <w:hideMark/>
          </w:tcPr>
          <w:p w14:paraId="4425C479"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Pearson Correlation</w:t>
            </w:r>
          </w:p>
          <w:p w14:paraId="77EF41ED"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 xml:space="preserve"> (Sig - 2 tailed)</w:t>
            </w:r>
          </w:p>
        </w:tc>
        <w:tc>
          <w:tcPr>
            <w:tcW w:w="1281" w:type="dxa"/>
            <w:tcBorders>
              <w:top w:val="single" w:sz="4" w:space="0" w:color="auto"/>
              <w:left w:val="nil"/>
              <w:bottom w:val="single" w:sz="4" w:space="0" w:color="auto"/>
              <w:right w:val="nil"/>
            </w:tcBorders>
            <w:hideMark/>
          </w:tcPr>
          <w:p w14:paraId="30C1177C"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0.607</w:t>
            </w:r>
          </w:p>
          <w:p w14:paraId="7AAEC995"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(p&lt;0.001)</w:t>
            </w:r>
          </w:p>
        </w:tc>
        <w:tc>
          <w:tcPr>
            <w:tcW w:w="1518" w:type="dxa"/>
            <w:tcBorders>
              <w:top w:val="single" w:sz="4" w:space="0" w:color="auto"/>
              <w:left w:val="nil"/>
              <w:bottom w:val="single" w:sz="4" w:space="0" w:color="auto"/>
              <w:right w:val="nil"/>
            </w:tcBorders>
            <w:hideMark/>
          </w:tcPr>
          <w:p w14:paraId="1E785BA8"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1</w:t>
            </w:r>
          </w:p>
        </w:tc>
        <w:tc>
          <w:tcPr>
            <w:tcW w:w="1280" w:type="dxa"/>
            <w:tcBorders>
              <w:top w:val="single" w:sz="4" w:space="0" w:color="auto"/>
              <w:left w:val="nil"/>
              <w:bottom w:val="single" w:sz="4" w:space="0" w:color="auto"/>
              <w:right w:val="nil"/>
            </w:tcBorders>
          </w:tcPr>
          <w:p w14:paraId="0A60FFB2" w14:textId="77777777" w:rsidR="00702DE8" w:rsidRDefault="00702DE8">
            <w:pPr>
              <w:autoSpaceDE w:val="0"/>
              <w:autoSpaceDN w:val="0"/>
              <w:adjustRightInd w:val="0"/>
              <w:spacing w:line="240" w:lineRule="auto"/>
              <w:rPr>
                <w:rFonts w:ascii="Verdana" w:hAnsi="Verdana" w:cs="FctykbAdvTT86d47313"/>
                <w:color w:val="131413"/>
                <w:sz w:val="18"/>
                <w:szCs w:val="18"/>
              </w:rPr>
            </w:pPr>
          </w:p>
        </w:tc>
        <w:tc>
          <w:tcPr>
            <w:tcW w:w="1311" w:type="dxa"/>
            <w:tcBorders>
              <w:top w:val="single" w:sz="4" w:space="0" w:color="auto"/>
              <w:left w:val="nil"/>
              <w:bottom w:val="single" w:sz="4" w:space="0" w:color="auto"/>
              <w:right w:val="single" w:sz="4" w:space="0" w:color="auto"/>
            </w:tcBorders>
          </w:tcPr>
          <w:p w14:paraId="463E03F7" w14:textId="77777777" w:rsidR="00702DE8" w:rsidRDefault="00702DE8">
            <w:pPr>
              <w:autoSpaceDE w:val="0"/>
              <w:autoSpaceDN w:val="0"/>
              <w:adjustRightInd w:val="0"/>
              <w:spacing w:line="240" w:lineRule="auto"/>
              <w:rPr>
                <w:rFonts w:ascii="Verdana" w:hAnsi="Verdana" w:cs="FctykbAdvTT86d47313"/>
                <w:color w:val="131413"/>
                <w:sz w:val="18"/>
                <w:szCs w:val="18"/>
              </w:rPr>
            </w:pPr>
          </w:p>
        </w:tc>
      </w:tr>
      <w:tr w:rsidR="00702DE8" w14:paraId="650AD1EA" w14:textId="77777777" w:rsidTr="00702DE8">
        <w:tc>
          <w:tcPr>
            <w:tcW w:w="2269" w:type="dxa"/>
            <w:tcBorders>
              <w:top w:val="single" w:sz="4" w:space="0" w:color="auto"/>
              <w:left w:val="single" w:sz="4" w:space="0" w:color="auto"/>
              <w:bottom w:val="single" w:sz="4" w:space="0" w:color="auto"/>
              <w:right w:val="nil"/>
            </w:tcBorders>
            <w:hideMark/>
          </w:tcPr>
          <w:p w14:paraId="0DB924F1" w14:textId="77777777" w:rsidR="00702DE8" w:rsidRDefault="00702DE8">
            <w:pPr>
              <w:autoSpaceDE w:val="0"/>
              <w:autoSpaceDN w:val="0"/>
              <w:adjustRightInd w:val="0"/>
              <w:spacing w:line="240" w:lineRule="auto"/>
              <w:rPr>
                <w:rFonts w:ascii="Verdana" w:hAnsi="Verdana" w:cs="FctykbAdvTT86d47313"/>
                <w:b/>
                <w:bCs/>
                <w:color w:val="131413"/>
                <w:sz w:val="18"/>
                <w:szCs w:val="18"/>
              </w:rPr>
            </w:pPr>
            <w:r>
              <w:rPr>
                <w:rFonts w:ascii="Verdana" w:hAnsi="Verdana" w:cs="FctykbAdvTT86d47313"/>
                <w:b/>
                <w:bCs/>
                <w:color w:val="131413"/>
                <w:sz w:val="18"/>
                <w:szCs w:val="18"/>
              </w:rPr>
              <w:t>Collective action</w:t>
            </w:r>
          </w:p>
        </w:tc>
        <w:tc>
          <w:tcPr>
            <w:tcW w:w="1457" w:type="dxa"/>
            <w:tcBorders>
              <w:top w:val="single" w:sz="4" w:space="0" w:color="auto"/>
              <w:left w:val="nil"/>
              <w:bottom w:val="single" w:sz="4" w:space="0" w:color="auto"/>
              <w:right w:val="nil"/>
            </w:tcBorders>
            <w:hideMark/>
          </w:tcPr>
          <w:p w14:paraId="12CADD89"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 xml:space="preserve">Pearson Correlation </w:t>
            </w:r>
          </w:p>
          <w:p w14:paraId="0BA19C27"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(Sig - 2 tailed)</w:t>
            </w:r>
          </w:p>
        </w:tc>
        <w:tc>
          <w:tcPr>
            <w:tcW w:w="1281" w:type="dxa"/>
            <w:tcBorders>
              <w:top w:val="single" w:sz="4" w:space="0" w:color="auto"/>
              <w:left w:val="nil"/>
              <w:bottom w:val="single" w:sz="4" w:space="0" w:color="auto"/>
              <w:right w:val="nil"/>
            </w:tcBorders>
            <w:hideMark/>
          </w:tcPr>
          <w:p w14:paraId="51F02D4E"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0.581</w:t>
            </w:r>
          </w:p>
          <w:p w14:paraId="0606D877"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(p&lt;0.001)</w:t>
            </w:r>
          </w:p>
        </w:tc>
        <w:tc>
          <w:tcPr>
            <w:tcW w:w="1518" w:type="dxa"/>
            <w:tcBorders>
              <w:top w:val="single" w:sz="4" w:space="0" w:color="auto"/>
              <w:left w:val="nil"/>
              <w:bottom w:val="single" w:sz="4" w:space="0" w:color="auto"/>
              <w:right w:val="nil"/>
            </w:tcBorders>
            <w:hideMark/>
          </w:tcPr>
          <w:p w14:paraId="4FAAF983"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0.507</w:t>
            </w:r>
          </w:p>
          <w:p w14:paraId="6D32FDD7"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(p&lt;0.001)</w:t>
            </w:r>
          </w:p>
        </w:tc>
        <w:tc>
          <w:tcPr>
            <w:tcW w:w="1280" w:type="dxa"/>
            <w:tcBorders>
              <w:top w:val="single" w:sz="4" w:space="0" w:color="auto"/>
              <w:left w:val="nil"/>
              <w:bottom w:val="single" w:sz="4" w:space="0" w:color="auto"/>
              <w:right w:val="nil"/>
            </w:tcBorders>
            <w:hideMark/>
          </w:tcPr>
          <w:p w14:paraId="5841067B"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1</w:t>
            </w:r>
          </w:p>
        </w:tc>
        <w:tc>
          <w:tcPr>
            <w:tcW w:w="1311" w:type="dxa"/>
            <w:tcBorders>
              <w:top w:val="single" w:sz="4" w:space="0" w:color="auto"/>
              <w:left w:val="nil"/>
              <w:bottom w:val="single" w:sz="4" w:space="0" w:color="auto"/>
              <w:right w:val="single" w:sz="4" w:space="0" w:color="auto"/>
            </w:tcBorders>
          </w:tcPr>
          <w:p w14:paraId="51A293BE" w14:textId="77777777" w:rsidR="00702DE8" w:rsidRDefault="00702DE8">
            <w:pPr>
              <w:autoSpaceDE w:val="0"/>
              <w:autoSpaceDN w:val="0"/>
              <w:adjustRightInd w:val="0"/>
              <w:spacing w:line="240" w:lineRule="auto"/>
              <w:rPr>
                <w:rFonts w:ascii="Verdana" w:hAnsi="Verdana" w:cs="FctykbAdvTT86d47313"/>
                <w:color w:val="131413"/>
                <w:sz w:val="18"/>
                <w:szCs w:val="18"/>
              </w:rPr>
            </w:pPr>
          </w:p>
        </w:tc>
      </w:tr>
      <w:tr w:rsidR="00702DE8" w14:paraId="02F91D84" w14:textId="77777777" w:rsidTr="00702DE8">
        <w:tc>
          <w:tcPr>
            <w:tcW w:w="2269" w:type="dxa"/>
            <w:tcBorders>
              <w:top w:val="single" w:sz="4" w:space="0" w:color="auto"/>
              <w:left w:val="single" w:sz="4" w:space="0" w:color="auto"/>
              <w:bottom w:val="single" w:sz="4" w:space="0" w:color="auto"/>
              <w:right w:val="nil"/>
            </w:tcBorders>
            <w:hideMark/>
          </w:tcPr>
          <w:p w14:paraId="6B23DB71" w14:textId="77777777" w:rsidR="00702DE8" w:rsidRDefault="00702DE8">
            <w:pPr>
              <w:autoSpaceDE w:val="0"/>
              <w:autoSpaceDN w:val="0"/>
              <w:adjustRightInd w:val="0"/>
              <w:spacing w:line="240" w:lineRule="auto"/>
              <w:rPr>
                <w:rFonts w:ascii="Verdana" w:hAnsi="Verdana" w:cs="FctykbAdvTT86d47313"/>
                <w:b/>
                <w:bCs/>
                <w:color w:val="131413"/>
                <w:sz w:val="18"/>
                <w:szCs w:val="18"/>
              </w:rPr>
            </w:pPr>
            <w:r>
              <w:rPr>
                <w:rFonts w:ascii="Verdana" w:hAnsi="Verdana" w:cs="FctykbAdvTT86d47313"/>
                <w:b/>
                <w:bCs/>
                <w:color w:val="131413"/>
                <w:sz w:val="18"/>
                <w:szCs w:val="18"/>
              </w:rPr>
              <w:t>Reflexive Monitoring</w:t>
            </w:r>
          </w:p>
        </w:tc>
        <w:tc>
          <w:tcPr>
            <w:tcW w:w="1457" w:type="dxa"/>
            <w:tcBorders>
              <w:top w:val="single" w:sz="4" w:space="0" w:color="auto"/>
              <w:left w:val="nil"/>
              <w:bottom w:val="single" w:sz="4" w:space="0" w:color="auto"/>
              <w:right w:val="nil"/>
            </w:tcBorders>
            <w:hideMark/>
          </w:tcPr>
          <w:p w14:paraId="59A66B4C"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 xml:space="preserve">Pearson Correlation </w:t>
            </w:r>
          </w:p>
          <w:p w14:paraId="606F1627"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(Sig - 2 tailed)</w:t>
            </w:r>
          </w:p>
        </w:tc>
        <w:tc>
          <w:tcPr>
            <w:tcW w:w="1281" w:type="dxa"/>
            <w:tcBorders>
              <w:top w:val="single" w:sz="4" w:space="0" w:color="auto"/>
              <w:left w:val="nil"/>
              <w:bottom w:val="single" w:sz="4" w:space="0" w:color="auto"/>
              <w:right w:val="nil"/>
            </w:tcBorders>
            <w:hideMark/>
          </w:tcPr>
          <w:p w14:paraId="20B1C451"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0.597</w:t>
            </w:r>
          </w:p>
          <w:p w14:paraId="5EC50B59"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(p&lt;0.001)</w:t>
            </w:r>
          </w:p>
        </w:tc>
        <w:tc>
          <w:tcPr>
            <w:tcW w:w="1518" w:type="dxa"/>
            <w:tcBorders>
              <w:top w:val="single" w:sz="4" w:space="0" w:color="auto"/>
              <w:left w:val="nil"/>
              <w:bottom w:val="single" w:sz="4" w:space="0" w:color="auto"/>
              <w:right w:val="nil"/>
            </w:tcBorders>
            <w:hideMark/>
          </w:tcPr>
          <w:p w14:paraId="485150D0"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0.672</w:t>
            </w:r>
          </w:p>
          <w:p w14:paraId="72962296"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(p&lt;0.001)</w:t>
            </w:r>
          </w:p>
        </w:tc>
        <w:tc>
          <w:tcPr>
            <w:tcW w:w="1280" w:type="dxa"/>
            <w:tcBorders>
              <w:top w:val="single" w:sz="4" w:space="0" w:color="auto"/>
              <w:left w:val="nil"/>
              <w:bottom w:val="single" w:sz="4" w:space="0" w:color="auto"/>
              <w:right w:val="nil"/>
            </w:tcBorders>
            <w:hideMark/>
          </w:tcPr>
          <w:p w14:paraId="04B9CB55"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0.427</w:t>
            </w:r>
          </w:p>
          <w:p w14:paraId="66BA32A6"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(p&lt;0.001)</w:t>
            </w:r>
          </w:p>
        </w:tc>
        <w:tc>
          <w:tcPr>
            <w:tcW w:w="1311" w:type="dxa"/>
            <w:tcBorders>
              <w:top w:val="single" w:sz="4" w:space="0" w:color="auto"/>
              <w:left w:val="nil"/>
              <w:bottom w:val="single" w:sz="4" w:space="0" w:color="auto"/>
              <w:right w:val="single" w:sz="4" w:space="0" w:color="auto"/>
            </w:tcBorders>
            <w:hideMark/>
          </w:tcPr>
          <w:p w14:paraId="1036020B" w14:textId="77777777" w:rsidR="00702DE8" w:rsidRDefault="00702DE8">
            <w:pPr>
              <w:autoSpaceDE w:val="0"/>
              <w:autoSpaceDN w:val="0"/>
              <w:adjustRightInd w:val="0"/>
              <w:spacing w:line="240" w:lineRule="auto"/>
              <w:rPr>
                <w:rFonts w:ascii="Verdana" w:hAnsi="Verdana" w:cs="FctykbAdvTT86d47313"/>
                <w:color w:val="131413"/>
                <w:sz w:val="18"/>
                <w:szCs w:val="18"/>
              </w:rPr>
            </w:pPr>
            <w:r>
              <w:rPr>
                <w:rFonts w:ascii="Verdana" w:hAnsi="Verdana" w:cs="FctykbAdvTT86d47313"/>
                <w:color w:val="131413"/>
                <w:sz w:val="18"/>
                <w:szCs w:val="18"/>
              </w:rPr>
              <w:t>1</w:t>
            </w:r>
          </w:p>
        </w:tc>
      </w:tr>
    </w:tbl>
    <w:p w14:paraId="29EE094D" w14:textId="77777777" w:rsidR="00702DE8" w:rsidRDefault="00702DE8" w:rsidP="00702DE8"/>
    <w:p w14:paraId="2BE7993B" w14:textId="77777777" w:rsidR="00702DE8" w:rsidRDefault="00702DE8" w:rsidP="00702DE8">
      <w:pPr>
        <w:rPr>
          <w:rFonts w:ascii="Verdana" w:hAnsi="Verdana"/>
        </w:rPr>
      </w:pPr>
      <w:r>
        <w:rPr>
          <w:rFonts w:ascii="Verdana" w:hAnsi="Verdana"/>
        </w:rPr>
        <w:lastRenderedPageBreak/>
        <w:t>Bivariate correlations between the NPT construct measures are shown in Table A. This shows moderate levels of correlation for summated scores within the construct domains as they relate to PFP integration into CP practice. This indicates that 'cognitive participation’ and 'reflexive monitoring’ are the most highly correlated (r=0.672), and ‘collective action’ and ‘reflexive monitoring’ (r=0.427) are the two constructs that are least correlated.</w:t>
      </w:r>
    </w:p>
    <w:p w14:paraId="6EEE3722" w14:textId="77777777" w:rsidR="00702DE8" w:rsidRDefault="00702DE8" w:rsidP="00702DE8">
      <w:pPr>
        <w:rPr>
          <w:rFonts w:ascii="Verdana" w:hAnsi="Verdana"/>
        </w:rPr>
      </w:pPr>
    </w:p>
    <w:p w14:paraId="43C6173A" w14:textId="77777777" w:rsidR="00702DE8" w:rsidRDefault="00702DE8" w:rsidP="00702DE8">
      <w:pPr>
        <w:rPr>
          <w:rFonts w:ascii="Verdana" w:hAnsi="Verdana"/>
        </w:rPr>
      </w:pPr>
      <w:r>
        <w:rPr>
          <w:rFonts w:ascii="Verdana" w:hAnsi="Verdana"/>
        </w:rPr>
        <w:t>Supplementary Materials References:</w:t>
      </w:r>
    </w:p>
    <w:p w14:paraId="2175D9EC" w14:textId="77777777" w:rsidR="00702DE8" w:rsidRDefault="00702DE8" w:rsidP="00702DE8">
      <w:pPr>
        <w:pStyle w:val="ListParagraph"/>
        <w:numPr>
          <w:ilvl w:val="0"/>
          <w:numId w:val="1"/>
        </w:numPr>
        <w:rPr>
          <w:rFonts w:ascii="Verdana" w:hAnsi="Verdana"/>
        </w:rPr>
      </w:pPr>
      <w:r>
        <w:rPr>
          <w:rFonts w:ascii="Verdana" w:hAnsi="Verdana"/>
        </w:rPr>
        <w:t xml:space="preserve">Finch TL, Girling M, May CR et al. Improving the normalization of complex interventions: part 2 - validation of the </w:t>
      </w:r>
      <w:proofErr w:type="spellStart"/>
      <w:r>
        <w:rPr>
          <w:rFonts w:ascii="Verdana" w:hAnsi="Verdana"/>
        </w:rPr>
        <w:t>NoMAD</w:t>
      </w:r>
      <w:proofErr w:type="spellEnd"/>
      <w:r>
        <w:rPr>
          <w:rFonts w:ascii="Verdana" w:hAnsi="Verdana"/>
        </w:rPr>
        <w:t xml:space="preserve"> instrument for assessing implementation work based on normalization process theory (NPT). BMC Med Res </w:t>
      </w:r>
      <w:proofErr w:type="spellStart"/>
      <w:r>
        <w:rPr>
          <w:rFonts w:ascii="Verdana" w:hAnsi="Verdana"/>
        </w:rPr>
        <w:t>Methodol</w:t>
      </w:r>
      <w:proofErr w:type="spellEnd"/>
      <w:r>
        <w:rPr>
          <w:rFonts w:ascii="Verdana" w:hAnsi="Verdana"/>
        </w:rPr>
        <w:t>. 2018;18:135.</w:t>
      </w:r>
    </w:p>
    <w:p w14:paraId="2FE7D0ED" w14:textId="77777777" w:rsidR="007A58DE" w:rsidRDefault="007A58DE"/>
    <w:sectPr w:rsidR="007A58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FctykbAdvTT86d47313">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8D289D"/>
    <w:multiLevelType w:val="hybridMultilevel"/>
    <w:tmpl w:val="AF8636B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E89411B"/>
    <w:multiLevelType w:val="hybridMultilevel"/>
    <w:tmpl w:val="E460E1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1749952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2377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DE8"/>
    <w:rsid w:val="00702DE8"/>
    <w:rsid w:val="007A58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F2EF5"/>
  <w15:chartTrackingRefBased/>
  <w15:docId w15:val="{79E59FED-56E7-43B5-B680-2C87256F8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DE8"/>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2DE8"/>
    <w:pPr>
      <w:spacing w:after="0" w:line="240" w:lineRule="auto"/>
      <w:ind w:left="720"/>
      <w:contextualSpacing/>
    </w:pPr>
    <w:rPr>
      <w:rFonts w:ascii="Times New Roman" w:eastAsia="Times New Roman" w:hAnsi="Times New Roman" w:cs="Angsana New"/>
      <w:sz w:val="20"/>
      <w:szCs w:val="25"/>
      <w:lang w:eastAsia="en-GB" w:bidi="th-TH"/>
    </w:rPr>
  </w:style>
  <w:style w:type="table" w:styleId="TableGrid">
    <w:name w:val="Table Grid"/>
    <w:basedOn w:val="TableNormal"/>
    <w:uiPriority w:val="39"/>
    <w:rsid w:val="00702DE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43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cunningham@rgu.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1077</Words>
  <Characters>6145</Characters>
  <Application>Microsoft Office Word</Application>
  <DocSecurity>0</DocSecurity>
  <Lines>51</Lines>
  <Paragraphs>14</Paragraphs>
  <ScaleCrop>false</ScaleCrop>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Cunningham (pals)</dc:creator>
  <cp:keywords/>
  <dc:description/>
  <cp:lastModifiedBy>Scott Cunningham (pals)</cp:lastModifiedBy>
  <cp:revision>1</cp:revision>
  <dcterms:created xsi:type="dcterms:W3CDTF">2024-02-06T14:41:00Z</dcterms:created>
  <dcterms:modified xsi:type="dcterms:W3CDTF">2024-02-06T14:42:00Z</dcterms:modified>
</cp:coreProperties>
</file>