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B9" w14:textId="77777777" w:rsidR="001C6E66" w:rsidRDefault="001C6E66">
      <w:pPr>
        <w:spacing w:line="479" w:lineRule="auto"/>
        <w:rPr>
          <w:sz w:val="24"/>
          <w:szCs w:val="24"/>
        </w:rPr>
      </w:pPr>
    </w:p>
    <w:p w14:paraId="000000BA" w14:textId="782D8D12" w:rsidR="001C6E66" w:rsidRDefault="00000000">
      <w:pPr>
        <w:spacing w:line="479" w:lineRule="auto"/>
        <w:rPr>
          <w:sz w:val="24"/>
          <w:szCs w:val="24"/>
        </w:rPr>
      </w:pPr>
      <w:r>
        <w:rPr>
          <w:b/>
          <w:sz w:val="24"/>
          <w:szCs w:val="24"/>
        </w:rPr>
        <w:t xml:space="preserve">Supplementary Figure 1: a) </w:t>
      </w:r>
      <w:r>
        <w:rPr>
          <w:sz w:val="24"/>
          <w:szCs w:val="24"/>
        </w:rPr>
        <w:t xml:space="preserve">Top 40 signatures with highest median correlation between ST ground truth and </w:t>
      </w:r>
      <w:r w:rsidR="008E5868">
        <w:rPr>
          <w:sz w:val="24"/>
          <w:szCs w:val="24"/>
        </w:rPr>
        <w:t>MOSBY</w:t>
      </w:r>
      <w:r>
        <w:rPr>
          <w:sz w:val="24"/>
          <w:szCs w:val="24"/>
        </w:rPr>
        <w:t xml:space="preserve"> spot level predictions. Red arrows indicate slides visualized in Fig. 1c with relevant signature levels. Lower and upper hinges in box plots correspond to first and third quartiles, while whiskers extend to 1.5 times interquartile range. </w:t>
      </w:r>
      <w:r>
        <w:rPr>
          <w:b/>
          <w:sz w:val="24"/>
          <w:szCs w:val="24"/>
        </w:rPr>
        <w:t xml:space="preserve">b) </w:t>
      </w:r>
      <w:r>
        <w:rPr>
          <w:sz w:val="24"/>
          <w:szCs w:val="24"/>
        </w:rPr>
        <w:t xml:space="preserve">Concordance between ST ground truth and </w:t>
      </w:r>
      <w:r w:rsidR="008E5868">
        <w:rPr>
          <w:sz w:val="24"/>
          <w:szCs w:val="24"/>
        </w:rPr>
        <w:t>MOSBY</w:t>
      </w:r>
      <w:r>
        <w:rPr>
          <w:sz w:val="24"/>
          <w:szCs w:val="24"/>
        </w:rPr>
        <w:t xml:space="preserve">-predicted levels of CD8 T cell and proliferation-related signatures. </w:t>
      </w:r>
      <w:r>
        <w:rPr>
          <w:b/>
          <w:sz w:val="24"/>
          <w:szCs w:val="24"/>
        </w:rPr>
        <w:t xml:space="preserve">c) </w:t>
      </w:r>
      <w:r>
        <w:rPr>
          <w:sz w:val="24"/>
          <w:szCs w:val="24"/>
        </w:rPr>
        <w:t xml:space="preserve">Null distribution simulation for signature-signature correlations. The left y-axis represents the Frobenius distance between the ground truth signature-signature correlation matrix and that from </w:t>
      </w:r>
      <w:r w:rsidR="008E5868">
        <w:rPr>
          <w:sz w:val="24"/>
          <w:szCs w:val="24"/>
        </w:rPr>
        <w:t>MOSBY</w:t>
      </w:r>
      <w:r>
        <w:rPr>
          <w:sz w:val="24"/>
          <w:szCs w:val="24"/>
        </w:rPr>
        <w:t xml:space="preserve"> predictions (red dots), or those from randomly shuffled predictions (box plots). The right y-axis indicates the empirical p-value obtained by comparing the real distance (red dot) with the empirical null distribution as shown with box plots. </w:t>
      </w:r>
      <w:r>
        <w:rPr>
          <w:b/>
          <w:sz w:val="24"/>
          <w:szCs w:val="24"/>
        </w:rPr>
        <w:t>d)</w:t>
      </w:r>
      <w:r>
        <w:rPr>
          <w:sz w:val="24"/>
          <w:szCs w:val="24"/>
        </w:rPr>
        <w:t xml:space="preserve"> Top 40 genes with highest median correlation between ST ground truth and </w:t>
      </w:r>
      <w:r w:rsidR="008E5868">
        <w:rPr>
          <w:sz w:val="24"/>
          <w:szCs w:val="24"/>
        </w:rPr>
        <w:t>MOSBY</w:t>
      </w:r>
      <w:r>
        <w:rPr>
          <w:sz w:val="24"/>
          <w:szCs w:val="24"/>
        </w:rPr>
        <w:t xml:space="preserve"> spot level predictions. </w:t>
      </w:r>
      <w:r>
        <w:rPr>
          <w:b/>
          <w:sz w:val="24"/>
          <w:szCs w:val="24"/>
        </w:rPr>
        <w:t>e)</w:t>
      </w:r>
      <w:r>
        <w:rPr>
          <w:sz w:val="24"/>
          <w:szCs w:val="24"/>
        </w:rPr>
        <w:t xml:space="preserve"> Percentage of zero values for each gene (y-axis) in each slide (x-axis). </w:t>
      </w:r>
      <w:r>
        <w:rPr>
          <w:b/>
          <w:sz w:val="24"/>
          <w:szCs w:val="24"/>
        </w:rPr>
        <w:t xml:space="preserve">f) </w:t>
      </w:r>
      <w:r>
        <w:rPr>
          <w:sz w:val="24"/>
          <w:szCs w:val="24"/>
        </w:rPr>
        <w:t xml:space="preserve">Null distribution simulation for gene-gene correlations. The left and right y-axes represent Frobenius distance and empirical p-value as explained in </w:t>
      </w:r>
      <w:r>
        <w:rPr>
          <w:b/>
          <w:sz w:val="24"/>
          <w:szCs w:val="24"/>
        </w:rPr>
        <w:t xml:space="preserve">c. g) </w:t>
      </w:r>
      <w:r>
        <w:rPr>
          <w:sz w:val="24"/>
          <w:szCs w:val="24"/>
        </w:rPr>
        <w:t xml:space="preserve">Select gene-gene correlation matrices showing concordance between ST ground truth and </w:t>
      </w:r>
      <w:r w:rsidR="008E5868">
        <w:rPr>
          <w:sz w:val="24"/>
          <w:szCs w:val="24"/>
        </w:rPr>
        <w:t>MOSBY</w:t>
      </w:r>
      <w:r>
        <w:rPr>
          <w:sz w:val="24"/>
          <w:szCs w:val="24"/>
        </w:rPr>
        <w:t xml:space="preserve"> predictions. Boxes indicate fibroblast (top left) and immune population (bottom right) marker genes. </w:t>
      </w:r>
      <w:r>
        <w:rPr>
          <w:b/>
          <w:sz w:val="24"/>
          <w:szCs w:val="24"/>
        </w:rPr>
        <w:t xml:space="preserve">h) </w:t>
      </w:r>
      <w:r>
        <w:rPr>
          <w:sz w:val="24"/>
          <w:szCs w:val="24"/>
        </w:rPr>
        <w:t xml:space="preserve">Workflow for identifying fibroblast clusters in </w:t>
      </w:r>
      <w:r w:rsidR="008E5868">
        <w:rPr>
          <w:sz w:val="24"/>
          <w:szCs w:val="24"/>
        </w:rPr>
        <w:t>MOSBY</w:t>
      </w:r>
      <w:r>
        <w:rPr>
          <w:sz w:val="24"/>
          <w:szCs w:val="24"/>
        </w:rPr>
        <w:t xml:space="preserve"> gene-gene correlation matrices, and statistical enrichment of these clusters (N = variable for each slide) in a fibroblast marker gene list (N=19 genes).</w:t>
      </w:r>
      <w:r>
        <w:rPr>
          <w:b/>
          <w:sz w:val="24"/>
          <w:szCs w:val="24"/>
        </w:rPr>
        <w:t xml:space="preserve"> </w:t>
      </w:r>
      <w:r>
        <w:rPr>
          <w:sz w:val="24"/>
          <w:szCs w:val="24"/>
        </w:rPr>
        <w:t xml:space="preserve">Hierarchical clustering was implemented with Euclidean distance, complete linkage, and k=2 dendrogram split. Enrichment was computed with a hypergeometric test with a significance threshold of p&lt;0.05. The y and x axes respectively show number of slides and </w:t>
      </w:r>
      <w:r>
        <w:rPr>
          <w:sz w:val="24"/>
          <w:szCs w:val="24"/>
        </w:rPr>
        <w:lastRenderedPageBreak/>
        <w:t>overlap percentage with fibroblast marker list. Significant enrichment is denoted with turquoise.</w:t>
      </w:r>
    </w:p>
    <w:p w14:paraId="000000BB" w14:textId="77777777" w:rsidR="001C6E66" w:rsidRDefault="001C6E66">
      <w:pPr>
        <w:spacing w:line="480" w:lineRule="auto"/>
        <w:rPr>
          <w:sz w:val="24"/>
          <w:szCs w:val="24"/>
        </w:rPr>
      </w:pPr>
    </w:p>
    <w:p w14:paraId="000000BC" w14:textId="59AB4062" w:rsidR="001C6E66" w:rsidRDefault="00000000">
      <w:pPr>
        <w:spacing w:line="479" w:lineRule="auto"/>
        <w:rPr>
          <w:sz w:val="24"/>
          <w:szCs w:val="24"/>
        </w:rPr>
      </w:pPr>
      <w:r>
        <w:rPr>
          <w:b/>
          <w:sz w:val="24"/>
          <w:szCs w:val="24"/>
        </w:rPr>
        <w:t xml:space="preserve">Supplementary Figure 2.  Representative slides showing the variability for CD8 IHC </w:t>
      </w:r>
      <w:r>
        <w:rPr>
          <w:b/>
          <w:i/>
          <w:sz w:val="24"/>
          <w:szCs w:val="24"/>
        </w:rPr>
        <w:t>vs.</w:t>
      </w:r>
      <w:r>
        <w:rPr>
          <w:b/>
          <w:sz w:val="24"/>
          <w:szCs w:val="24"/>
        </w:rPr>
        <w:t xml:space="preserve"> </w:t>
      </w:r>
      <w:r w:rsidR="008E5868">
        <w:rPr>
          <w:b/>
          <w:sz w:val="24"/>
          <w:szCs w:val="24"/>
        </w:rPr>
        <w:t>MOSBY</w:t>
      </w:r>
      <w:r>
        <w:rPr>
          <w:b/>
          <w:sz w:val="24"/>
          <w:szCs w:val="24"/>
        </w:rPr>
        <w:t xml:space="preserve"> concordance in IMvigor211. a-d)</w:t>
      </w:r>
      <w:r>
        <w:rPr>
          <w:sz w:val="24"/>
          <w:szCs w:val="24"/>
        </w:rPr>
        <w:t xml:space="preserve"> Slides from the 75th, 50th, 25th, and 0th percentiles of the Pearson correlation between </w:t>
      </w:r>
      <w:r>
        <w:rPr>
          <w:i/>
          <w:sz w:val="24"/>
          <w:szCs w:val="24"/>
        </w:rPr>
        <w:t>CD8B</w:t>
      </w:r>
      <w:r>
        <w:rPr>
          <w:sz w:val="24"/>
          <w:szCs w:val="24"/>
        </w:rPr>
        <w:t xml:space="preserve"> model predictions and CD8 IHC ground truth quantification. In each figure, subpanels from left to right depict 1) computationally aligned CD8 IHC and H&amp;E whole slide images, 2) heat map showing CD8 IHC tile level quantification (plotted values derived from 100x100px windows, and clipped at 50th and 98th percentiles) with gray-colored background regions, 3) heat map showing </w:t>
      </w:r>
      <w:r>
        <w:rPr>
          <w:i/>
          <w:sz w:val="24"/>
          <w:szCs w:val="24"/>
        </w:rPr>
        <w:t>CD8B</w:t>
      </w:r>
      <w:r>
        <w:rPr>
          <w:sz w:val="24"/>
          <w:szCs w:val="24"/>
        </w:rPr>
        <w:t xml:space="preserve"> tile level model predictions (clipped at 50th and 98th percentiles) with gray-colored background regions, 4) density plot showing the correlation between tile-level ground truth data (DAB mask applied on CD8 IHC WSI) and </w:t>
      </w:r>
      <w:r w:rsidR="008E5868">
        <w:rPr>
          <w:sz w:val="24"/>
          <w:szCs w:val="24"/>
        </w:rPr>
        <w:t>MOSBY</w:t>
      </w:r>
      <w:r>
        <w:rPr>
          <w:sz w:val="24"/>
          <w:szCs w:val="24"/>
        </w:rPr>
        <w:t xml:space="preserve"> </w:t>
      </w:r>
      <w:r>
        <w:rPr>
          <w:i/>
          <w:sz w:val="24"/>
          <w:szCs w:val="24"/>
        </w:rPr>
        <w:t>CD8B</w:t>
      </w:r>
      <w:r>
        <w:rPr>
          <w:sz w:val="24"/>
          <w:szCs w:val="24"/>
        </w:rPr>
        <w:t xml:space="preserve"> predictions. </w:t>
      </w:r>
      <w:r>
        <w:rPr>
          <w:b/>
          <w:sz w:val="24"/>
          <w:szCs w:val="24"/>
        </w:rPr>
        <w:t>a)</w:t>
      </w:r>
      <w:r>
        <w:rPr>
          <w:sz w:val="24"/>
          <w:szCs w:val="24"/>
        </w:rPr>
        <w:t xml:space="preserve"> Slide from the 75th percentile with r = 0.48. </w:t>
      </w:r>
      <w:r>
        <w:rPr>
          <w:b/>
          <w:sz w:val="24"/>
          <w:szCs w:val="24"/>
        </w:rPr>
        <w:t>b)</w:t>
      </w:r>
      <w:r>
        <w:rPr>
          <w:sz w:val="24"/>
          <w:szCs w:val="24"/>
        </w:rPr>
        <w:t xml:space="preserve"> Slide from the 50th percentile with r = 0.35. </w:t>
      </w:r>
      <w:r>
        <w:rPr>
          <w:b/>
          <w:sz w:val="24"/>
          <w:szCs w:val="24"/>
        </w:rPr>
        <w:t>c)</w:t>
      </w:r>
      <w:r>
        <w:rPr>
          <w:sz w:val="24"/>
          <w:szCs w:val="24"/>
        </w:rPr>
        <w:t xml:space="preserve"> Slide from the 25th percentile with r = 0.25. </w:t>
      </w:r>
      <w:r>
        <w:rPr>
          <w:b/>
          <w:sz w:val="24"/>
          <w:szCs w:val="24"/>
        </w:rPr>
        <w:t>d)</w:t>
      </w:r>
      <w:r>
        <w:rPr>
          <w:sz w:val="24"/>
          <w:szCs w:val="24"/>
        </w:rPr>
        <w:t xml:space="preserve"> Slide from the 0th percentile with r = 0.011. </w:t>
      </w:r>
      <w:r>
        <w:rPr>
          <w:b/>
          <w:sz w:val="24"/>
          <w:szCs w:val="24"/>
        </w:rPr>
        <w:t>e)</w:t>
      </w:r>
      <w:r>
        <w:rPr>
          <w:sz w:val="24"/>
          <w:szCs w:val="24"/>
        </w:rPr>
        <w:t xml:space="preserve"> High magnification example of a CD8 T cell-poor region on the slide with r=0.011 from </w:t>
      </w:r>
      <w:r>
        <w:rPr>
          <w:b/>
          <w:sz w:val="24"/>
          <w:szCs w:val="24"/>
        </w:rPr>
        <w:t>(d)</w:t>
      </w:r>
      <w:r>
        <w:rPr>
          <w:sz w:val="24"/>
          <w:szCs w:val="24"/>
        </w:rPr>
        <w:t xml:space="preserve">. This region shows the presence of brown-staining artifacts. </w:t>
      </w:r>
      <w:r>
        <w:rPr>
          <w:b/>
          <w:sz w:val="24"/>
          <w:szCs w:val="24"/>
        </w:rPr>
        <w:t>f)</w:t>
      </w:r>
      <w:r>
        <w:rPr>
          <w:sz w:val="24"/>
          <w:szCs w:val="24"/>
        </w:rPr>
        <w:t xml:space="preserve"> DAB mask classification of ‘brown’ pixels (denoted with green) overlaid on CD8 IHC image. Brown-staining artifacts are also captured with DAB mask. </w:t>
      </w:r>
      <w:r>
        <w:rPr>
          <w:b/>
          <w:sz w:val="24"/>
          <w:szCs w:val="24"/>
        </w:rPr>
        <w:t>g)</w:t>
      </w:r>
      <w:r>
        <w:rPr>
          <w:sz w:val="24"/>
          <w:szCs w:val="24"/>
        </w:rPr>
        <w:t xml:space="preserve"> Corresponding region on the H&amp;E image as identified by slide-level computational alignment. </w:t>
      </w:r>
      <w:r>
        <w:rPr>
          <w:b/>
          <w:sz w:val="24"/>
          <w:szCs w:val="24"/>
        </w:rPr>
        <w:t xml:space="preserve">h) </w:t>
      </w:r>
      <w:r>
        <w:rPr>
          <w:i/>
          <w:sz w:val="24"/>
          <w:szCs w:val="24"/>
        </w:rPr>
        <w:t xml:space="preserve">CD8B </w:t>
      </w:r>
      <w:r>
        <w:rPr>
          <w:sz w:val="24"/>
          <w:szCs w:val="24"/>
        </w:rPr>
        <w:t xml:space="preserve">model predictions inferred from the H&amp;E image in </w:t>
      </w:r>
      <w:r>
        <w:rPr>
          <w:b/>
          <w:sz w:val="24"/>
          <w:szCs w:val="24"/>
        </w:rPr>
        <w:t>(g)</w:t>
      </w:r>
      <w:r>
        <w:rPr>
          <w:sz w:val="24"/>
          <w:szCs w:val="24"/>
        </w:rPr>
        <w:t xml:space="preserve"> overlaid on the CD8 IHC image in </w:t>
      </w:r>
      <w:r>
        <w:rPr>
          <w:b/>
          <w:sz w:val="24"/>
          <w:szCs w:val="24"/>
        </w:rPr>
        <w:t xml:space="preserve">(e). </w:t>
      </w:r>
      <w:r>
        <w:rPr>
          <w:sz w:val="24"/>
          <w:szCs w:val="24"/>
        </w:rPr>
        <w:t xml:space="preserve">Orange and blue show high and low values respectively. </w:t>
      </w:r>
    </w:p>
    <w:p w14:paraId="000000BD" w14:textId="77777777" w:rsidR="001C6E66" w:rsidRDefault="001C6E66">
      <w:pPr>
        <w:spacing w:line="479" w:lineRule="auto"/>
        <w:rPr>
          <w:sz w:val="24"/>
          <w:szCs w:val="24"/>
        </w:rPr>
      </w:pPr>
    </w:p>
    <w:p w14:paraId="000000BE" w14:textId="5C4E3625" w:rsidR="001C6E66" w:rsidRDefault="00000000">
      <w:pPr>
        <w:spacing w:line="479" w:lineRule="auto"/>
        <w:rPr>
          <w:sz w:val="24"/>
          <w:szCs w:val="24"/>
        </w:rPr>
      </w:pPr>
      <w:r>
        <w:rPr>
          <w:b/>
          <w:sz w:val="24"/>
          <w:szCs w:val="24"/>
        </w:rPr>
        <w:t xml:space="preserve">Supplementary Figure 3. </w:t>
      </w:r>
      <w:r w:rsidR="008E5868">
        <w:rPr>
          <w:b/>
          <w:sz w:val="24"/>
          <w:szCs w:val="24"/>
        </w:rPr>
        <w:t>MOSBY</w:t>
      </w:r>
      <w:r>
        <w:rPr>
          <w:b/>
          <w:sz w:val="24"/>
          <w:szCs w:val="24"/>
        </w:rPr>
        <w:t xml:space="preserve"> prediction of cell proliferation using single gene, signature, and protein models. a) </w:t>
      </w:r>
      <w:r>
        <w:rPr>
          <w:sz w:val="24"/>
          <w:szCs w:val="24"/>
        </w:rPr>
        <w:t xml:space="preserve">H&amp;E-stained WSI for three representative slides with pathologist penmark annotations indicating cancer cells. </w:t>
      </w:r>
      <w:r>
        <w:rPr>
          <w:b/>
          <w:sz w:val="24"/>
          <w:szCs w:val="24"/>
        </w:rPr>
        <w:t>b-c-d)</w:t>
      </w:r>
      <w:r>
        <w:rPr>
          <w:sz w:val="24"/>
          <w:szCs w:val="24"/>
        </w:rPr>
        <w:t xml:space="preserve"> Spatialization of </w:t>
      </w:r>
      <w:r w:rsidR="008E5868">
        <w:rPr>
          <w:sz w:val="24"/>
          <w:szCs w:val="24"/>
        </w:rPr>
        <w:t>MOSBY</w:t>
      </w:r>
      <w:r>
        <w:rPr>
          <w:sz w:val="24"/>
          <w:szCs w:val="24"/>
        </w:rPr>
        <w:t xml:space="preserve">-predicted expression levels of </w:t>
      </w:r>
      <w:r>
        <w:rPr>
          <w:b/>
          <w:sz w:val="24"/>
          <w:szCs w:val="24"/>
        </w:rPr>
        <w:t>b)</w:t>
      </w:r>
      <w:r>
        <w:rPr>
          <w:sz w:val="24"/>
          <w:szCs w:val="24"/>
        </w:rPr>
        <w:t xml:space="preserve"> Cyclin B1 protein, </w:t>
      </w:r>
      <w:r>
        <w:rPr>
          <w:b/>
          <w:sz w:val="24"/>
          <w:szCs w:val="24"/>
        </w:rPr>
        <w:t>c)</w:t>
      </w:r>
      <w:r>
        <w:rPr>
          <w:sz w:val="24"/>
          <w:szCs w:val="24"/>
        </w:rPr>
        <w:t xml:space="preserve"> Hallmark G2M checkpoint signature, and </w:t>
      </w:r>
      <w:r>
        <w:rPr>
          <w:b/>
          <w:sz w:val="24"/>
          <w:szCs w:val="24"/>
        </w:rPr>
        <w:t>d)</w:t>
      </w:r>
      <w:r>
        <w:rPr>
          <w:sz w:val="24"/>
          <w:szCs w:val="24"/>
        </w:rPr>
        <w:t xml:space="preserve"> </w:t>
      </w:r>
      <w:r>
        <w:rPr>
          <w:i/>
          <w:sz w:val="24"/>
          <w:szCs w:val="24"/>
        </w:rPr>
        <w:t>MKI67</w:t>
      </w:r>
      <w:r>
        <w:rPr>
          <w:sz w:val="24"/>
          <w:szCs w:val="24"/>
        </w:rPr>
        <w:t>.</w:t>
      </w:r>
    </w:p>
    <w:p w14:paraId="000000BF" w14:textId="77777777" w:rsidR="001C6E66" w:rsidRDefault="001C6E66">
      <w:pPr>
        <w:spacing w:line="479" w:lineRule="auto"/>
        <w:rPr>
          <w:sz w:val="24"/>
          <w:szCs w:val="24"/>
        </w:rPr>
      </w:pPr>
    </w:p>
    <w:p w14:paraId="000000C0" w14:textId="77777777" w:rsidR="001C6E66" w:rsidRDefault="00000000">
      <w:pPr>
        <w:spacing w:line="479" w:lineRule="auto"/>
        <w:rPr>
          <w:sz w:val="24"/>
          <w:szCs w:val="24"/>
        </w:rPr>
      </w:pPr>
      <w:r>
        <w:rPr>
          <w:b/>
          <w:sz w:val="24"/>
          <w:szCs w:val="24"/>
        </w:rPr>
        <w:t xml:space="preserve">Supplementary Figure 4. Multi-indication runs may show exaggerated performance. a-b) </w:t>
      </w:r>
      <w:r>
        <w:rPr>
          <w:sz w:val="24"/>
          <w:szCs w:val="24"/>
        </w:rPr>
        <w:t xml:space="preserve">Test set Spearman correlation between omic feature predictions and ground truth, averaged over 5 cross-validation folds. Each data point is an omic feature: </w:t>
      </w:r>
      <w:r>
        <w:rPr>
          <w:b/>
          <w:sz w:val="24"/>
          <w:szCs w:val="24"/>
        </w:rPr>
        <w:t>a)</w:t>
      </w:r>
      <w:r>
        <w:rPr>
          <w:sz w:val="24"/>
          <w:szCs w:val="24"/>
        </w:rPr>
        <w:t xml:space="preserve"> signatures </w:t>
      </w:r>
      <w:r>
        <w:rPr>
          <w:b/>
          <w:sz w:val="24"/>
          <w:szCs w:val="24"/>
        </w:rPr>
        <w:t>b)</w:t>
      </w:r>
      <w:r>
        <w:rPr>
          <w:sz w:val="24"/>
          <w:szCs w:val="24"/>
        </w:rPr>
        <w:t xml:space="preserve"> proteins, and the x-axis shows different single- and multi-indication runs. </w:t>
      </w:r>
      <w:r>
        <w:rPr>
          <w:b/>
          <w:sz w:val="24"/>
          <w:szCs w:val="24"/>
        </w:rPr>
        <w:t>c-d)</w:t>
      </w:r>
      <w:r>
        <w:rPr>
          <w:sz w:val="24"/>
          <w:szCs w:val="24"/>
        </w:rPr>
        <w:t xml:space="preserve"> Comparison of pan-cancer and single-indication runs for (c) Benporath_ES2 Stemness signature, and (d) Cyclin B1 protein. Only test set samples are shown from a single split run (70% training, 15% validation, and 15% test sets). </w:t>
      </w:r>
      <w:r>
        <w:rPr>
          <w:b/>
          <w:sz w:val="24"/>
          <w:szCs w:val="24"/>
        </w:rPr>
        <w:t>e-f-g-h)</w:t>
      </w:r>
      <w:r>
        <w:rPr>
          <w:sz w:val="24"/>
          <w:szCs w:val="24"/>
        </w:rPr>
        <w:t xml:space="preserve"> Performance comparison of multi-indication and single-indication models in multi-indication settings. S+ and M+ denote indications where single-indication or multi-indication model performs better respectively. </w:t>
      </w:r>
      <w:r>
        <w:rPr>
          <w:b/>
          <w:sz w:val="24"/>
          <w:szCs w:val="24"/>
        </w:rPr>
        <w:t>e-f)</w:t>
      </w:r>
      <w:r>
        <w:rPr>
          <w:sz w:val="24"/>
          <w:szCs w:val="24"/>
        </w:rPr>
        <w:t xml:space="preserve"> Signatures: (e) Median correlation across signatures in multi-indication runs (x-axis) vs. single-indication runs (y-axis). (f) Differences between multi- and single-indication model performance at the individual signature level. For each signature, y-axis shows the difference in correlation between the joint (multi-indication) and single-indication run. </w:t>
      </w:r>
      <w:r>
        <w:rPr>
          <w:b/>
          <w:sz w:val="24"/>
          <w:szCs w:val="24"/>
        </w:rPr>
        <w:t>g-h)</w:t>
      </w:r>
      <w:r>
        <w:rPr>
          <w:sz w:val="24"/>
          <w:szCs w:val="24"/>
        </w:rPr>
        <w:t xml:space="preserve"> Proteins: (g) Median correlation across signatures in multi-indication runs (x-axis) vs. single-indication runs (y-axis). (h) Differences between multi- and single-indication model performance at the individual protein level. For each protein, y-axis shows the difference in correlation between the joint (multi-indication) and single-indication run. Lower and upper hinges in box plots correspond to first and third quartiles, while whiskers extend to 1.5 times interquartile range.</w:t>
      </w:r>
    </w:p>
    <w:p w14:paraId="000000C1" w14:textId="77777777" w:rsidR="001C6E66" w:rsidRDefault="001C6E66">
      <w:pPr>
        <w:spacing w:line="479" w:lineRule="auto"/>
        <w:rPr>
          <w:sz w:val="24"/>
          <w:szCs w:val="24"/>
        </w:rPr>
      </w:pPr>
    </w:p>
    <w:p w14:paraId="000000C2" w14:textId="77777777" w:rsidR="001C6E66" w:rsidRDefault="00000000">
      <w:pPr>
        <w:spacing w:line="479" w:lineRule="auto"/>
        <w:rPr>
          <w:sz w:val="24"/>
          <w:szCs w:val="24"/>
        </w:rPr>
      </w:pPr>
      <w:r>
        <w:rPr>
          <w:b/>
          <w:sz w:val="24"/>
          <w:szCs w:val="24"/>
        </w:rPr>
        <w:t xml:space="preserve">Supplementary Figure 5. Survival analysis for XBP1s targets ER17 and Sabatini Neurotransmitter signatures. a) </w:t>
      </w:r>
      <w:r>
        <w:rPr>
          <w:sz w:val="24"/>
          <w:szCs w:val="24"/>
        </w:rPr>
        <w:t xml:space="preserve">Median-split Kaplan-Meier plots and logrank test p-values for the ER17 signature in TCGA colon, liver, lung, and ovarian cancer cohorts. </w:t>
      </w:r>
      <w:r>
        <w:rPr>
          <w:b/>
          <w:sz w:val="24"/>
          <w:szCs w:val="24"/>
        </w:rPr>
        <w:t xml:space="preserve">b) </w:t>
      </w:r>
      <w:r>
        <w:rPr>
          <w:sz w:val="24"/>
          <w:szCs w:val="24"/>
        </w:rPr>
        <w:t xml:space="preserve">Median-split Kaplan-Meier plots and logrank test p-values for the Sabatini Neurotransmitter signature in TCGA colon, liver, lung, and ovarian cancer cohorts. </w:t>
      </w:r>
      <w:r>
        <w:rPr>
          <w:b/>
          <w:sz w:val="24"/>
          <w:szCs w:val="24"/>
        </w:rPr>
        <w:t xml:space="preserve">c-d) </w:t>
      </w:r>
      <w:r>
        <w:rPr>
          <w:sz w:val="24"/>
          <w:szCs w:val="24"/>
        </w:rPr>
        <w:t xml:space="preserve">Colon adenocarcinoma slides showing differential colocalization of ER17 and neurotransmitter signatures: </w:t>
      </w:r>
      <w:r>
        <w:rPr>
          <w:b/>
          <w:sz w:val="24"/>
          <w:szCs w:val="24"/>
        </w:rPr>
        <w:t>c)</w:t>
      </w:r>
      <w:r>
        <w:rPr>
          <w:sz w:val="24"/>
          <w:szCs w:val="24"/>
        </w:rPr>
        <w:t xml:space="preserve"> High colocalization, </w:t>
      </w:r>
      <w:r>
        <w:rPr>
          <w:b/>
          <w:sz w:val="24"/>
          <w:szCs w:val="24"/>
        </w:rPr>
        <w:t>d)</w:t>
      </w:r>
      <w:r>
        <w:rPr>
          <w:sz w:val="24"/>
          <w:szCs w:val="24"/>
        </w:rPr>
        <w:t xml:space="preserve"> low colocalization. Tumor region heat maps are based on models trained on DNA-based ‘tumor purity’ estimates. </w:t>
      </w:r>
    </w:p>
    <w:p w14:paraId="000000C3" w14:textId="77777777" w:rsidR="001C6E66" w:rsidRDefault="001C6E66">
      <w:pPr>
        <w:spacing w:line="479" w:lineRule="auto"/>
        <w:rPr>
          <w:sz w:val="24"/>
          <w:szCs w:val="24"/>
        </w:rPr>
      </w:pPr>
    </w:p>
    <w:p w14:paraId="000000C4" w14:textId="77777777" w:rsidR="001C6E66" w:rsidRDefault="00000000">
      <w:pPr>
        <w:spacing w:line="479" w:lineRule="auto"/>
        <w:rPr>
          <w:sz w:val="24"/>
          <w:szCs w:val="24"/>
        </w:rPr>
      </w:pPr>
      <w:r>
        <w:rPr>
          <w:b/>
          <w:sz w:val="24"/>
          <w:szCs w:val="24"/>
        </w:rPr>
        <w:t xml:space="preserve">Supplementary Figure 6. Survival analysis for T effector and Sabatini Cysteine signatures. a) </w:t>
      </w:r>
      <w:r>
        <w:rPr>
          <w:sz w:val="24"/>
          <w:szCs w:val="24"/>
        </w:rPr>
        <w:t xml:space="preserve">Median-split Kaplan-Meier plots and logrank test p-values for the T effector signature in TCGA breast, lung squamous, and ovarian cancer cohorts. </w:t>
      </w:r>
      <w:r>
        <w:rPr>
          <w:b/>
          <w:sz w:val="24"/>
          <w:szCs w:val="24"/>
        </w:rPr>
        <w:t xml:space="preserve">b) </w:t>
      </w:r>
      <w:r>
        <w:rPr>
          <w:sz w:val="24"/>
          <w:szCs w:val="24"/>
        </w:rPr>
        <w:t xml:space="preserve">Median-split Kaplan-Meier plots and logrank test p-values for the Sabatini Cysteine signature in TCGA breast, lung squamous, and ovarian cancer cohorts. </w:t>
      </w:r>
      <w:r>
        <w:rPr>
          <w:b/>
          <w:sz w:val="24"/>
          <w:szCs w:val="24"/>
        </w:rPr>
        <w:t xml:space="preserve">c-d) </w:t>
      </w:r>
      <w:r>
        <w:rPr>
          <w:sz w:val="24"/>
          <w:szCs w:val="24"/>
        </w:rPr>
        <w:t xml:space="preserve">Breast cancer slides showing differential colocalization of T effector and cysteine signatures: </w:t>
      </w:r>
      <w:r>
        <w:rPr>
          <w:b/>
          <w:sz w:val="24"/>
          <w:szCs w:val="24"/>
        </w:rPr>
        <w:t>c)</w:t>
      </w:r>
      <w:r>
        <w:rPr>
          <w:sz w:val="24"/>
          <w:szCs w:val="24"/>
        </w:rPr>
        <w:t xml:space="preserve"> High colocalization, </w:t>
      </w:r>
      <w:r>
        <w:rPr>
          <w:b/>
          <w:sz w:val="24"/>
          <w:szCs w:val="24"/>
        </w:rPr>
        <w:t>d)</w:t>
      </w:r>
      <w:r>
        <w:rPr>
          <w:sz w:val="24"/>
          <w:szCs w:val="24"/>
        </w:rPr>
        <w:t xml:space="preserve"> low colocalization. Tumor region heat maps are based on models trained on DNA-based ‘tumor purity’ estimates. </w:t>
      </w:r>
      <w:r>
        <w:rPr>
          <w:b/>
          <w:sz w:val="24"/>
          <w:szCs w:val="24"/>
        </w:rPr>
        <w:t xml:space="preserve">e-f) </w:t>
      </w:r>
      <w:r>
        <w:rPr>
          <w:sz w:val="24"/>
          <w:szCs w:val="24"/>
        </w:rPr>
        <w:t xml:space="preserve">Median-split Kaplan-Meier plots and logrank test p-values for Sabatini Cysteine colocalization with various immune cell populations in the chemotherapy arm of IMpower110 non-squamous cohort (N=126): </w:t>
      </w:r>
      <w:r>
        <w:rPr>
          <w:b/>
          <w:sz w:val="24"/>
          <w:szCs w:val="24"/>
        </w:rPr>
        <w:t>e)</w:t>
      </w:r>
      <w:r>
        <w:rPr>
          <w:sz w:val="24"/>
          <w:szCs w:val="24"/>
        </w:rPr>
        <w:t xml:space="preserve"> Lymphocytes and NK cells, </w:t>
      </w:r>
      <w:r>
        <w:rPr>
          <w:b/>
          <w:sz w:val="24"/>
          <w:szCs w:val="24"/>
        </w:rPr>
        <w:t>f)</w:t>
      </w:r>
      <w:r>
        <w:rPr>
          <w:sz w:val="24"/>
          <w:szCs w:val="24"/>
        </w:rPr>
        <w:t xml:space="preserve"> myeloid cell populations. Red and blue color denote high and low levels respectively.</w:t>
      </w:r>
    </w:p>
    <w:p w14:paraId="000000C5" w14:textId="77777777" w:rsidR="001C6E66" w:rsidRDefault="001C6E66">
      <w:pPr>
        <w:spacing w:line="479" w:lineRule="auto"/>
        <w:rPr>
          <w:sz w:val="24"/>
          <w:szCs w:val="24"/>
        </w:rPr>
      </w:pPr>
    </w:p>
    <w:p w14:paraId="000000C6" w14:textId="77777777" w:rsidR="001C6E66" w:rsidRDefault="00000000">
      <w:pPr>
        <w:spacing w:line="479" w:lineRule="auto"/>
        <w:rPr>
          <w:sz w:val="24"/>
          <w:szCs w:val="24"/>
        </w:rPr>
      </w:pPr>
      <w:r>
        <w:rPr>
          <w:b/>
          <w:sz w:val="24"/>
          <w:szCs w:val="24"/>
        </w:rPr>
        <w:t>Supplementary Figure 7. Example for H&amp;E whole slide image foreground segmentation and tiling pipeline:</w:t>
      </w:r>
      <w:r>
        <w:rPr>
          <w:sz w:val="24"/>
          <w:szCs w:val="24"/>
        </w:rPr>
        <w:t xml:space="preserve"> From left to right: Low resolution view of a WSI (TCGA), luminosity-based foreground segmentation, candidate tile regions at 0.5mpp vs. 2.0mpp</w:t>
      </w:r>
    </w:p>
    <w:p w14:paraId="000000C7" w14:textId="77777777" w:rsidR="001C6E66" w:rsidRDefault="001C6E66">
      <w:pPr>
        <w:spacing w:line="479" w:lineRule="auto"/>
        <w:rPr>
          <w:sz w:val="24"/>
          <w:szCs w:val="24"/>
        </w:rPr>
      </w:pPr>
    </w:p>
    <w:p w14:paraId="000000C8" w14:textId="77777777" w:rsidR="001C6E66" w:rsidRDefault="00000000">
      <w:pPr>
        <w:spacing w:line="479" w:lineRule="auto"/>
        <w:rPr>
          <w:sz w:val="24"/>
          <w:szCs w:val="24"/>
        </w:rPr>
      </w:pPr>
      <w:r>
        <w:rPr>
          <w:b/>
          <w:sz w:val="24"/>
          <w:szCs w:val="24"/>
        </w:rPr>
        <w:t xml:space="preserve">Supplementary Table 1. </w:t>
      </w:r>
      <w:r>
        <w:rPr>
          <w:sz w:val="24"/>
          <w:szCs w:val="24"/>
        </w:rPr>
        <w:t>Number of whole slide images matching with each data modality in tested TCGA indications.</w:t>
      </w:r>
    </w:p>
    <w:p w14:paraId="000000C9" w14:textId="2C7DD92B" w:rsidR="001C6E66" w:rsidRDefault="00000000">
      <w:pPr>
        <w:spacing w:line="479" w:lineRule="auto"/>
        <w:rPr>
          <w:sz w:val="24"/>
          <w:szCs w:val="24"/>
        </w:rPr>
      </w:pPr>
      <w:r>
        <w:rPr>
          <w:b/>
          <w:sz w:val="24"/>
          <w:szCs w:val="24"/>
        </w:rPr>
        <w:t xml:space="preserve">Supplementary Table 2. </w:t>
      </w:r>
      <w:r>
        <w:rPr>
          <w:sz w:val="24"/>
          <w:szCs w:val="24"/>
        </w:rPr>
        <w:t xml:space="preserve">List of genes used in TCGA and IMvigor </w:t>
      </w:r>
      <w:r w:rsidR="008E5868">
        <w:rPr>
          <w:sz w:val="24"/>
          <w:szCs w:val="24"/>
        </w:rPr>
        <w:t>MOSBY</w:t>
      </w:r>
      <w:r>
        <w:rPr>
          <w:sz w:val="24"/>
          <w:szCs w:val="24"/>
        </w:rPr>
        <w:t xml:space="preserve"> gene models</w:t>
      </w:r>
    </w:p>
    <w:p w14:paraId="000000CA" w14:textId="08FA3213" w:rsidR="001C6E66" w:rsidRDefault="00000000">
      <w:pPr>
        <w:spacing w:line="479" w:lineRule="auto"/>
        <w:rPr>
          <w:sz w:val="24"/>
          <w:szCs w:val="24"/>
        </w:rPr>
      </w:pPr>
      <w:r>
        <w:rPr>
          <w:b/>
          <w:sz w:val="24"/>
          <w:szCs w:val="24"/>
        </w:rPr>
        <w:t xml:space="preserve">Supplementary Table 3. </w:t>
      </w:r>
      <w:r>
        <w:rPr>
          <w:sz w:val="24"/>
          <w:szCs w:val="24"/>
        </w:rPr>
        <w:t xml:space="preserve">List of gene signatures used in </w:t>
      </w:r>
      <w:r w:rsidR="008E5868">
        <w:rPr>
          <w:sz w:val="24"/>
          <w:szCs w:val="24"/>
        </w:rPr>
        <w:t>MOSBY</w:t>
      </w:r>
      <w:r>
        <w:rPr>
          <w:sz w:val="24"/>
          <w:szCs w:val="24"/>
        </w:rPr>
        <w:t xml:space="preserve"> signature models</w:t>
      </w:r>
    </w:p>
    <w:p w14:paraId="000000CB" w14:textId="77777777" w:rsidR="001C6E66" w:rsidRDefault="00000000">
      <w:pPr>
        <w:spacing w:line="479" w:lineRule="auto"/>
        <w:rPr>
          <w:sz w:val="24"/>
          <w:szCs w:val="24"/>
        </w:rPr>
      </w:pPr>
      <w:r>
        <w:rPr>
          <w:b/>
          <w:sz w:val="24"/>
          <w:szCs w:val="24"/>
        </w:rPr>
        <w:t xml:space="preserve">Supplementary Table 4. </w:t>
      </w:r>
      <w:r>
        <w:rPr>
          <w:sz w:val="24"/>
          <w:szCs w:val="24"/>
        </w:rPr>
        <w:t>Mann-Whitney tests between cross-validated test set averages from models using RetCCL or ImageNet pretrained features: a) Signature models, b) Protein models, c) gene models.</w:t>
      </w:r>
    </w:p>
    <w:sectPr w:rsidR="001C6E66">
      <w:footerReference w:type="default" r:id="rId7"/>
      <w:pgSz w:w="12240" w:h="15840"/>
      <w:pgMar w:top="1440" w:right="1440" w:bottom="1440" w:left="1170" w:header="720" w:footer="720" w:gutter="0"/>
      <w:lnNumType w:countBy="1"/>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C358F" w14:textId="77777777" w:rsidR="0002561B" w:rsidRDefault="0002561B">
      <w:pPr>
        <w:spacing w:line="240" w:lineRule="auto"/>
      </w:pPr>
      <w:r>
        <w:separator/>
      </w:r>
    </w:p>
  </w:endnote>
  <w:endnote w:type="continuationSeparator" w:id="0">
    <w:p w14:paraId="612FFB6F" w14:textId="77777777" w:rsidR="0002561B" w:rsidRDefault="000256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115" w14:textId="008AC0F0" w:rsidR="001C6E66" w:rsidRDefault="00000000">
    <w:pPr>
      <w:jc w:val="right"/>
    </w:pPr>
    <w:r>
      <w:fldChar w:fldCharType="begin"/>
    </w:r>
    <w:r>
      <w:instrText>PAGE</w:instrText>
    </w:r>
    <w:r>
      <w:fldChar w:fldCharType="separate"/>
    </w:r>
    <w:r w:rsidR="00A15E93">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BDAA12" w14:textId="77777777" w:rsidR="0002561B" w:rsidRDefault="0002561B">
      <w:pPr>
        <w:spacing w:line="240" w:lineRule="auto"/>
      </w:pPr>
      <w:r>
        <w:separator/>
      </w:r>
    </w:p>
  </w:footnote>
  <w:footnote w:type="continuationSeparator" w:id="0">
    <w:p w14:paraId="28F91350" w14:textId="77777777" w:rsidR="0002561B" w:rsidRDefault="0002561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D65AD7"/>
    <w:multiLevelType w:val="multilevel"/>
    <w:tmpl w:val="72F8FFA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9369826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6E66"/>
    <w:rsid w:val="0002561B"/>
    <w:rsid w:val="00087C44"/>
    <w:rsid w:val="00183664"/>
    <w:rsid w:val="00197FE2"/>
    <w:rsid w:val="001C6E66"/>
    <w:rsid w:val="001E4E7C"/>
    <w:rsid w:val="002B3968"/>
    <w:rsid w:val="003B6D08"/>
    <w:rsid w:val="003C1C48"/>
    <w:rsid w:val="004B6437"/>
    <w:rsid w:val="005A465E"/>
    <w:rsid w:val="00601C8F"/>
    <w:rsid w:val="00651333"/>
    <w:rsid w:val="006A08BE"/>
    <w:rsid w:val="008E5868"/>
    <w:rsid w:val="00A15E93"/>
    <w:rsid w:val="00DE024F"/>
    <w:rsid w:val="00F510E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9C05CA"/>
  <w15:docId w15:val="{2C6F0B38-F504-CE4C-AA4A-5726DE1CC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1C48"/>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LineNumber">
    <w:name w:val="line number"/>
    <w:basedOn w:val="DefaultParagraphFont"/>
    <w:uiPriority w:val="99"/>
    <w:semiHidden/>
    <w:unhideWhenUsed/>
    <w:rsid w:val="00A15E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5</Pages>
  <Words>1185</Words>
  <Characters>6760</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dcterms:created xsi:type="dcterms:W3CDTF">2024-03-01T18:15:00Z</dcterms:created>
  <dcterms:modified xsi:type="dcterms:W3CDTF">2024-03-01T18:15:00Z</dcterms:modified>
</cp:coreProperties>
</file>