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hint="eastAsia"/>
          <w:lang w:val="en-US" w:eastAsia="zh-CN"/>
        </w:rPr>
        <w:t>Highlights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Several factors of sensory experience, visitor engagement, existential authenticity, perceived risk and memorable tourism experience has been investigated to explore the influencing factors of behavioral intention.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Sensory experience, existential authenticity </w:t>
      </w:r>
      <w:r>
        <w:rPr>
          <w:rFonts w:ascii="Times New Roman" w:hAnsi="Times New Roman"/>
          <w:sz w:val="20"/>
          <w:szCs w:val="20"/>
        </w:rPr>
        <w:t>ha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ve</w:t>
      </w:r>
      <w:r>
        <w:rPr>
          <w:rFonts w:ascii="Times New Roman" w:hAnsi="Times New Roman"/>
          <w:sz w:val="20"/>
          <w:szCs w:val="20"/>
        </w:rPr>
        <w:t xml:space="preserve"> positive effect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s</w:t>
      </w:r>
      <w:r>
        <w:rPr>
          <w:rFonts w:ascii="Times New Roman" w:hAnsi="Times New Roman"/>
          <w:sz w:val="20"/>
          <w:szCs w:val="20"/>
        </w:rPr>
        <w:t xml:space="preserve"> on behavioral intention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in City walk in Malaysia. 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Visitor engagement has no influence on memorable tourism experiences and behavioral intention.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Memorable tourism experiences mediated relationships between sensory experiences, authenticity and behavioral intention in City Walk in Malaysia.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There is no moderating effect of perceived risk on behavioral intention in City Walk in Malaysia.</w:t>
      </w:r>
      <w:bookmarkStart w:id="0" w:name="_GoBack"/>
      <w:bookmarkEnd w:id="0"/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NmUxODQ2YjUxMjJiNGYxZGM1OWFjNGYwZDZiYTgifQ=="/>
  </w:docVars>
  <w:rsids>
    <w:rsidRoot w:val="00000000"/>
    <w:rsid w:val="6C18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2023-12-08T06:04:33Z</dcterms:created>
  <dc:creator>pingg</dc:creator>
  <cp:lastModifiedBy>平过</cp:lastModifiedBy>
  <dcterms:modified xsi:type="dcterms:W3CDTF">2023-12-08T06:17:04Z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F2A8D705BDBB49D3BF7E4B96C165B76D_12</vt:lpwstr>
  </property>
</Properties>
</file>