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623B" w14:textId="77777777" w:rsidR="001E2B8E" w:rsidRPr="00FA5368" w:rsidRDefault="001E2B8E" w:rsidP="00FA5368">
      <w:pPr>
        <w:spacing w:line="480" w:lineRule="auto"/>
        <w:jc w:val="center"/>
        <w:rPr>
          <w:rFonts w:ascii="Times New Roman" w:hAnsi="Times New Roman"/>
          <w:color w:val="000000"/>
          <w:sz w:val="24"/>
        </w:rPr>
      </w:pPr>
      <w:r w:rsidRPr="00FA5368">
        <w:rPr>
          <w:rFonts w:ascii="Times New Roman" w:hAnsi="Times New Roman"/>
          <w:b/>
          <w:bCs/>
          <w:color w:val="000000"/>
          <w:sz w:val="24"/>
        </w:rPr>
        <w:t>Supplementary Figure S1</w:t>
      </w:r>
      <w:r w:rsidRPr="00FA5368">
        <w:rPr>
          <w:rFonts w:ascii="Times New Roman" w:hAnsi="Times New Roman"/>
          <w:color w:val="000000"/>
          <w:sz w:val="24"/>
        </w:rPr>
        <w:t>. Decision curve analysis of the nomogram showing 6-month, 1-year, and 2-year survival benefits in the training set (A-C) and the validation set (D-F).</w:t>
      </w:r>
    </w:p>
    <w:p w14:paraId="5C0B370A" w14:textId="77777777" w:rsidR="001E2B8E" w:rsidRPr="00FA5368" w:rsidRDefault="001E2B8E" w:rsidP="001E2B8E">
      <w:pPr>
        <w:rPr>
          <w:rFonts w:ascii="Times New Roman" w:hAnsi="Times New Roman"/>
          <w:color w:val="000000"/>
          <w:sz w:val="24"/>
        </w:rPr>
      </w:pPr>
      <w:r w:rsidRPr="00FA5368">
        <w:rPr>
          <w:noProof/>
          <w:color w:val="000000"/>
          <w:sz w:val="24"/>
        </w:rPr>
        <w:drawing>
          <wp:inline distT="0" distB="0" distL="0" distR="0" wp14:anchorId="2A3BA65B" wp14:editId="4D69CD38">
            <wp:extent cx="5266690" cy="28162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B7105" w14:textId="77777777" w:rsidR="00370F3F" w:rsidRPr="00FA5368" w:rsidRDefault="00370F3F">
      <w:pPr>
        <w:rPr>
          <w:sz w:val="24"/>
        </w:rPr>
      </w:pPr>
    </w:p>
    <w:sectPr w:rsidR="00370F3F" w:rsidRPr="00FA5368" w:rsidSect="00FA5368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D1DFA" w14:textId="77777777" w:rsidR="00172DE8" w:rsidRDefault="00172DE8" w:rsidP="001E2B8E">
      <w:r>
        <w:separator/>
      </w:r>
    </w:p>
  </w:endnote>
  <w:endnote w:type="continuationSeparator" w:id="0">
    <w:p w14:paraId="0EFC7664" w14:textId="77777777" w:rsidR="00172DE8" w:rsidRDefault="00172DE8" w:rsidP="001E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8EB32" w14:textId="77777777" w:rsidR="00172DE8" w:rsidRDefault="00172DE8" w:rsidP="001E2B8E">
      <w:r>
        <w:separator/>
      </w:r>
    </w:p>
  </w:footnote>
  <w:footnote w:type="continuationSeparator" w:id="0">
    <w:p w14:paraId="6AB12FBA" w14:textId="77777777" w:rsidR="00172DE8" w:rsidRDefault="00172DE8" w:rsidP="001E2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2B0B"/>
    <w:rsid w:val="00172DE8"/>
    <w:rsid w:val="001E2B8E"/>
    <w:rsid w:val="00301D01"/>
    <w:rsid w:val="00352B0B"/>
    <w:rsid w:val="00370F3F"/>
    <w:rsid w:val="008E7064"/>
    <w:rsid w:val="00B36228"/>
    <w:rsid w:val="00FA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61E5A"/>
  <w15:docId w15:val="{A9EEAB7F-D139-164D-A5CC-030F5B09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B8E"/>
    <w:pPr>
      <w:widowControl w:val="0"/>
      <w:jc w:val="both"/>
    </w:pPr>
    <w:rPr>
      <w:rFonts w:ascii="DengXian" w:eastAsia="DengXian" w:hAnsi="DengXi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2B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2B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2B8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E2B8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E2B8E"/>
    <w:rPr>
      <w:rFonts w:ascii="DengXian" w:eastAsia="DengXian" w:hAnsi="DengXi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>P R C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一水 何</cp:lastModifiedBy>
  <cp:revision>4</cp:revision>
  <dcterms:created xsi:type="dcterms:W3CDTF">2024-01-17T01:32:00Z</dcterms:created>
  <dcterms:modified xsi:type="dcterms:W3CDTF">2024-02-07T17:51:00Z</dcterms:modified>
</cp:coreProperties>
</file>