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43BD6" w14:textId="77777777" w:rsidR="00C5013A" w:rsidRDefault="00C5013A" w:rsidP="00C5013A">
      <w:pPr>
        <w:rPr>
          <w:rFonts w:ascii="Times New Roman" w:hAnsi="Times New Roman"/>
          <w:b/>
          <w:bCs/>
        </w:rPr>
      </w:pPr>
      <w:r w:rsidRPr="000869AB">
        <w:rPr>
          <w:rFonts w:ascii="Times New Roman" w:hAnsi="Times New Roman"/>
          <w:b/>
          <w:bCs/>
        </w:rPr>
        <w:t>Supplementary Figure 1</w:t>
      </w:r>
    </w:p>
    <w:p w14:paraId="2A1830FF" w14:textId="77777777" w:rsidR="00C5013A" w:rsidRPr="004F6A55" w:rsidRDefault="00C5013A" w:rsidP="00C5013A">
      <w:pPr>
        <w:rPr>
          <w:rFonts w:ascii="Times New Roman" w:hAnsi="Times New Roman"/>
          <w:b/>
          <w:bCs/>
        </w:rPr>
      </w:pPr>
      <w:r w:rsidRPr="004F6A55">
        <w:rPr>
          <w:rFonts w:ascii="Times New Roman" w:hAnsi="Times New Roman"/>
        </w:rPr>
        <w:t xml:space="preserve">Gene expression </w:t>
      </w:r>
      <w:r w:rsidRPr="004F6A55">
        <w:rPr>
          <w:rFonts w:ascii="Times New Roman" w:hAnsi="Times New Roman"/>
          <w:i/>
          <w:iCs/>
        </w:rPr>
        <w:t>in silico</w:t>
      </w:r>
      <w:r w:rsidRPr="004F6A55">
        <w:rPr>
          <w:rFonts w:ascii="Times New Roman" w:hAnsi="Times New Roman"/>
        </w:rPr>
        <w:t xml:space="preserve"> analysis of tyrosine kinase receptors derived from six different publicly available datasets (Gilbertson n=76; Hsieh n=31; denBoer n=51; Pfister n=223; Delattre n=57; Kool n=62) compared with expression in healthy cerebellum (Roth n=9). Heatmap was generated by plotting gene expression values on R software. Each red arrow indicates genes highlighted in the main text. </w:t>
      </w:r>
    </w:p>
    <w:p w14:paraId="7D1C7F93" w14:textId="77777777" w:rsidR="00C5013A" w:rsidRPr="000869AB" w:rsidRDefault="00C5013A" w:rsidP="00C5013A">
      <w:pPr>
        <w:rPr>
          <w:rFonts w:ascii="Times New Roman" w:hAnsi="Times New Roman"/>
          <w:b/>
          <w:bCs/>
        </w:rPr>
      </w:pPr>
      <w:r w:rsidRPr="000869AB">
        <w:rPr>
          <w:rFonts w:ascii="Times New Roman" w:hAnsi="Times New Roman"/>
          <w:b/>
          <w:bCs/>
        </w:rPr>
        <w:t>Supplementary Figure 2</w:t>
      </w:r>
    </w:p>
    <w:p w14:paraId="49571B8B" w14:textId="77777777" w:rsidR="00C5013A" w:rsidRPr="00F37852" w:rsidRDefault="00C5013A" w:rsidP="00C5013A">
      <w:pPr>
        <w:rPr>
          <w:rFonts w:ascii="Times New Roman" w:hAnsi="Times New Roman"/>
        </w:rPr>
      </w:pPr>
      <w:r w:rsidRPr="00F37852">
        <w:rPr>
          <w:rFonts w:ascii="Times New Roman" w:hAnsi="Times New Roman"/>
          <w:b/>
          <w:bCs/>
        </w:rPr>
        <w:t>(A)</w:t>
      </w:r>
      <w:r>
        <w:rPr>
          <w:rFonts w:ascii="Times New Roman" w:hAnsi="Times New Roman"/>
        </w:rPr>
        <w:t xml:space="preserve"> HGF </w:t>
      </w:r>
      <w:r w:rsidRPr="00F37852">
        <w:rPr>
          <w:rFonts w:ascii="Times New Roman" w:hAnsi="Times New Roman"/>
        </w:rPr>
        <w:t xml:space="preserve">expression across six different datasets of medulloblastoma samples compared with healthy cerebella (p-value referred to tumours vs healthy cerebella = </w:t>
      </w:r>
      <w:r>
        <w:rPr>
          <w:rFonts w:ascii="Times New Roman" w:hAnsi="Times New Roman"/>
        </w:rPr>
        <w:t>5.53</w:t>
      </w:r>
      <w:r w:rsidRPr="00F37852">
        <w:rPr>
          <w:rFonts w:ascii="Times New Roman" w:hAnsi="Times New Roman"/>
        </w:rPr>
        <w:t>x10</w:t>
      </w:r>
      <w:r w:rsidRPr="00F37852"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  <w:vertAlign w:val="superscript"/>
        </w:rPr>
        <w:t>6</w:t>
      </w:r>
      <w:r w:rsidRPr="00F37852">
        <w:rPr>
          <w:rFonts w:ascii="Times New Roman" w:hAnsi="Times New Roman"/>
        </w:rPr>
        <w:t>) (Gilbertson n=76; Hsieh n=31; den</w:t>
      </w:r>
      <w:r>
        <w:rPr>
          <w:rFonts w:ascii="Times New Roman" w:hAnsi="Times New Roman"/>
        </w:rPr>
        <w:t xml:space="preserve"> </w:t>
      </w:r>
      <w:r w:rsidRPr="00F37852">
        <w:rPr>
          <w:rFonts w:ascii="Times New Roman" w:hAnsi="Times New Roman"/>
        </w:rPr>
        <w:t xml:space="preserve">Boer n=51; Pfister n=223; Delattre n=57; Kool n=62; Roth n=9) </w:t>
      </w:r>
      <w:r w:rsidRPr="00F37852">
        <w:rPr>
          <w:rFonts w:ascii="Times New Roman" w:hAnsi="Times New Roman"/>
          <w:b/>
          <w:bCs/>
        </w:rPr>
        <w:t>(B)</w:t>
      </w:r>
      <w:r w:rsidRPr="00F3785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HGF</w:t>
      </w:r>
      <w:r w:rsidRPr="00F37852">
        <w:rPr>
          <w:rFonts w:ascii="Times New Roman" w:hAnsi="Times New Roman"/>
        </w:rPr>
        <w:t xml:space="preserve"> gene expression in Cavalli dataset (MB samples=612) across medulloblastoma subgroups (no of samples: WNT=70; SHH=223; Group 3= 144; Group 4= 326) </w:t>
      </w:r>
      <w:r w:rsidRPr="00F37852">
        <w:rPr>
          <w:rFonts w:ascii="Times New Roman" w:hAnsi="Times New Roman"/>
          <w:b/>
          <w:bCs/>
        </w:rPr>
        <w:t>(C)</w:t>
      </w:r>
      <w:r w:rsidRPr="00F3785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HGF</w:t>
      </w:r>
      <w:r w:rsidRPr="00F37852">
        <w:rPr>
          <w:rFonts w:ascii="Times New Roman" w:hAnsi="Times New Roman"/>
        </w:rPr>
        <w:t xml:space="preserve"> gene expression across subtypes of medulloblastoma (no of samples: WNT</w:t>
      </w:r>
      <w:r w:rsidRPr="000869AB">
        <w:sym w:font="Symbol" w:char="F061"/>
      </w:r>
      <w:r w:rsidRPr="00F37852">
        <w:rPr>
          <w:rFonts w:ascii="Times New Roman" w:hAnsi="Times New Roman"/>
        </w:rPr>
        <w:t>=21; WNT</w:t>
      </w:r>
      <w:r w:rsidRPr="000869AB">
        <w:sym w:font="Symbol" w:char="F062"/>
      </w:r>
      <w:r w:rsidRPr="00F37852">
        <w:rPr>
          <w:rFonts w:ascii="Times New Roman" w:hAnsi="Times New Roman"/>
        </w:rPr>
        <w:t>=49; SHH</w:t>
      </w:r>
      <w:r w:rsidRPr="000869AB">
        <w:sym w:font="Symbol" w:char="F061"/>
      </w:r>
      <w:r w:rsidRPr="00F37852">
        <w:rPr>
          <w:rFonts w:ascii="Times New Roman" w:hAnsi="Times New Roman"/>
        </w:rPr>
        <w:t>=65; SHH</w:t>
      </w:r>
      <w:r w:rsidRPr="000869AB">
        <w:sym w:font="Symbol" w:char="F062"/>
      </w:r>
      <w:r w:rsidRPr="00F37852">
        <w:rPr>
          <w:rFonts w:ascii="Times New Roman" w:hAnsi="Times New Roman"/>
        </w:rPr>
        <w:t>=35; SHH</w:t>
      </w:r>
      <w:r w:rsidRPr="000869AB">
        <w:sym w:font="Symbol" w:char="F067"/>
      </w:r>
      <w:r w:rsidRPr="00F37852">
        <w:rPr>
          <w:rFonts w:ascii="Times New Roman" w:hAnsi="Times New Roman"/>
        </w:rPr>
        <w:t>= 76; SHH</w:t>
      </w:r>
      <w:r w:rsidRPr="000869AB">
        <w:sym w:font="Symbol" w:char="F064"/>
      </w:r>
      <w:r w:rsidRPr="00F37852">
        <w:rPr>
          <w:rFonts w:ascii="Times New Roman" w:hAnsi="Times New Roman"/>
        </w:rPr>
        <w:t>=47; Group 3</w:t>
      </w:r>
      <w:r w:rsidRPr="000869AB">
        <w:sym w:font="Symbol" w:char="F061"/>
      </w:r>
      <w:r w:rsidRPr="00F37852">
        <w:rPr>
          <w:rFonts w:ascii="Times New Roman" w:hAnsi="Times New Roman"/>
        </w:rPr>
        <w:t>=67; Group 3</w:t>
      </w:r>
      <w:r w:rsidRPr="000869AB">
        <w:sym w:font="Symbol" w:char="F062"/>
      </w:r>
      <w:r w:rsidRPr="00F37852">
        <w:rPr>
          <w:rFonts w:ascii="Times New Roman" w:hAnsi="Times New Roman"/>
        </w:rPr>
        <w:t>= 37; Group 3</w:t>
      </w:r>
      <w:r w:rsidRPr="000869AB">
        <w:sym w:font="Symbol" w:char="F067"/>
      </w:r>
      <w:r w:rsidRPr="00F37852">
        <w:rPr>
          <w:rFonts w:ascii="Times New Roman" w:hAnsi="Times New Roman"/>
        </w:rPr>
        <w:t>=40; Group 4</w:t>
      </w:r>
      <w:r w:rsidRPr="000869AB">
        <w:sym w:font="Symbol" w:char="F061"/>
      </w:r>
      <w:r w:rsidRPr="00F37852">
        <w:rPr>
          <w:rFonts w:ascii="Times New Roman" w:hAnsi="Times New Roman"/>
        </w:rPr>
        <w:t>=98; Group 4</w:t>
      </w:r>
      <w:r w:rsidRPr="000869AB">
        <w:sym w:font="Symbol" w:char="F062"/>
      </w:r>
      <w:r w:rsidRPr="00F37852">
        <w:rPr>
          <w:rFonts w:ascii="Times New Roman" w:hAnsi="Times New Roman"/>
        </w:rPr>
        <w:t>= 109; Group 4</w:t>
      </w:r>
      <w:r w:rsidRPr="000869AB">
        <w:sym w:font="Symbol" w:char="F067"/>
      </w:r>
      <w:r w:rsidRPr="00F37852">
        <w:rPr>
          <w:rFonts w:ascii="Times New Roman" w:hAnsi="Times New Roman"/>
        </w:rPr>
        <w:t xml:space="preserve">=119) </w:t>
      </w:r>
      <w:r w:rsidRPr="00F37852">
        <w:rPr>
          <w:rFonts w:ascii="Times New Roman" w:hAnsi="Times New Roman"/>
          <w:b/>
          <w:bCs/>
        </w:rPr>
        <w:t xml:space="preserve">(D) </w:t>
      </w:r>
      <w:r>
        <w:rPr>
          <w:rFonts w:ascii="Times New Roman" w:hAnsi="Times New Roman"/>
        </w:rPr>
        <w:t>Correlation between HGF and c-MET expression (from Cavalli et al. dataset).</w:t>
      </w:r>
    </w:p>
    <w:p w14:paraId="2DC88820" w14:textId="77777777" w:rsidR="00C5013A" w:rsidRPr="000869AB" w:rsidRDefault="00C5013A" w:rsidP="00C5013A">
      <w:pPr>
        <w:rPr>
          <w:rFonts w:ascii="Times New Roman" w:hAnsi="Times New Roman"/>
          <w:b/>
          <w:bCs/>
        </w:rPr>
      </w:pPr>
      <w:r w:rsidRPr="000869AB">
        <w:rPr>
          <w:rFonts w:ascii="Times New Roman" w:hAnsi="Times New Roman"/>
          <w:b/>
          <w:bCs/>
        </w:rPr>
        <w:t>Supplementary Figure 3</w:t>
      </w:r>
    </w:p>
    <w:p w14:paraId="011B0B4C" w14:textId="77777777" w:rsidR="00C5013A" w:rsidRDefault="00C5013A" w:rsidP="00C5013A">
      <w:pPr>
        <w:rPr>
          <w:rFonts w:ascii="Times New Roman" w:hAnsi="Times New Roman"/>
          <w:lang w:val="en-US"/>
        </w:rPr>
      </w:pPr>
      <w:r w:rsidRPr="00062718">
        <w:rPr>
          <w:rFonts w:ascii="Times New Roman" w:hAnsi="Times New Roman"/>
          <w:b/>
          <w:bCs/>
          <w:lang w:val="en-US"/>
        </w:rPr>
        <w:t xml:space="preserve">(A) </w:t>
      </w:r>
      <w:r w:rsidRPr="00062718">
        <w:rPr>
          <w:rFonts w:ascii="Times New Roman" w:hAnsi="Times New Roman"/>
          <w:lang w:val="en-US"/>
        </w:rPr>
        <w:t xml:space="preserve">Western blot </w:t>
      </w:r>
      <w:r>
        <w:rPr>
          <w:rFonts w:ascii="Times New Roman" w:hAnsi="Times New Roman"/>
          <w:lang w:val="en-US"/>
        </w:rPr>
        <w:t>images</w:t>
      </w:r>
      <w:r w:rsidRPr="00062718">
        <w:rPr>
          <w:rFonts w:ascii="Times New Roman" w:hAnsi="Times New Roman"/>
          <w:lang w:val="en-US"/>
        </w:rPr>
        <w:t xml:space="preserve"> to confirm successful knockdown of </w:t>
      </w:r>
      <w:r>
        <w:rPr>
          <w:rFonts w:ascii="Times New Roman" w:hAnsi="Times New Roman"/>
          <w:lang w:val="en-US"/>
        </w:rPr>
        <w:t>c-</w:t>
      </w:r>
      <w:r w:rsidRPr="00062718">
        <w:rPr>
          <w:rFonts w:ascii="Times New Roman" w:hAnsi="Times New Roman"/>
          <w:lang w:val="en-US"/>
        </w:rPr>
        <w:t>MET gene via siRNA</w:t>
      </w:r>
      <w:r>
        <w:rPr>
          <w:rFonts w:ascii="Times New Roman" w:hAnsi="Times New Roman"/>
          <w:lang w:val="en-US"/>
        </w:rPr>
        <w:t xml:space="preserve"> in DAOY and ONS76</w:t>
      </w:r>
      <w:r w:rsidRPr="00062718">
        <w:rPr>
          <w:rFonts w:ascii="Times New Roman" w:hAnsi="Times New Roman"/>
          <w:lang w:val="en-US"/>
        </w:rPr>
        <w:t xml:space="preserve">. </w:t>
      </w:r>
      <w:r w:rsidRPr="00062718">
        <w:rPr>
          <w:rFonts w:ascii="Times New Roman" w:hAnsi="Times New Roman"/>
          <w:b/>
          <w:bCs/>
          <w:lang w:val="en-US"/>
        </w:rPr>
        <w:t xml:space="preserve">(B) </w:t>
      </w:r>
      <w:r w:rsidRPr="00062718">
        <w:rPr>
          <w:rFonts w:ascii="Times New Roman" w:hAnsi="Times New Roman"/>
          <w:lang w:val="en-US"/>
        </w:rPr>
        <w:t xml:space="preserve">Time in mitosis for both DAOY and ONS76 cells </w:t>
      </w:r>
      <w:r>
        <w:rPr>
          <w:rFonts w:ascii="Times New Roman" w:hAnsi="Times New Roman"/>
          <w:lang w:val="en-US"/>
        </w:rPr>
        <w:t xml:space="preserve">calculated per single cells tracked by time-lapse imaging. </w:t>
      </w:r>
    </w:p>
    <w:p w14:paraId="058D03A8" w14:textId="77777777" w:rsidR="00C5013A" w:rsidRDefault="00C5013A" w:rsidP="00C5013A">
      <w:pPr>
        <w:rPr>
          <w:rFonts w:ascii="Times New Roman" w:hAnsi="Times New Roman"/>
          <w:b/>
          <w:bCs/>
          <w:lang w:val="en-US"/>
        </w:rPr>
      </w:pPr>
      <w:r w:rsidRPr="00346E3E">
        <w:rPr>
          <w:rFonts w:ascii="Times New Roman" w:hAnsi="Times New Roman"/>
          <w:b/>
          <w:bCs/>
          <w:lang w:val="en-US"/>
        </w:rPr>
        <w:t>Supplementary Figure 4</w:t>
      </w:r>
    </w:p>
    <w:p w14:paraId="0DD1FB7C" w14:textId="77777777" w:rsidR="00C5013A" w:rsidRPr="00E05C99" w:rsidRDefault="00C5013A" w:rsidP="00C5013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 xml:space="preserve">(A) </w:t>
      </w:r>
      <w:r>
        <w:rPr>
          <w:rFonts w:ascii="Times New Roman" w:hAnsi="Times New Roman"/>
          <w:lang w:val="en-US"/>
        </w:rPr>
        <w:t>Summary table of IC</w:t>
      </w:r>
      <w:r w:rsidRPr="00346E3E">
        <w:rPr>
          <w:rFonts w:ascii="Times New Roman" w:hAnsi="Times New Roman"/>
          <w:vertAlign w:val="subscript"/>
          <w:lang w:val="en-US"/>
        </w:rPr>
        <w:t>50</w:t>
      </w:r>
      <w:r>
        <w:rPr>
          <w:rFonts w:ascii="Times New Roman" w:hAnsi="Times New Roman"/>
          <w:vertAlign w:val="subscript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calculated for each c-MET inhibitors using GraphPad Software. Values are presented as </w:t>
      </w:r>
      <w:r>
        <w:rPr>
          <w:rFonts w:ascii="Times New Roman" w:hAnsi="Times New Roman"/>
        </w:rPr>
        <w:t>M</w:t>
      </w:r>
      <w:r w:rsidRPr="000869AB">
        <w:rPr>
          <w:rFonts w:ascii="Times New Roman" w:hAnsi="Times New Roman"/>
        </w:rPr>
        <w:t>ean±SD</w:t>
      </w:r>
      <w:r>
        <w:rPr>
          <w:rFonts w:ascii="Times New Roman" w:hAnsi="Times New Roman"/>
        </w:rPr>
        <w:t xml:space="preserve"> of three independent experiments. </w:t>
      </w:r>
      <w:r w:rsidRPr="00346E3E">
        <w:rPr>
          <w:rFonts w:ascii="Times New Roman" w:hAnsi="Times New Roman"/>
          <w:b/>
          <w:bCs/>
        </w:rPr>
        <w:t>(B)</w:t>
      </w:r>
      <w:r>
        <w:rPr>
          <w:rFonts w:ascii="Times New Roman" w:hAnsi="Times New Roman"/>
          <w:b/>
          <w:bCs/>
        </w:rPr>
        <w:t xml:space="preserve"> </w:t>
      </w:r>
      <w:r w:rsidRPr="004B60B3">
        <w:rPr>
          <w:rFonts w:ascii="Times New Roman" w:hAnsi="Times New Roman"/>
        </w:rPr>
        <w:t>R</w:t>
      </w:r>
      <w:r>
        <w:rPr>
          <w:rFonts w:ascii="Times New Roman" w:hAnsi="Times New Roman"/>
        </w:rPr>
        <w:t>epresentative</w:t>
      </w:r>
      <w:r w:rsidRPr="004B60B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images of DAOY and ONS76 treated with crizotinib, foretinib and tivantinib at 2.5 </w:t>
      </w:r>
      <w:r>
        <w:rPr>
          <w:rFonts w:ascii="Times New Roman" w:hAnsi="Times New Roman"/>
        </w:rPr>
        <w:sym w:font="Symbol" w:char="F06D"/>
      </w:r>
      <w:r>
        <w:rPr>
          <w:rFonts w:ascii="Times New Roman" w:hAnsi="Times New Roman"/>
        </w:rPr>
        <w:t xml:space="preserve">M for 72 h. Pictures were taken at Evos FL Auto 2 microscope at 10X (scale bar = 275 </w:t>
      </w:r>
      <w:r>
        <w:rPr>
          <w:rFonts w:ascii="Times New Roman" w:hAnsi="Times New Roman"/>
        </w:rPr>
        <w:sym w:font="Symbol" w:char="F06D"/>
      </w:r>
      <w:r>
        <w:rPr>
          <w:rFonts w:ascii="Times New Roman" w:hAnsi="Times New Roman"/>
        </w:rPr>
        <w:t xml:space="preserve">m). Red arrows indicate enlarged cells; white arrows indicate cell death fragments. </w:t>
      </w:r>
      <w:r w:rsidRPr="004B60B3">
        <w:rPr>
          <w:rFonts w:ascii="Times New Roman" w:hAnsi="Times New Roman"/>
          <w:b/>
          <w:bCs/>
        </w:rPr>
        <w:t>(C)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Growth rates analysis performed on DAOY and ONS76 cells upon 72 h treatment with tivantinib at different concentrations. Results are relative to time 0 and are shown as representative of three independent experiments. </w:t>
      </w:r>
      <w:r w:rsidRPr="00E05C99">
        <w:rPr>
          <w:rFonts w:ascii="Times New Roman" w:hAnsi="Times New Roman"/>
          <w:b/>
          <w:bCs/>
        </w:rPr>
        <w:t>(D)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Representative growth rates of DAOY-derived spheroids (relative to images shown in Figure 3) post treatment with tivantinib, foretinib and crizotinib. Results are shown as </w:t>
      </w:r>
      <w:r w:rsidRPr="000869AB">
        <w:rPr>
          <w:rFonts w:ascii="Times New Roman" w:hAnsi="Times New Roman"/>
        </w:rPr>
        <w:t>Mean±SD</w:t>
      </w:r>
      <w:r>
        <w:rPr>
          <w:rFonts w:ascii="Times New Roman" w:hAnsi="Times New Roman"/>
        </w:rPr>
        <w:t xml:space="preserve">. </w:t>
      </w:r>
      <w:r w:rsidRPr="000869AB">
        <w:rPr>
          <w:rFonts w:ascii="Times New Roman" w:hAnsi="Times New Roman"/>
        </w:rPr>
        <w:t xml:space="preserve">Statistical significance </w:t>
      </w:r>
      <w:r w:rsidRPr="000869AB">
        <w:rPr>
          <w:rFonts w:ascii="Times New Roman" w:hAnsi="Times New Roman"/>
        </w:rPr>
        <w:lastRenderedPageBreak/>
        <w:t>was calculated with student’s t-test (p ≤ 0.05 = *, p ≤ 0.01 = **, p ≤ 0.001=***, ns= non-significant).</w:t>
      </w:r>
    </w:p>
    <w:p w14:paraId="4BA96C8A" w14:textId="77777777" w:rsidR="00C5013A" w:rsidRDefault="00C5013A" w:rsidP="00C5013A">
      <w:pPr>
        <w:rPr>
          <w:rFonts w:ascii="Times New Roman" w:hAnsi="Times New Roman"/>
          <w:b/>
          <w:bCs/>
          <w:lang w:val="en-US"/>
        </w:rPr>
      </w:pPr>
      <w:r w:rsidRPr="00346E3E">
        <w:rPr>
          <w:rFonts w:ascii="Times New Roman" w:hAnsi="Times New Roman"/>
          <w:b/>
          <w:bCs/>
          <w:lang w:val="en-US"/>
        </w:rPr>
        <w:t xml:space="preserve">Supplementary Figure </w:t>
      </w:r>
      <w:r>
        <w:rPr>
          <w:rFonts w:ascii="Times New Roman" w:hAnsi="Times New Roman"/>
          <w:b/>
          <w:bCs/>
          <w:lang w:val="en-US"/>
        </w:rPr>
        <w:t>5</w:t>
      </w:r>
    </w:p>
    <w:p w14:paraId="3DB5D650" w14:textId="77777777" w:rsidR="00C5013A" w:rsidRPr="00F76F21" w:rsidRDefault="00C5013A" w:rsidP="00C5013A">
      <w:pPr>
        <w:rPr>
          <w:rFonts w:ascii="Times New Roman" w:hAnsi="Times New Roman"/>
          <w:lang w:val="en-US"/>
        </w:rPr>
      </w:pPr>
      <w:r w:rsidRPr="00F76F21">
        <w:rPr>
          <w:rFonts w:ascii="Times New Roman" w:hAnsi="Times New Roman"/>
          <w:b/>
          <w:bCs/>
          <w:lang w:val="en-US"/>
        </w:rPr>
        <w:t>(A</w:t>
      </w:r>
      <w:r>
        <w:rPr>
          <w:rFonts w:ascii="Times New Roman" w:hAnsi="Times New Roman"/>
          <w:lang w:val="en-US"/>
        </w:rPr>
        <w:t xml:space="preserve">) </w:t>
      </w:r>
      <w:r w:rsidRPr="00F76F21">
        <w:rPr>
          <w:rFonts w:ascii="Times New Roman" w:hAnsi="Times New Roman"/>
          <w:lang w:val="en-US"/>
        </w:rPr>
        <w:t xml:space="preserve">Representative percentages of DAOY and ONS76 cells gated in G1, S and G2/M phases post </w:t>
      </w:r>
      <w:r>
        <w:rPr>
          <w:rFonts w:ascii="Times New Roman" w:hAnsi="Times New Roman"/>
          <w:lang w:val="en-US"/>
        </w:rPr>
        <w:t>24 h</w:t>
      </w:r>
      <w:r w:rsidRPr="00F76F21">
        <w:rPr>
          <w:rFonts w:ascii="Times New Roman" w:hAnsi="Times New Roman"/>
          <w:lang w:val="en-US"/>
        </w:rPr>
        <w:t xml:space="preserve"> treatment with crizotinib, foretinib and tivantinib. </w:t>
      </w:r>
      <w:r w:rsidRPr="00F76F21">
        <w:rPr>
          <w:rFonts w:ascii="Times New Roman" w:hAnsi="Times New Roman"/>
          <w:b/>
          <w:bCs/>
          <w:lang w:val="en-US"/>
        </w:rPr>
        <w:t>(B)</w:t>
      </w:r>
      <w:r w:rsidRPr="00F76F21">
        <w:rPr>
          <w:rFonts w:ascii="Times New Roman" w:hAnsi="Times New Roman"/>
          <w:lang w:val="en-US"/>
        </w:rPr>
        <w:t xml:space="preserve"> Images of DAPI stained DAOY and ONS76 cells upon </w:t>
      </w:r>
      <w:r>
        <w:rPr>
          <w:rFonts w:ascii="Times New Roman" w:hAnsi="Times New Roman"/>
          <w:lang w:val="en-US"/>
        </w:rPr>
        <w:t>72 h</w:t>
      </w:r>
      <w:r w:rsidRPr="00F76F21">
        <w:rPr>
          <w:rFonts w:ascii="Times New Roman" w:hAnsi="Times New Roman"/>
          <w:lang w:val="en-US"/>
        </w:rPr>
        <w:t xml:space="preserve"> treatment with tivantinib (0.5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Symbol" w:hAnsi="Symbol"/>
          <w:lang w:val="en-US"/>
        </w:rPr>
        <w:t></w:t>
      </w:r>
      <w:r w:rsidRPr="00F76F21">
        <w:rPr>
          <w:rFonts w:ascii="Times New Roman" w:hAnsi="Times New Roman"/>
          <w:lang w:val="en-US"/>
        </w:rPr>
        <w:t>M) Foretinib (0.5</w:t>
      </w:r>
      <w:r>
        <w:rPr>
          <w:rFonts w:ascii="Times New Roman" w:hAnsi="Times New Roman"/>
          <w:lang w:val="en-US"/>
        </w:rPr>
        <w:t xml:space="preserve">  </w:t>
      </w:r>
      <w:r w:rsidRPr="001069BB">
        <w:rPr>
          <w:rFonts w:ascii="Symbol" w:hAnsi="Symbol"/>
          <w:lang w:val="en-US"/>
        </w:rPr>
        <w:t></w:t>
      </w:r>
      <w:r w:rsidRPr="00F76F21">
        <w:rPr>
          <w:rFonts w:ascii="Times New Roman" w:hAnsi="Times New Roman"/>
          <w:lang w:val="en-US"/>
        </w:rPr>
        <w:t>M) and Crizotinib (2.5</w:t>
      </w:r>
      <w:r>
        <w:rPr>
          <w:rFonts w:ascii="Times New Roman" w:hAnsi="Times New Roman"/>
          <w:lang w:val="en-US"/>
        </w:rPr>
        <w:t xml:space="preserve"> </w:t>
      </w:r>
      <w:r w:rsidRPr="001069BB">
        <w:rPr>
          <w:rFonts w:ascii="Symbol" w:hAnsi="Symbol"/>
          <w:lang w:val="en-US"/>
        </w:rPr>
        <w:t></w:t>
      </w:r>
      <w:r w:rsidRPr="00F76F21">
        <w:rPr>
          <w:rFonts w:ascii="Times New Roman" w:hAnsi="Times New Roman"/>
          <w:lang w:val="en-US"/>
        </w:rPr>
        <w:t xml:space="preserve">M). </w:t>
      </w:r>
      <w:r w:rsidRPr="00F76F21">
        <w:rPr>
          <w:rFonts w:ascii="Times New Roman" w:hAnsi="Times New Roman"/>
          <w:b/>
          <w:bCs/>
          <w:lang w:val="en-US"/>
        </w:rPr>
        <w:t>(C)</w:t>
      </w:r>
      <w:r w:rsidRPr="00F76F21">
        <w:rPr>
          <w:rFonts w:ascii="Times New Roman" w:hAnsi="Times New Roman"/>
          <w:lang w:val="en-US"/>
        </w:rPr>
        <w:t xml:space="preserve"> Nuclear sizes of DAOY and ONS76 cells were measured post c-MET inhibitors treatments using ImageJ Software. </w:t>
      </w:r>
    </w:p>
    <w:p w14:paraId="03EB8180" w14:textId="77777777" w:rsidR="00C5013A" w:rsidRDefault="00C5013A" w:rsidP="00C5013A">
      <w:pPr>
        <w:rPr>
          <w:rFonts w:ascii="Times New Roman" w:hAnsi="Times New Roman"/>
          <w:b/>
          <w:bCs/>
        </w:rPr>
      </w:pPr>
      <w:r w:rsidRPr="00F76F21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/>
          <w:b/>
          <w:bCs/>
        </w:rPr>
        <w:t>7</w:t>
      </w:r>
    </w:p>
    <w:p w14:paraId="7CD3B515" w14:textId="77777777" w:rsidR="00C5013A" w:rsidRDefault="00C5013A" w:rsidP="00C501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Representative pictures of different cell fate profiles in H2B-eGFP expressing-ONS76 cells upon treatment with tivantinib, foretinib and crizotinib. </w:t>
      </w:r>
    </w:p>
    <w:p w14:paraId="60D6DF90" w14:textId="77777777" w:rsidR="00C5013A" w:rsidRDefault="00C5013A" w:rsidP="00C5013A">
      <w:pPr>
        <w:rPr>
          <w:rFonts w:ascii="Times New Roman" w:hAnsi="Times New Roman"/>
          <w:b/>
          <w:bCs/>
        </w:rPr>
      </w:pPr>
      <w:r w:rsidRPr="00F76F21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/>
          <w:b/>
          <w:bCs/>
        </w:rPr>
        <w:t>8</w:t>
      </w:r>
    </w:p>
    <w:p w14:paraId="2E4B77BF" w14:textId="77777777" w:rsidR="00C5013A" w:rsidRDefault="00C5013A" w:rsidP="00C501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Representative pictures of different cell fate profiles in H2B-eGFP expressing-DAOY cells upon treatment with tivantinib, foretinib and crizotinib. </w:t>
      </w:r>
    </w:p>
    <w:p w14:paraId="203DAB76" w14:textId="77777777" w:rsidR="00C5013A" w:rsidRDefault="00C5013A" w:rsidP="00C5013A">
      <w:pPr>
        <w:tabs>
          <w:tab w:val="left" w:pos="2966"/>
        </w:tabs>
        <w:rPr>
          <w:rFonts w:ascii="Times New Roman" w:hAnsi="Times New Roman"/>
          <w:b/>
          <w:bCs/>
        </w:rPr>
      </w:pPr>
      <w:r w:rsidRPr="00F76F21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/>
          <w:b/>
          <w:bCs/>
        </w:rPr>
        <w:t>9</w:t>
      </w:r>
      <w:r>
        <w:rPr>
          <w:rFonts w:ascii="Times New Roman" w:hAnsi="Times New Roman"/>
          <w:b/>
          <w:bCs/>
        </w:rPr>
        <w:tab/>
      </w:r>
    </w:p>
    <w:p w14:paraId="78E795DF" w14:textId="77777777" w:rsidR="00C5013A" w:rsidRPr="001069BB" w:rsidRDefault="00C5013A" w:rsidP="00C5013A">
      <w:pPr>
        <w:rPr>
          <w:rFonts w:ascii="Times New Roman" w:hAnsi="Times New Roman"/>
          <w:b/>
          <w:bCs/>
        </w:rPr>
      </w:pPr>
      <w:r w:rsidRPr="000869AB">
        <w:rPr>
          <w:rFonts w:ascii="Times New Roman" w:hAnsi="Times New Roman"/>
        </w:rPr>
        <w:t xml:space="preserve">Dose-response curve of ONS76 cells treated for </w:t>
      </w:r>
      <w:r>
        <w:rPr>
          <w:rFonts w:ascii="Times New Roman" w:hAnsi="Times New Roman"/>
        </w:rPr>
        <w:t>72 h</w:t>
      </w:r>
      <w:r w:rsidRPr="000869AB">
        <w:rPr>
          <w:rFonts w:ascii="Times New Roman" w:hAnsi="Times New Roman"/>
        </w:rPr>
        <w:t xml:space="preserve"> with a combination of</w:t>
      </w:r>
      <w:r>
        <w:rPr>
          <w:rFonts w:ascii="Times New Roman" w:hAnsi="Times New Roman"/>
        </w:rPr>
        <w:t xml:space="preserve"> foretinib and either navitoclax or maritoclax </w:t>
      </w:r>
      <w:r w:rsidRPr="000869AB">
        <w:rPr>
          <w:rFonts w:ascii="Times New Roman" w:hAnsi="Times New Roman"/>
        </w:rPr>
        <w:t xml:space="preserve">at the indicated concentrations. </w:t>
      </w:r>
      <w:r w:rsidRPr="002F6730">
        <w:rPr>
          <w:rFonts w:ascii="Times New Roman" w:hAnsi="Times New Roman"/>
          <w:b/>
          <w:bCs/>
        </w:rPr>
        <w:t>(B)</w:t>
      </w:r>
      <w:r>
        <w:rPr>
          <w:rFonts w:ascii="Times New Roman" w:hAnsi="Times New Roman"/>
        </w:rPr>
        <w:t xml:space="preserve"> </w:t>
      </w:r>
      <w:r w:rsidRPr="000869AB">
        <w:rPr>
          <w:rFonts w:ascii="Times New Roman" w:hAnsi="Times New Roman"/>
        </w:rPr>
        <w:t xml:space="preserve">Combination index values were calculated for each combination with Compusyin software (C=1 additive effect; CI &lt;1 synergism; C &gt;1 antagonism). CI values are shown as heatmaps generated with R software. </w:t>
      </w:r>
      <w:r w:rsidRPr="000869AB">
        <w:rPr>
          <w:rFonts w:ascii="Times New Roman" w:hAnsi="Times New Roman"/>
          <w:b/>
          <w:bCs/>
        </w:rPr>
        <w:t>(</w:t>
      </w:r>
      <w:r>
        <w:rPr>
          <w:rFonts w:ascii="Times New Roman" w:hAnsi="Times New Roman"/>
          <w:b/>
          <w:bCs/>
        </w:rPr>
        <w:t>C</w:t>
      </w:r>
      <w:r w:rsidRPr="000869AB">
        <w:rPr>
          <w:rFonts w:ascii="Times New Roman" w:hAnsi="Times New Roman"/>
          <w:b/>
          <w:bCs/>
        </w:rPr>
        <w:t>)</w:t>
      </w:r>
      <w:r>
        <w:rPr>
          <w:rFonts w:ascii="Times New Roman" w:hAnsi="Times New Roman"/>
          <w:b/>
          <w:bCs/>
        </w:rPr>
        <w:t xml:space="preserve"> Representative image of crystal</w:t>
      </w:r>
      <w:r>
        <w:rPr>
          <w:rFonts w:ascii="Times New Roman" w:hAnsi="Times New Roman"/>
        </w:rPr>
        <w:t xml:space="preserve"> violet staining on ONS76 cells treated with 1</w:t>
      </w:r>
      <w:r>
        <w:rPr>
          <w:rFonts w:ascii="Times New Roman" w:hAnsi="Times New Roman"/>
        </w:rPr>
        <w:sym w:font="Symbol" w:char="F06D"/>
      </w:r>
      <w:r>
        <w:rPr>
          <w:rFonts w:ascii="Times New Roman" w:hAnsi="Times New Roman"/>
        </w:rPr>
        <w:t xml:space="preserve">M foretinib for 72 h. </w:t>
      </w:r>
    </w:p>
    <w:p w14:paraId="304FC717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3A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C5013A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E2F28"/>
  <w15:chartTrackingRefBased/>
  <w15:docId w15:val="{A3ED65A6-8FAE-4EDE-8FC9-E9D8BE08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13A"/>
    <w:pPr>
      <w:spacing w:after="0" w:line="360" w:lineRule="auto"/>
      <w:jc w:val="both"/>
    </w:pPr>
    <w:rPr>
      <w:rFonts w:eastAsia="Times New Roman" w:cs="Times New Roman"/>
      <w:noProof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3090</Characters>
  <Application>Microsoft Office Word</Application>
  <DocSecurity>0</DocSecurity>
  <Lines>25</Lines>
  <Paragraphs>7</Paragraphs>
  <ScaleCrop>false</ScaleCrop>
  <Company>Springer Nature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2024-03-04T10:25:00Z</dcterms:created>
  <dcterms:modified xsi:type="dcterms:W3CDTF">2024-03-04T10:25:00Z</dcterms:modified>
</cp:coreProperties>
</file>