
<file path=[Content_Types].xml><?xml version="1.0" encoding="utf-8"?>
<Types xmlns="http://schemas.openxmlformats.org/package/2006/content-types">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67960" cy="2529205"/>
            <wp:effectExtent l="0" t="0" r="0" b="7620"/>
            <wp:docPr id="5" name="图片 5"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1"/>
                    <pic:cNvPicPr>
                      <a:picLocks noChangeAspect="1"/>
                    </pic:cNvPicPr>
                  </pic:nvPicPr>
                  <pic:blipFill>
                    <a:blip r:embed="rId4"/>
                    <a:stretch>
                      <a:fillRect/>
                    </a:stretch>
                  </pic:blipFill>
                  <pic:spPr>
                    <a:xfrm>
                      <a:off x="0" y="0"/>
                      <a:ext cx="5267960" cy="2529205"/>
                    </a:xfrm>
                    <a:prstGeom prst="rect">
                      <a:avLst/>
                    </a:prstGeom>
                  </pic:spPr>
                </pic:pic>
              </a:graphicData>
            </a:graphic>
          </wp:inline>
        </w:drawing>
      </w:r>
    </w:p>
    <w:p>
      <w:pPr>
        <w:rPr>
          <w:rFonts w:hint="eastAsia" w:eastAsiaTheme="minorEastAsia"/>
          <w:lang w:eastAsia="zh-CN"/>
        </w:rPr>
      </w:pPr>
    </w:p>
    <w:p>
      <w:pPr>
        <w:rPr>
          <w:rFonts w:hint="eastAsia" w:ascii="Times New Roman" w:hAnsi="Times New Roman" w:eastAsia="微软雅黑" w:cs="Times New Roman"/>
          <w:sz w:val="24"/>
          <w:szCs w:val="24"/>
        </w:rPr>
      </w:pPr>
      <w:r>
        <w:rPr>
          <w:rFonts w:ascii="Times New Roman" w:hAnsi="Times New Roman" w:cs="Times New Roman"/>
          <w:b/>
          <w:sz w:val="24"/>
          <w:szCs w:val="24"/>
        </w:rPr>
        <w:t>Fig</w:t>
      </w:r>
      <w:r>
        <w:rPr>
          <w:rFonts w:hint="eastAsia" w:ascii="Times New Roman" w:hAnsi="Times New Roman" w:cs="Times New Roman"/>
          <w:b/>
          <w:sz w:val="24"/>
          <w:szCs w:val="24"/>
          <w:lang w:val="en-US" w:eastAsia="zh-CN"/>
        </w:rPr>
        <w:t>.</w:t>
      </w:r>
      <w:r>
        <w:rPr>
          <w:rFonts w:ascii="Times New Roman" w:hAnsi="Times New Roman" w:cs="Times New Roman"/>
          <w:b/>
          <w:sz w:val="24"/>
          <w:szCs w:val="24"/>
        </w:rPr>
        <w:t xml:space="preserve"> S1</w:t>
      </w:r>
      <w:r>
        <w:rPr>
          <w:rFonts w:ascii="Times New Roman" w:hAnsi="Times New Roman" w:cs="Times New Roman"/>
          <w:sz w:val="24"/>
          <w:szCs w:val="24"/>
        </w:rPr>
        <w:t xml:space="preserve"> </w:t>
      </w:r>
      <w:r>
        <w:rPr>
          <w:rFonts w:ascii="Times New Roman" w:hAnsi="Times New Roman" w:eastAsia="微软雅黑" w:cs="Times New Roman"/>
          <w:sz w:val="24"/>
          <w:szCs w:val="24"/>
        </w:rPr>
        <w:t xml:space="preserve">RLX did not affect the proliferation of </w:t>
      </w:r>
      <w:r>
        <w:rPr>
          <w:rFonts w:hint="eastAsia" w:ascii="Times New Roman" w:hAnsi="Times New Roman" w:cs="Times New Roman"/>
          <w:sz w:val="24"/>
          <w:szCs w:val="24"/>
          <w:lang w:val="en-US" w:eastAsia="zh-CN"/>
        </w:rPr>
        <w:t>Huh-7 cells</w:t>
      </w:r>
      <w:r>
        <w:rPr>
          <w:rFonts w:ascii="Times New Roman" w:hAnsi="Times New Roman" w:cs="Times New Roman"/>
          <w:sz w:val="24"/>
          <w:szCs w:val="24"/>
        </w:rPr>
        <w:t>.</w:t>
      </w:r>
      <w:r>
        <w:rPr>
          <w:rFonts w:ascii="Times New Roman" w:hAnsi="Times New Roman" w:eastAsia="微软雅黑" w:cs="Times New Roman"/>
          <w:sz w:val="24"/>
          <w:szCs w:val="24"/>
        </w:rPr>
        <w:t>(</w:t>
      </w:r>
      <w:r>
        <w:rPr>
          <w:rFonts w:hint="eastAsia" w:ascii="Times New Roman" w:hAnsi="Times New Roman" w:eastAsia="微软雅黑" w:cs="Times New Roman"/>
          <w:sz w:val="24"/>
          <w:szCs w:val="24"/>
          <w:lang w:val="en-US" w:eastAsia="zh-CN"/>
        </w:rPr>
        <w:t>A</w:t>
      </w:r>
      <w:r>
        <w:rPr>
          <w:rFonts w:ascii="Times New Roman" w:hAnsi="Times New Roman" w:eastAsia="微软雅黑" w:cs="Times New Roman"/>
          <w:sz w:val="24"/>
          <w:szCs w:val="24"/>
        </w:rPr>
        <w:t>), (</w:t>
      </w:r>
      <w:r>
        <w:rPr>
          <w:rFonts w:hint="eastAsia" w:ascii="Times New Roman" w:hAnsi="Times New Roman" w:eastAsia="微软雅黑" w:cs="Times New Roman"/>
          <w:sz w:val="24"/>
          <w:szCs w:val="24"/>
          <w:lang w:val="en-US" w:eastAsia="zh-CN"/>
        </w:rPr>
        <w:t>B</w:t>
      </w:r>
      <w:r>
        <w:rPr>
          <w:rFonts w:ascii="Times New Roman" w:hAnsi="Times New Roman" w:eastAsia="微软雅黑" w:cs="Times New Roman"/>
          <w:sz w:val="24"/>
          <w:szCs w:val="24"/>
        </w:rPr>
        <w:t>) the cytotoxicity of RLX (0, 0.01, 0.1, and 1 μM) on normoxia (</w:t>
      </w:r>
      <w:r>
        <w:rPr>
          <w:rFonts w:hint="eastAsia" w:ascii="Times New Roman" w:hAnsi="Times New Roman" w:eastAsia="微软雅黑" w:cs="Times New Roman"/>
          <w:sz w:val="24"/>
          <w:szCs w:val="24"/>
          <w:lang w:val="en-US" w:eastAsia="zh-CN"/>
        </w:rPr>
        <w:t>A</w:t>
      </w:r>
      <w:r>
        <w:rPr>
          <w:rFonts w:ascii="Times New Roman" w:hAnsi="Times New Roman" w:eastAsia="微软雅黑" w:cs="Times New Roman"/>
          <w:sz w:val="24"/>
          <w:szCs w:val="24"/>
        </w:rPr>
        <w:t>)/hypoxia (</w:t>
      </w:r>
      <w:r>
        <w:rPr>
          <w:rFonts w:hint="eastAsia" w:ascii="Times New Roman" w:hAnsi="Times New Roman" w:eastAsia="微软雅黑" w:cs="Times New Roman"/>
          <w:sz w:val="24"/>
          <w:szCs w:val="24"/>
          <w:lang w:val="en-US" w:eastAsia="zh-CN"/>
        </w:rPr>
        <w:t>B</w:t>
      </w:r>
      <w:r>
        <w:rPr>
          <w:rFonts w:ascii="Times New Roman" w:hAnsi="Times New Roman" w:eastAsia="微软雅黑" w:cs="Times New Roman"/>
          <w:sz w:val="24"/>
          <w:szCs w:val="24"/>
        </w:rPr>
        <w:t xml:space="preserve">) via CCK-8 on </w:t>
      </w:r>
      <w:r>
        <w:rPr>
          <w:rFonts w:hint="eastAsia" w:ascii="Times New Roman" w:hAnsi="Times New Roman" w:eastAsia="微软雅黑" w:cs="Times New Roman"/>
          <w:sz w:val="24"/>
          <w:szCs w:val="24"/>
        </w:rPr>
        <w:t>Huh-7 cells</w:t>
      </w:r>
    </w:p>
    <w:p>
      <w:pPr>
        <w:rPr>
          <w:rFonts w:hint="eastAsia" w:ascii="Times New Roman" w:hAnsi="Times New Roman" w:eastAsia="微软雅黑" w:cs="Times New Roman"/>
          <w:sz w:val="24"/>
          <w:szCs w:val="24"/>
        </w:rPr>
      </w:pPr>
    </w:p>
    <w:p>
      <w:pPr>
        <w:rPr>
          <w:rFonts w:hint="eastAsia" w:eastAsiaTheme="minorEastAsia"/>
          <w:lang w:eastAsia="zh-CN"/>
        </w:rPr>
      </w:pPr>
      <w:r>
        <w:rPr>
          <w:rFonts w:hint="eastAsia" w:eastAsiaTheme="minorEastAsia"/>
          <w:lang w:eastAsia="zh-CN"/>
        </w:rPr>
        <w:drawing>
          <wp:inline distT="0" distB="0" distL="114300" distR="114300">
            <wp:extent cx="5260975" cy="4575810"/>
            <wp:effectExtent l="0" t="0" r="6985" b="1270"/>
            <wp:docPr id="6" name="图片 6"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2"/>
                    <pic:cNvPicPr>
                      <a:picLocks noChangeAspect="1"/>
                    </pic:cNvPicPr>
                  </pic:nvPicPr>
                  <pic:blipFill>
                    <a:blip r:embed="rId5"/>
                    <a:stretch>
                      <a:fillRect/>
                    </a:stretch>
                  </pic:blipFill>
                  <pic:spPr>
                    <a:xfrm>
                      <a:off x="0" y="0"/>
                      <a:ext cx="5260975" cy="4575810"/>
                    </a:xfrm>
                    <a:prstGeom prst="rect">
                      <a:avLst/>
                    </a:prstGeom>
                  </pic:spPr>
                </pic:pic>
              </a:graphicData>
            </a:graphic>
          </wp:inline>
        </w:drawing>
      </w:r>
    </w:p>
    <w:p>
      <w:pPr>
        <w:rPr>
          <w:rFonts w:hint="eastAsia" w:ascii="Times New Roman" w:hAnsi="Times New Roman" w:eastAsia="微软雅黑" w:cs="Times New Roman"/>
          <w:sz w:val="24"/>
          <w:szCs w:val="24"/>
          <w:lang w:val="en-US" w:eastAsia="zh-CN"/>
        </w:rPr>
      </w:pPr>
      <w:r>
        <w:rPr>
          <w:rFonts w:ascii="Times New Roman" w:hAnsi="Times New Roman" w:cs="Times New Roman"/>
          <w:b/>
          <w:sz w:val="24"/>
          <w:szCs w:val="24"/>
        </w:rPr>
        <w:t>Fig</w:t>
      </w:r>
      <w:r>
        <w:rPr>
          <w:rFonts w:hint="eastAsia" w:ascii="Times New Roman" w:hAnsi="Times New Roman" w:cs="Times New Roman"/>
          <w:b/>
          <w:sz w:val="24"/>
          <w:szCs w:val="24"/>
          <w:lang w:val="en-US" w:eastAsia="zh-CN"/>
        </w:rPr>
        <w:t>.</w:t>
      </w:r>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 xml:space="preserve">2 </w:t>
      </w:r>
      <w:r>
        <w:rPr>
          <w:rFonts w:ascii="Times New Roman" w:hAnsi="Times New Roman" w:eastAsia="微软雅黑" w:cs="Times New Roman"/>
          <w:sz w:val="24"/>
          <w:szCs w:val="24"/>
        </w:rPr>
        <w:t>RLX upregulated the expression of MMP-9 but have no impact on the expression of E-cadherin</w:t>
      </w:r>
      <w:r>
        <w:rPr>
          <w:rFonts w:hint="eastAsia" w:ascii="Times New Roman" w:hAnsi="Times New Roman" w:eastAsia="微软雅黑" w:cs="Times New Roman"/>
          <w:sz w:val="24"/>
          <w:szCs w:val="24"/>
        </w:rPr>
        <w:t xml:space="preserve"> </w:t>
      </w:r>
      <w:r>
        <w:rPr>
          <w:rFonts w:ascii="Times New Roman" w:hAnsi="Times New Roman" w:eastAsia="微软雅黑" w:cs="Times New Roman"/>
          <w:sz w:val="24"/>
          <w:szCs w:val="24"/>
        </w:rPr>
        <w:t xml:space="preserve">and </w:t>
      </w:r>
      <w:r>
        <w:rPr>
          <w:rFonts w:ascii="Times New Roman" w:hAnsi="Times New Roman" w:cs="Times New Roman"/>
          <w:sz w:val="24"/>
          <w:szCs w:val="24"/>
        </w:rPr>
        <w:t>HIF-1</w:t>
      </w:r>
      <w:r>
        <w:rPr>
          <w:rFonts w:ascii="Times New Roman" w:hAnsi="Times New Roman" w:cs="Times New Roman" w:eastAsiaTheme="minorHAnsi"/>
          <w:sz w:val="24"/>
          <w:szCs w:val="24"/>
        </w:rPr>
        <w:t xml:space="preserve">α </w:t>
      </w:r>
      <w:r>
        <w:rPr>
          <w:rFonts w:ascii="Times New Roman" w:hAnsi="Times New Roman" w:eastAsia="微软雅黑" w:cs="Times New Roman"/>
          <w:sz w:val="24"/>
          <w:szCs w:val="24"/>
        </w:rPr>
        <w:t xml:space="preserve">in </w:t>
      </w:r>
      <w:r>
        <w:rPr>
          <w:rFonts w:hint="eastAsia" w:ascii="Times New Roman" w:hAnsi="Times New Roman" w:eastAsia="微软雅黑" w:cs="Times New Roman"/>
          <w:sz w:val="24"/>
          <w:szCs w:val="24"/>
        </w:rPr>
        <w:t>Huh-7 cells</w:t>
      </w:r>
      <w:r>
        <w:rPr>
          <w:rFonts w:ascii="Times New Roman" w:hAnsi="Times New Roman" w:eastAsia="微软雅黑" w:cs="Times New Roman"/>
          <w:sz w:val="24"/>
          <w:szCs w:val="24"/>
        </w:rPr>
        <w:t xml:space="preserve">. (A) Effects of normoxia/hypoxia and administration RLX </w:t>
      </w:r>
      <w:bookmarkStart w:id="0" w:name="OLE_LINK99"/>
      <w:bookmarkStart w:id="1" w:name="OLE_LINK100"/>
      <w:r>
        <w:rPr>
          <w:rFonts w:ascii="Times New Roman" w:hAnsi="Times New Roman" w:eastAsia="微软雅黑" w:cs="Times New Roman"/>
          <w:sz w:val="24"/>
          <w:szCs w:val="24"/>
        </w:rPr>
        <w:t>(0, 0.01, 0.1, and 1 μM)</w:t>
      </w:r>
      <w:bookmarkEnd w:id="0"/>
      <w:bookmarkEnd w:id="1"/>
      <w:r>
        <w:rPr>
          <w:rFonts w:ascii="Times New Roman" w:hAnsi="Times New Roman" w:eastAsia="微软雅黑" w:cs="Times New Roman"/>
          <w:sz w:val="24"/>
          <w:szCs w:val="24"/>
        </w:rPr>
        <w:t xml:space="preserve"> on MMP-9 expression levels in </w:t>
      </w:r>
      <w:r>
        <w:rPr>
          <w:rFonts w:hint="eastAsia" w:ascii="Times New Roman" w:hAnsi="Times New Roman" w:eastAsia="微软雅黑" w:cs="Times New Roman"/>
          <w:sz w:val="24"/>
          <w:szCs w:val="24"/>
        </w:rPr>
        <w:t>Huh-7</w:t>
      </w:r>
      <w:r>
        <w:rPr>
          <w:rFonts w:ascii="Times New Roman" w:hAnsi="Times New Roman" w:eastAsia="微软雅黑" w:cs="Times New Roman"/>
          <w:sz w:val="24"/>
          <w:szCs w:val="24"/>
        </w:rPr>
        <w:t xml:space="preserve"> cells; (B) Quantitative analysis of MMP-9 levels in </w:t>
      </w:r>
      <w:r>
        <w:rPr>
          <w:rFonts w:hint="eastAsia" w:ascii="Times New Roman" w:hAnsi="Times New Roman" w:eastAsia="微软雅黑" w:cs="Times New Roman"/>
          <w:sz w:val="24"/>
          <w:szCs w:val="24"/>
        </w:rPr>
        <w:t>Huh-7</w:t>
      </w:r>
      <w:r>
        <w:rPr>
          <w:rFonts w:ascii="Times New Roman" w:hAnsi="Times New Roman" w:eastAsia="微软雅黑" w:cs="Times New Roman"/>
          <w:sz w:val="24"/>
          <w:szCs w:val="24"/>
        </w:rPr>
        <w:t xml:space="preserve"> cells; (C) Effects of normoxia/hypoxia and administration RLX (0, 0.01, 0.1, and 1 μM) on </w:t>
      </w:r>
      <w:r>
        <w:rPr>
          <w:rFonts w:hint="eastAsia" w:ascii="Times New Roman" w:hAnsi="Times New Roman" w:eastAsia="微软雅黑" w:cs="Times New Roman"/>
          <w:sz w:val="24"/>
          <w:szCs w:val="24"/>
        </w:rPr>
        <w:t>E-cadherin</w:t>
      </w:r>
      <w:r>
        <w:rPr>
          <w:rFonts w:ascii="Times New Roman" w:hAnsi="Times New Roman" w:eastAsia="微软雅黑" w:cs="Times New Roman"/>
          <w:sz w:val="24"/>
          <w:szCs w:val="24"/>
        </w:rPr>
        <w:t xml:space="preserve"> expression levels in </w:t>
      </w:r>
      <w:r>
        <w:rPr>
          <w:rFonts w:hint="eastAsia" w:ascii="Times New Roman" w:hAnsi="Times New Roman" w:eastAsia="微软雅黑" w:cs="Times New Roman"/>
          <w:sz w:val="24"/>
          <w:szCs w:val="24"/>
        </w:rPr>
        <w:t>Huh-7</w:t>
      </w:r>
      <w:r>
        <w:rPr>
          <w:rFonts w:ascii="Times New Roman" w:hAnsi="Times New Roman" w:eastAsia="微软雅黑" w:cs="Times New Roman"/>
          <w:sz w:val="24"/>
          <w:szCs w:val="24"/>
        </w:rPr>
        <w:t xml:space="preserve"> cells; (D) Quantitative analysis of </w:t>
      </w:r>
      <w:r>
        <w:rPr>
          <w:rFonts w:hint="eastAsia" w:ascii="Times New Roman" w:hAnsi="Times New Roman" w:eastAsia="微软雅黑" w:cs="Times New Roman"/>
          <w:sz w:val="24"/>
          <w:szCs w:val="24"/>
        </w:rPr>
        <w:t>E-cadherin</w:t>
      </w:r>
      <w:r>
        <w:rPr>
          <w:rFonts w:ascii="Times New Roman" w:hAnsi="Times New Roman" w:eastAsia="微软雅黑" w:cs="Times New Roman"/>
          <w:sz w:val="24"/>
          <w:szCs w:val="24"/>
        </w:rPr>
        <w:t xml:space="preserve"> levels in </w:t>
      </w:r>
      <w:r>
        <w:rPr>
          <w:rFonts w:hint="eastAsia" w:ascii="Times New Roman" w:hAnsi="Times New Roman" w:eastAsia="微软雅黑" w:cs="Times New Roman"/>
          <w:sz w:val="24"/>
          <w:szCs w:val="24"/>
        </w:rPr>
        <w:t>Huh-7</w:t>
      </w:r>
      <w:r>
        <w:rPr>
          <w:rFonts w:ascii="Times New Roman" w:hAnsi="Times New Roman" w:eastAsia="微软雅黑" w:cs="Times New Roman"/>
          <w:sz w:val="24"/>
          <w:szCs w:val="24"/>
        </w:rPr>
        <w:t xml:space="preserve"> cells; (E) Immunofluorescence staining of HIF-1</w:t>
      </w:r>
      <w:r>
        <w:rPr>
          <w:rFonts w:ascii="Times New Roman" w:hAnsi="Times New Roman" w:cs="Times New Roman" w:eastAsiaTheme="minorHAnsi"/>
          <w:sz w:val="24"/>
          <w:szCs w:val="24"/>
        </w:rPr>
        <w:t>α</w:t>
      </w:r>
      <w:r>
        <w:rPr>
          <w:rFonts w:ascii="Times New Roman" w:hAnsi="Times New Roman" w:eastAsia="微软雅黑" w:cs="Times New Roman"/>
          <w:sz w:val="24"/>
          <w:szCs w:val="24"/>
        </w:rPr>
        <w:t xml:space="preserve"> in each group </w:t>
      </w:r>
      <w:r>
        <w:rPr>
          <w:rFonts w:hint="eastAsia" w:ascii="Times New Roman" w:hAnsi="Times New Roman" w:eastAsia="宋体" w:cs="Times New Roman"/>
          <w:sz w:val="24"/>
          <w:szCs w:val="24"/>
        </w:rPr>
        <w:t xml:space="preserve">after </w:t>
      </w:r>
      <w:r>
        <w:rPr>
          <w:rFonts w:ascii="Times New Roman" w:hAnsi="Times New Roman" w:eastAsia="微软雅黑" w:cs="Times New Roman"/>
          <w:sz w:val="24"/>
          <w:szCs w:val="24"/>
        </w:rPr>
        <w:t>RLX administration (0, 0.01, 0.1, and 1 μM) (ns &gt; 0.05, *p &lt; 0.05, **p &lt; 0.01, ***p &lt; 0.001)</w:t>
      </w:r>
      <w:r>
        <w:rPr>
          <w:rFonts w:hint="eastAsia" w:ascii="Times New Roman" w:hAnsi="Times New Roman" w:eastAsia="微软雅黑" w:cs="Times New Roman"/>
          <w:sz w:val="24"/>
          <w:szCs w:val="24"/>
          <w:lang w:val="en-US" w:eastAsia="zh-CN"/>
        </w:rPr>
        <w:t>.</w:t>
      </w:r>
    </w:p>
    <w:p>
      <w:pPr>
        <w:rPr>
          <w:rFonts w:ascii="Times New Roman" w:hAnsi="Times New Roman" w:cs="Times New Roman" w:eastAsiaTheme="minorHAnsi"/>
          <w:sz w:val="24"/>
          <w:szCs w:val="24"/>
        </w:rPr>
      </w:pPr>
      <w:bookmarkStart w:id="2" w:name="OLE_LINK84"/>
      <w:bookmarkStart w:id="3" w:name="OLE_LINK91"/>
      <w:r>
        <w:rPr>
          <w:rFonts w:hint="eastAsia" w:ascii="Times New Roman" w:hAnsi="Times New Roman" w:eastAsia="微软雅黑" w:cs="Times New Roman"/>
          <w:sz w:val="24"/>
          <w:szCs w:val="24"/>
        </w:rPr>
        <w:t>MMP-9</w:t>
      </w:r>
      <w:bookmarkEnd w:id="2"/>
      <w:bookmarkEnd w:id="3"/>
      <w:r>
        <w:rPr>
          <w:rFonts w:hint="eastAsia" w:ascii="Times New Roman" w:hAnsi="Times New Roman" w:eastAsia="微软雅黑" w:cs="Times New Roman"/>
          <w:sz w:val="24"/>
          <w:szCs w:val="24"/>
        </w:rPr>
        <w:t xml:space="preserve">, </w:t>
      </w:r>
      <w:r>
        <w:rPr>
          <w:rFonts w:hint="eastAsia" w:ascii="Times New Roman" w:hAnsi="Times New Roman" w:cs="Times New Roman" w:eastAsiaTheme="minorHAnsi"/>
          <w:sz w:val="24"/>
          <w:szCs w:val="24"/>
        </w:rPr>
        <w:t>matrix metalloproteinases</w:t>
      </w:r>
      <w:r>
        <w:rPr>
          <w:rFonts w:ascii="Times New Roman" w:hAnsi="Times New Roman" w:cs="Times New Roman" w:eastAsiaTheme="minorHAnsi"/>
          <w:sz w:val="24"/>
          <w:szCs w:val="24"/>
        </w:rPr>
        <w:t>-9</w:t>
      </w:r>
      <w:r>
        <w:rPr>
          <w:rFonts w:hint="eastAsia" w:ascii="Times New Roman" w:hAnsi="Times New Roman" w:cs="Times New Roman" w:eastAsiaTheme="minorHAnsi"/>
          <w:sz w:val="24"/>
          <w:szCs w:val="24"/>
        </w:rPr>
        <w:t xml:space="preserve">; </w:t>
      </w:r>
      <w:r>
        <w:rPr>
          <w:rFonts w:ascii="Times New Roman" w:hAnsi="Times New Roman" w:eastAsia="微软雅黑" w:cs="Times New Roman"/>
          <w:sz w:val="24"/>
          <w:szCs w:val="24"/>
        </w:rPr>
        <w:t>HIF-1</w:t>
      </w:r>
      <w:r>
        <w:rPr>
          <w:rFonts w:ascii="Times New Roman" w:hAnsi="Times New Roman" w:cs="Times New Roman" w:eastAsiaTheme="minorHAnsi"/>
          <w:sz w:val="24"/>
          <w:szCs w:val="24"/>
        </w:rPr>
        <w:t>α</w:t>
      </w:r>
      <w:r>
        <w:rPr>
          <w:rFonts w:hint="eastAsia" w:ascii="Times New Roman" w:hAnsi="Times New Roman" w:cs="Times New Roman"/>
          <w:sz w:val="24"/>
          <w:szCs w:val="24"/>
        </w:rPr>
        <w:t xml:space="preserve">, </w:t>
      </w:r>
      <w:r>
        <w:rPr>
          <w:rFonts w:ascii="Times New Roman" w:hAnsi="Times New Roman" w:cs="Times New Roman"/>
          <w:sz w:val="24"/>
          <w:szCs w:val="24"/>
        </w:rPr>
        <w:t>hypoxia induicible factor-1alpha;</w:t>
      </w:r>
      <w:r>
        <w:rPr>
          <w:rFonts w:hint="eastAsia" w:ascii="Times New Roman" w:hAnsi="Times New Roman" w:cs="Times New Roman" w:eastAsiaTheme="minorHAnsi"/>
          <w:sz w:val="24"/>
          <w:szCs w:val="24"/>
        </w:rPr>
        <w:t xml:space="preserve"> </w:t>
      </w:r>
      <w:bookmarkStart w:id="4" w:name="OLE_LINK28"/>
      <w:bookmarkStart w:id="5" w:name="OLE_LINK27"/>
      <w:r>
        <w:rPr>
          <w:rFonts w:hint="eastAsia" w:ascii="Times New Roman" w:hAnsi="Times New Roman" w:cs="Times New Roman" w:eastAsiaTheme="minorHAnsi"/>
          <w:sz w:val="24"/>
          <w:szCs w:val="24"/>
        </w:rPr>
        <w:t>RLX, relaxin</w:t>
      </w:r>
      <w:bookmarkEnd w:id="4"/>
      <w:bookmarkEnd w:id="5"/>
      <w:r>
        <w:rPr>
          <w:rFonts w:hint="eastAsia" w:ascii="Times New Roman" w:hAnsi="Times New Roman" w:cs="Times New Roman" w:eastAsiaTheme="minorHAnsi"/>
          <w:sz w:val="24"/>
          <w:szCs w:val="24"/>
        </w:rPr>
        <w:t>.</w:t>
      </w:r>
    </w:p>
    <w:p/>
    <w:p>
      <w:r>
        <w:drawing>
          <wp:inline distT="0" distB="0" distL="0" distR="0">
            <wp:extent cx="5274310" cy="1524000"/>
            <wp:effectExtent l="0" t="0" r="444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524000"/>
                    </a:xfrm>
                    <a:prstGeom prst="rect">
                      <a:avLst/>
                    </a:prstGeom>
                  </pic:spPr>
                </pic:pic>
              </a:graphicData>
            </a:graphic>
          </wp:inline>
        </w:drawing>
      </w:r>
    </w:p>
    <w:p>
      <w:pPr>
        <w:rPr>
          <w:rFonts w:ascii="Times New Roman" w:hAnsi="Times New Roman" w:cs="Times New Roman"/>
          <w:sz w:val="24"/>
          <w:szCs w:val="24"/>
        </w:rPr>
      </w:pPr>
      <w:r>
        <w:rPr>
          <w:rFonts w:ascii="Times New Roman" w:hAnsi="Times New Roman" w:cs="Times New Roman"/>
          <w:b/>
          <w:sz w:val="24"/>
          <w:szCs w:val="24"/>
        </w:rPr>
        <w:t>Fig</w:t>
      </w:r>
      <w:r>
        <w:rPr>
          <w:rFonts w:hint="eastAsia" w:ascii="Times New Roman" w:hAnsi="Times New Roman" w:cs="Times New Roman"/>
          <w:b/>
          <w:sz w:val="24"/>
          <w:szCs w:val="24"/>
          <w:lang w:val="en-US" w:eastAsia="zh-CN"/>
        </w:rPr>
        <w:t>.</w:t>
      </w:r>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3</w:t>
      </w:r>
      <w:r>
        <w:rPr>
          <w:rFonts w:ascii="Times New Roman" w:hAnsi="Times New Roman" w:cs="Times New Roman"/>
          <w:sz w:val="24"/>
          <w:szCs w:val="24"/>
        </w:rPr>
        <w:t xml:space="preserve"> Schematic diagram of TACE procedure under the guidance of digital subtraction angiography. (A) Angiography was performed to show the common hepatic artery when the catheter reached the abdominal aorta; (B) The microcatheter was super-selectively inserted into the tumor supplying artery and the angiograph displays the hypervascular tumor (red arrow) in the liver; (C) Angiography after TACE shows the lipiodol deposition (red arrow) within the tumor and the complete occlusion of the tumor-feeding artery</w:t>
      </w:r>
    </w:p>
    <w:p>
      <w:pPr>
        <w:rPr>
          <w:rFonts w:ascii="Times New Roman" w:hAnsi="Times New Roman" w:cs="Times New Roman"/>
          <w:sz w:val="24"/>
          <w:szCs w:val="24"/>
        </w:rPr>
      </w:pPr>
      <w:r>
        <w:rPr>
          <w:rFonts w:ascii="Times New Roman" w:hAnsi="Times New Roman" w:cs="Times New Roman"/>
          <w:sz w:val="24"/>
          <w:szCs w:val="24"/>
        </w:rPr>
        <w:t>TACE, transarterial chemoembolization</w:t>
      </w:r>
    </w:p>
    <w:p>
      <w:pP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527550" cy="430784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42051" cy="4321228"/>
                    </a:xfrm>
                    <a:prstGeom prst="rect">
                      <a:avLst/>
                    </a:prstGeom>
                  </pic:spPr>
                </pic:pic>
              </a:graphicData>
            </a:graphic>
          </wp:inline>
        </w:drawing>
      </w:r>
    </w:p>
    <w:p>
      <w:pPr>
        <w:rPr>
          <w:rFonts w:ascii="Times New Roman" w:hAnsi="Times New Roman" w:cs="Times New Roman"/>
          <w:sz w:val="24"/>
          <w:szCs w:val="24"/>
        </w:rPr>
      </w:pPr>
      <w:r>
        <w:rPr>
          <w:rFonts w:ascii="Times New Roman" w:hAnsi="Times New Roman" w:cs="Times New Roman"/>
          <w:b/>
          <w:sz w:val="24"/>
          <w:szCs w:val="24"/>
        </w:rPr>
        <w:t>Fig</w:t>
      </w:r>
      <w:r>
        <w:rPr>
          <w:rFonts w:hint="eastAsia" w:ascii="Times New Roman" w:hAnsi="Times New Roman" w:cs="Times New Roman"/>
          <w:b/>
          <w:sz w:val="24"/>
          <w:szCs w:val="24"/>
          <w:lang w:val="en-US" w:eastAsia="zh-CN"/>
        </w:rPr>
        <w:t>.</w:t>
      </w:r>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4</w:t>
      </w:r>
      <w:r>
        <w:rPr>
          <w:rFonts w:ascii="Times New Roman" w:hAnsi="Times New Roman" w:cs="Times New Roman"/>
          <w:sz w:val="24"/>
          <w:szCs w:val="24"/>
        </w:rPr>
        <w:t xml:space="preserve"> Immunofluorescence was performed for image analysis to evaluate the pervasion distance of DOX within the tumor stroma in three groups. DOX had the natural red fluorescence, the blood vessels were stained with green fluorescence, and the DAIP had blue fluorescence.</w:t>
      </w:r>
    </w:p>
    <w:p>
      <w:pPr>
        <w:rPr>
          <w:rFonts w:ascii="Times New Roman" w:hAnsi="Times New Roman" w:cs="Times New Roman"/>
          <w:sz w:val="24"/>
          <w:szCs w:val="24"/>
        </w:rPr>
      </w:pPr>
      <w:r>
        <w:rPr>
          <w:rFonts w:ascii="Times New Roman" w:hAnsi="Times New Roman" w:cs="Times New Roman"/>
          <w:sz w:val="24"/>
          <w:szCs w:val="24"/>
        </w:rPr>
        <w:t>DOX, doxorubicin; RLX, relaxin; TACE, transarterial chemoembolization; NS, normal saline.</w:t>
      </w:r>
    </w:p>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drawing>
          <wp:inline distT="0" distB="0" distL="0" distR="0">
            <wp:extent cx="5274310" cy="2102485"/>
            <wp:effectExtent l="0" t="0" r="4445" b="2540"/>
            <wp:docPr id="3" name="图片 3" descr="C:/Users/fuquan/Desktop/松弛素新的投稿/Figure S5.tif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fuquan/Desktop/松弛素新的投稿/Figure S5.tifFigure S5"/>
                    <pic:cNvPicPr>
                      <a:picLocks noChangeAspect="1"/>
                    </pic:cNvPicPr>
                  </pic:nvPicPr>
                  <pic:blipFill>
                    <a:blip r:embed="rId8"/>
                    <a:srcRect t="6" b="6"/>
                    <a:stretch>
                      <a:fillRect/>
                    </a:stretch>
                  </pic:blipFill>
                  <pic:spPr>
                    <a:xfrm>
                      <a:off x="0" y="0"/>
                      <a:ext cx="5274310" cy="2102485"/>
                    </a:xfrm>
                    <a:prstGeom prst="rect">
                      <a:avLst/>
                    </a:prstGeom>
                  </pic:spPr>
                </pic:pic>
              </a:graphicData>
            </a:graphic>
          </wp:inline>
        </w:drawing>
      </w:r>
    </w:p>
    <w:p>
      <w:pPr>
        <w:rPr>
          <w:rFonts w:ascii="Times New Roman" w:hAnsi="Times New Roman" w:cs="Times New Roman"/>
          <w:sz w:val="24"/>
          <w:szCs w:val="24"/>
        </w:rPr>
      </w:pPr>
      <w:r>
        <w:rPr>
          <w:rFonts w:ascii="Times New Roman" w:hAnsi="Times New Roman" w:cs="Times New Roman"/>
          <w:b/>
          <w:sz w:val="24"/>
          <w:szCs w:val="24"/>
        </w:rPr>
        <w:t>Fig</w:t>
      </w:r>
      <w:r>
        <w:rPr>
          <w:rFonts w:hint="eastAsia" w:ascii="Times New Roman" w:hAnsi="Times New Roman" w:cs="Times New Roman"/>
          <w:b/>
          <w:sz w:val="24"/>
          <w:szCs w:val="24"/>
          <w:lang w:val="en-US" w:eastAsia="zh-CN"/>
        </w:rPr>
        <w:t>.</w:t>
      </w:r>
      <w:bookmarkStart w:id="6" w:name="_GoBack"/>
      <w:bookmarkEnd w:id="6"/>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5</w:t>
      </w:r>
      <w:r>
        <w:rPr>
          <w:rFonts w:ascii="Times New Roman" w:hAnsi="Times New Roman" w:cs="Times New Roman"/>
          <w:sz w:val="24"/>
          <w:szCs w:val="24"/>
        </w:rPr>
        <w:t xml:space="preserve"> Liver and kidney function analysis and H&amp;E staining of the kidney, spleen, lung, and liver. (A) Liver and kidney function analysis in the three groups before and after treatments over time (means ± SDs; ns &gt; 0.05, *p &lt; 0.05, **p &lt; 0.01, ***p &lt; 0.001)</w:t>
      </w:r>
    </w:p>
    <w:p>
      <w:pPr>
        <w:rPr>
          <w:rFonts w:ascii="Times New Roman" w:hAnsi="Times New Roman" w:cs="Times New Roman"/>
          <w:sz w:val="24"/>
          <w:szCs w:val="24"/>
        </w:rPr>
      </w:pPr>
      <w:r>
        <w:rPr>
          <w:rFonts w:ascii="Times New Roman" w:hAnsi="Times New Roman" w:cs="Times New Roman"/>
          <w:sz w:val="24"/>
          <w:szCs w:val="24"/>
        </w:rPr>
        <w:t xml:space="preserve">; (B) H&amp;E staining of kidney, spleen, lung, and liver in different groups 7 days after treatments. </w:t>
      </w:r>
    </w:p>
    <w:p>
      <w:pPr>
        <w:rPr>
          <w:rFonts w:hint="eastAsia" w:ascii="Times New Roman" w:hAnsi="Times New Roman" w:cs="Times New Roman"/>
          <w:sz w:val="24"/>
          <w:szCs w:val="24"/>
        </w:rPr>
      </w:pPr>
      <w:r>
        <w:rPr>
          <w:rFonts w:ascii="Times New Roman" w:hAnsi="Times New Roman" w:cs="Times New Roman"/>
          <w:sz w:val="24"/>
          <w:szCs w:val="24"/>
        </w:rPr>
        <w:t>RLX, relaxin; TACE, transarterial chemoembolization; NS, normal saline.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0MmU4YjkwZWM1OTI3OGViYzY1NmQ4OTUxMzg3ZmQifQ=="/>
  </w:docVars>
  <w:rsids>
    <w:rsidRoot w:val="004D0D00"/>
    <w:rsid w:val="00127C83"/>
    <w:rsid w:val="004D0D00"/>
    <w:rsid w:val="00BA06C8"/>
    <w:rsid w:val="03E0057E"/>
    <w:rsid w:val="57D3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tiff"/><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202</Words>
  <Characters>1158</Characters>
  <Lines>9</Lines>
  <Paragraphs>2</Paragraphs>
  <TotalTime>5</TotalTime>
  <ScaleCrop>false</ScaleCrop>
  <LinksUpToDate>false</LinksUpToDate>
  <CharactersWithSpaces>1358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2023-12-02T15:58:00Z</dcterms:created>
  <dc:creator>决 战</dc:creator>
  <cp:lastModifiedBy>王富权</cp:lastModifiedBy>
  <dcterms:modified xsi:type="dcterms:W3CDTF">2024-02-07T14:41:17Z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F3AD8FE7E8494393B346CF2B29609366_12</vt:lpwstr>
  </property>
</Properties>
</file>