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0DB" w:rsidRDefault="002000DB" w:rsidP="002000DB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Description of Additional Supplementary Files</w:t>
      </w:r>
    </w:p>
    <w:p w:rsidR="002000DB" w:rsidRDefault="002000DB" w:rsidP="00E427A5">
      <w:pPr>
        <w:pStyle w:val="NoSpacing"/>
      </w:pPr>
    </w:p>
    <w:p w:rsidR="004511D2" w:rsidRPr="004511D2" w:rsidRDefault="00327F95" w:rsidP="004511D2">
      <w:pPr>
        <w:pStyle w:val="NoSpacing"/>
        <w:rPr>
          <w:b/>
        </w:rPr>
      </w:pPr>
      <w:r>
        <w:rPr>
          <w:b/>
        </w:rPr>
        <w:t>Supplementary</w:t>
      </w:r>
      <w:bookmarkStart w:id="0" w:name="_GoBack"/>
      <w:bookmarkEnd w:id="0"/>
      <w:r w:rsidR="004511D2">
        <w:rPr>
          <w:b/>
        </w:rPr>
        <w:t xml:space="preserve"> Fig. 1-9</w:t>
      </w:r>
    </w:p>
    <w:p w:rsidR="004511D2" w:rsidRDefault="004511D2" w:rsidP="00E427A5">
      <w:pPr>
        <w:pStyle w:val="NoSpacing"/>
        <w:rPr>
          <w:b/>
        </w:rPr>
      </w:pPr>
    </w:p>
    <w:p w:rsidR="002000DB" w:rsidRPr="004511D2" w:rsidRDefault="006917D3" w:rsidP="00E427A5">
      <w:pPr>
        <w:pStyle w:val="NoSpacing"/>
        <w:rPr>
          <w:b/>
        </w:rPr>
      </w:pPr>
      <w:r w:rsidRPr="004511D2">
        <w:rPr>
          <w:b/>
        </w:rPr>
        <w:t xml:space="preserve">Supplementary </w:t>
      </w:r>
      <w:r w:rsidR="004053DA" w:rsidRPr="004511D2">
        <w:rPr>
          <w:b/>
        </w:rPr>
        <w:t xml:space="preserve">Table </w:t>
      </w:r>
      <w:r w:rsidRPr="004511D2">
        <w:rPr>
          <w:b/>
        </w:rPr>
        <w:t>1</w:t>
      </w:r>
    </w:p>
    <w:p w:rsidR="002000DB" w:rsidRPr="002000DB" w:rsidRDefault="002000DB" w:rsidP="00E427A5">
      <w:pPr>
        <w:pStyle w:val="NoSpacing"/>
      </w:pPr>
      <w:r>
        <w:t xml:space="preserve">Description: </w:t>
      </w:r>
      <w:r w:rsidR="0088753C" w:rsidRPr="0088753C">
        <w:t xml:space="preserve">Patient </w:t>
      </w:r>
      <w:r w:rsidR="004053DA">
        <w:t xml:space="preserve">and tumor </w:t>
      </w:r>
      <w:r w:rsidR="0088753C" w:rsidRPr="0088753C">
        <w:t xml:space="preserve">characteristics of </w:t>
      </w:r>
      <w:r w:rsidR="00076696">
        <w:t xml:space="preserve">the </w:t>
      </w:r>
      <w:r w:rsidR="0088753C" w:rsidRPr="0088753C">
        <w:t xml:space="preserve">HPV-negative HNSCC </w:t>
      </w:r>
      <w:r w:rsidR="00076696" w:rsidRPr="0088753C">
        <w:t xml:space="preserve">TCGA </w:t>
      </w:r>
      <w:r w:rsidR="0088753C" w:rsidRPr="0088753C">
        <w:t>cohort</w:t>
      </w:r>
      <w:r w:rsidR="004053DA">
        <w:t xml:space="preserve"> with recalculated FGA</w:t>
      </w:r>
    </w:p>
    <w:p w:rsidR="007C62DF" w:rsidRDefault="007C62DF" w:rsidP="00E427A5">
      <w:pPr>
        <w:pStyle w:val="NoSpacing"/>
      </w:pPr>
    </w:p>
    <w:p w:rsidR="004B4ACD" w:rsidRPr="004511D2" w:rsidRDefault="004B4ACD" w:rsidP="004B4ACD">
      <w:pPr>
        <w:pStyle w:val="NoSpacing"/>
        <w:rPr>
          <w:b/>
        </w:rPr>
      </w:pPr>
      <w:r w:rsidRPr="004511D2">
        <w:rPr>
          <w:b/>
        </w:rPr>
        <w:t>Supple</w:t>
      </w:r>
      <w:r w:rsidR="006917D3" w:rsidRPr="004511D2">
        <w:rPr>
          <w:b/>
        </w:rPr>
        <w:t xml:space="preserve">mentary </w:t>
      </w:r>
      <w:r w:rsidR="004053DA" w:rsidRPr="004511D2">
        <w:rPr>
          <w:b/>
        </w:rPr>
        <w:t xml:space="preserve">Table </w:t>
      </w:r>
      <w:r w:rsidR="006917D3" w:rsidRPr="004511D2">
        <w:rPr>
          <w:b/>
        </w:rPr>
        <w:t>2</w:t>
      </w:r>
    </w:p>
    <w:p w:rsidR="004B4ACD" w:rsidRDefault="004B4ACD" w:rsidP="004B4ACD">
      <w:pPr>
        <w:rPr>
          <w:lang w:val="en-US"/>
        </w:rPr>
      </w:pPr>
      <w:r>
        <w:rPr>
          <w:lang w:val="en-US"/>
        </w:rPr>
        <w:t xml:space="preserve">Description: </w:t>
      </w:r>
      <w:r w:rsidR="004053DA">
        <w:rPr>
          <w:lang w:val="en-US"/>
        </w:rPr>
        <w:t>Patient and tumor characteristics of the oral cavity SCC multicenter cohort</w:t>
      </w:r>
    </w:p>
    <w:p w:rsidR="004053DA" w:rsidRPr="004511D2" w:rsidRDefault="004053DA" w:rsidP="004053DA">
      <w:pPr>
        <w:pStyle w:val="NoSpacing"/>
        <w:rPr>
          <w:b/>
        </w:rPr>
      </w:pPr>
      <w:r w:rsidRPr="004511D2">
        <w:rPr>
          <w:b/>
        </w:rPr>
        <w:t>Supplementary Table 3</w:t>
      </w:r>
    </w:p>
    <w:p w:rsidR="004053DA" w:rsidRDefault="004053DA" w:rsidP="004053DA">
      <w:pPr>
        <w:rPr>
          <w:lang w:val="en-US"/>
        </w:rPr>
      </w:pPr>
      <w:r>
        <w:rPr>
          <w:lang w:val="en-US"/>
        </w:rPr>
        <w:t>Description: List of somatic variants after targeted-enrichment sequencing of 73 CNA-quiet and 71 CNA-other cancers of the oral cavity SCC multicenter cohort</w:t>
      </w:r>
    </w:p>
    <w:p w:rsidR="004053DA" w:rsidRPr="004511D2" w:rsidRDefault="004053DA" w:rsidP="004053DA">
      <w:pPr>
        <w:pStyle w:val="NoSpacing"/>
        <w:rPr>
          <w:b/>
        </w:rPr>
      </w:pPr>
      <w:r w:rsidRPr="004511D2">
        <w:rPr>
          <w:b/>
        </w:rPr>
        <w:t>Supplementary Table 4</w:t>
      </w:r>
    </w:p>
    <w:p w:rsidR="004053DA" w:rsidRDefault="004053DA" w:rsidP="004053DA">
      <w:pPr>
        <w:rPr>
          <w:lang w:val="en-US"/>
        </w:rPr>
      </w:pPr>
      <w:r>
        <w:rPr>
          <w:lang w:val="en-US"/>
        </w:rPr>
        <w:t xml:space="preserve">Description: List of </w:t>
      </w:r>
      <w:r>
        <w:rPr>
          <w:i/>
          <w:lang w:val="en-US"/>
        </w:rPr>
        <w:t xml:space="preserve">TP53 </w:t>
      </w:r>
      <w:r>
        <w:rPr>
          <w:lang w:val="en-US"/>
        </w:rPr>
        <w:t>somatic variants in the oral cavity SCC multicenter cohort</w:t>
      </w:r>
    </w:p>
    <w:p w:rsidR="004053DA" w:rsidRPr="004511D2" w:rsidRDefault="004053DA" w:rsidP="004053DA">
      <w:pPr>
        <w:pStyle w:val="NoSpacing"/>
        <w:rPr>
          <w:b/>
        </w:rPr>
      </w:pPr>
      <w:r w:rsidRPr="004511D2">
        <w:rPr>
          <w:b/>
        </w:rPr>
        <w:t>Supplementary Table 5</w:t>
      </w:r>
    </w:p>
    <w:p w:rsidR="004053DA" w:rsidRDefault="004053DA" w:rsidP="004053DA">
      <w:pPr>
        <w:rPr>
          <w:lang w:val="en-US"/>
        </w:rPr>
      </w:pPr>
      <w:r>
        <w:rPr>
          <w:lang w:val="en-US"/>
        </w:rPr>
        <w:t xml:space="preserve">Description: Variant classification for </w:t>
      </w:r>
      <w:proofErr w:type="spellStart"/>
      <w:r>
        <w:rPr>
          <w:lang w:val="en-US"/>
        </w:rPr>
        <w:t>oncoplot</w:t>
      </w:r>
      <w:proofErr w:type="spellEnd"/>
      <w:r>
        <w:rPr>
          <w:lang w:val="en-US"/>
        </w:rPr>
        <w:t xml:space="preserve"> and -bar</w:t>
      </w:r>
    </w:p>
    <w:p w:rsidR="004053DA" w:rsidRPr="004511D2" w:rsidRDefault="004053DA" w:rsidP="004053DA">
      <w:pPr>
        <w:pStyle w:val="NoSpacing"/>
        <w:rPr>
          <w:b/>
        </w:rPr>
      </w:pPr>
      <w:r w:rsidRPr="004511D2">
        <w:rPr>
          <w:b/>
        </w:rPr>
        <w:t>Supplementary Table 6</w:t>
      </w:r>
    </w:p>
    <w:p w:rsidR="004053DA" w:rsidRDefault="004053DA" w:rsidP="004053DA">
      <w:pPr>
        <w:rPr>
          <w:lang w:val="en-US"/>
        </w:rPr>
      </w:pPr>
      <w:r>
        <w:rPr>
          <w:lang w:val="en-US"/>
        </w:rPr>
        <w:t>Description: multiplex immunohistochemistry results of 12 CNA-quiet and 27 CNA-other oral cavity SCCs</w:t>
      </w:r>
    </w:p>
    <w:p w:rsidR="00E427A5" w:rsidRPr="004511D2" w:rsidRDefault="00E427A5" w:rsidP="00E427A5">
      <w:pPr>
        <w:pStyle w:val="NoSpacing"/>
        <w:rPr>
          <w:b/>
        </w:rPr>
      </w:pPr>
      <w:r w:rsidRPr="004511D2">
        <w:rPr>
          <w:b/>
        </w:rPr>
        <w:t>Supp</w:t>
      </w:r>
      <w:r w:rsidR="004B4ACD" w:rsidRPr="004511D2">
        <w:rPr>
          <w:b/>
        </w:rPr>
        <w:t>l</w:t>
      </w:r>
      <w:r w:rsidR="004053DA" w:rsidRPr="004511D2">
        <w:rPr>
          <w:b/>
        </w:rPr>
        <w:t>ementary Table 7</w:t>
      </w:r>
    </w:p>
    <w:p w:rsidR="00E427A5" w:rsidRDefault="00E427A5">
      <w:pPr>
        <w:rPr>
          <w:lang w:val="en-US"/>
        </w:rPr>
      </w:pPr>
      <w:r>
        <w:rPr>
          <w:lang w:val="en-US"/>
        </w:rPr>
        <w:t>Descriptio</w:t>
      </w:r>
      <w:r w:rsidR="004B4ACD">
        <w:rPr>
          <w:lang w:val="en-US"/>
        </w:rPr>
        <w:t>n: List of probes used for MLPA</w:t>
      </w:r>
    </w:p>
    <w:p w:rsidR="004053DA" w:rsidRPr="004511D2" w:rsidRDefault="004053DA" w:rsidP="004053DA">
      <w:pPr>
        <w:pStyle w:val="NoSpacing"/>
        <w:rPr>
          <w:b/>
        </w:rPr>
      </w:pPr>
      <w:r w:rsidRPr="004511D2">
        <w:rPr>
          <w:b/>
        </w:rPr>
        <w:t>Supplementary Table 8</w:t>
      </w:r>
    </w:p>
    <w:p w:rsidR="004053DA" w:rsidRPr="0088753C" w:rsidRDefault="004053DA">
      <w:pPr>
        <w:rPr>
          <w:lang w:val="en-US"/>
        </w:rPr>
      </w:pPr>
      <w:r>
        <w:rPr>
          <w:lang w:val="en-US"/>
        </w:rPr>
        <w:t>Description: multiplex immunohistochemistry antibodies and protocol steps for the manual Opal staining</w:t>
      </w:r>
    </w:p>
    <w:sectPr w:rsidR="004053DA" w:rsidRPr="00887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0DB"/>
    <w:rsid w:val="00076696"/>
    <w:rsid w:val="002000DB"/>
    <w:rsid w:val="00220832"/>
    <w:rsid w:val="00327F95"/>
    <w:rsid w:val="004053DA"/>
    <w:rsid w:val="004511D2"/>
    <w:rsid w:val="004B4ACD"/>
    <w:rsid w:val="006917D3"/>
    <w:rsid w:val="007C62DF"/>
    <w:rsid w:val="0088753C"/>
    <w:rsid w:val="00E427A5"/>
    <w:rsid w:val="00F7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727318"/>
  <w15:chartTrackingRefBased/>
  <w15:docId w15:val="{3F2FE0F5-03F2-4D6D-A5DC-443F3E00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2000DB"/>
    <w:rPr>
      <w:lang w:val="en-US"/>
    </w:rPr>
  </w:style>
  <w:style w:type="paragraph" w:styleId="NoSpacing">
    <w:name w:val="No Spacing"/>
    <w:link w:val="NoSpacingChar"/>
    <w:uiPriority w:val="1"/>
    <w:qFormat/>
    <w:rsid w:val="002000DB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ADF42-5F7C-4A84-98E7-A6B330079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Muijlwijk, T. (Tara)</dc:creator>
  <cp:keywords/>
  <dc:description/>
  <cp:lastModifiedBy>Muijlwijk, T. (Tara)</cp:lastModifiedBy>
  <cp:revision>9</cp:revision>
  <dcterms:created xsi:type="dcterms:W3CDTF">2023-07-18T11:20:00Z</dcterms:created>
  <dcterms:modified xsi:type="dcterms:W3CDTF">2024-02-07T08:54:00Z</dcterms:modified>
</cp:coreProperties>
</file>