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Appendix. Supplementary</w:t>
      </w:r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Body roundness index and risk of developing hypertension: A prospective cohort study in southwest China</w:t>
      </w:r>
    </w:p>
    <w:p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Qingqing Zhan, Qinyu An, Fuyan Zhang, Tianlin Zhang, Tao Liu,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Yiying Wang</w:t>
      </w:r>
    </w:p>
    <w:p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</w:t>
      </w:r>
    </w:p>
    <w:p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Corresponding authors:  </w:t>
      </w:r>
    </w:p>
    <w:p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</w:t>
      </w:r>
    </w:p>
    <w:p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Tao Liu, E-mail: </w:t>
      </w:r>
      <w:r>
        <w:rPr>
          <w:rStyle w:val="5"/>
          <w:rFonts w:hint="eastAsia" w:ascii="Times New Roman" w:hAnsi="Times New Roman" w:cs="Times New Roman"/>
          <w:sz w:val="22"/>
        </w:rPr>
        <w:t>liutao9099@163.com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</w:p>
    <w:p>
      <w:pPr>
        <w:rPr>
          <w:rStyle w:val="5"/>
          <w:rFonts w:hint="eastAsia" w:ascii="Times New Roman" w:hAnsi="Times New Roman" w:cs="Times New Roman"/>
          <w:sz w:val="22"/>
        </w:rPr>
      </w:pP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Yiying Wang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, E-mail: </w:t>
      </w:r>
      <w:r>
        <w:rPr>
          <w:rStyle w:val="5"/>
          <w:rFonts w:hint="eastAsia" w:ascii="Times New Roman" w:hAnsi="Times New Roman" w:cs="Times New Roman"/>
          <w:sz w:val="22"/>
        </w:rPr>
        <w:t>1185203644@</w:t>
      </w:r>
      <w:r>
        <w:rPr>
          <w:rStyle w:val="5"/>
          <w:rFonts w:hint="eastAsia" w:ascii="Times New Roman" w:hAnsi="Times New Roman" w:cs="Times New Roman"/>
          <w:sz w:val="22"/>
          <w:lang w:val="en-US" w:eastAsia="zh-CN"/>
        </w:rPr>
        <w:t>qq</w:t>
      </w:r>
      <w:r>
        <w:rPr>
          <w:rStyle w:val="5"/>
          <w:rFonts w:hint="eastAsia" w:ascii="Times New Roman" w:hAnsi="Times New Roman" w:cs="Times New Roman"/>
          <w:sz w:val="22"/>
        </w:rPr>
        <w:t>.com</w:t>
      </w:r>
    </w:p>
    <w:p>
      <w:pPr>
        <w:pStyle w:val="2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pStyle w:val="2"/>
        <w:rPr>
          <w:rFonts w:hint="default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Supplementary Table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1.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 xml:space="preserve"> The characteristics of the study population at baseline</w:t>
      </w:r>
    </w:p>
    <w:tbl>
      <w:tblPr>
        <w:tblStyle w:val="3"/>
        <w:tblpPr w:leftFromText="180" w:rightFromText="180" w:vertAnchor="text" w:horzAnchor="page" w:tblpX="1735" w:tblpY="312"/>
        <w:tblOverlap w:val="never"/>
        <w:tblW w:w="8624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1526"/>
        <w:gridCol w:w="1554"/>
        <w:gridCol w:w="1554"/>
        <w:gridCol w:w="916"/>
        <w:gridCol w:w="1105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Variables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Participants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Not developed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hypertension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Developed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hypertension</w:t>
            </w:r>
          </w:p>
        </w:tc>
        <w:tc>
          <w:tcPr>
            <w:tcW w:w="91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  <w:lang w:val="en-US" w:eastAsia="zh-CN"/>
              </w:rPr>
              <w:t>χ2/Z</w:t>
            </w:r>
          </w:p>
        </w:tc>
        <w:tc>
          <w:tcPr>
            <w:tcW w:w="110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(N=5230)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(N=4073)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(N=1157)</w:t>
            </w:r>
          </w:p>
        </w:tc>
        <w:tc>
          <w:tcPr>
            <w:tcW w:w="91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Age, years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152.221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bookmarkStart w:id="0" w:name="OLE_LINK12"/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＜0.001*</w:t>
            </w:r>
            <w:bookmarkEnd w:id="0"/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＜45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3215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2684（65.9）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531（45.89）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≥45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2015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1389（34.1）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626（54.11）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Gender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5.288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0.021*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Male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2394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1830（44.93）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564（48.75）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Female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2836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2243（55.07）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593（51.25）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Ethnicity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2.437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0.119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Minorities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2202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1738（42.67）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464（40.1）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Han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3028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2335（57.33）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693（59.9）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Region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5.587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0.018*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Urban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1830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1459（35.82）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371（32.07）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Rural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3400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2614（64.18）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786（67.93）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Educational level, years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53.928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＜0.001*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7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2780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2055（50.45）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725（62.66）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≥9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2450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2018（49.55）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432（37.34）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Sleep time(h/d)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1.421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0.233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7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7 or</w:t>
            </w:r>
            <w:r>
              <w:rPr>
                <w:rStyle w:val="6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＞</w:t>
            </w:r>
            <w:r>
              <w:rPr>
                <w:rStyle w:val="7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1118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856（21.02）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262（22.64）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7~9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4112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3217（78.98）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895（77.36）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Family history of hypertension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6.212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0.045*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3331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2604（63.93）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727（62.83）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532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431（10.58）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101（8.73）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Unclear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1367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1038（25.48）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329（28.44）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History of diabetes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vertAlign w:val="superscript"/>
                <w:lang w:val="en-US" w:eastAsia="zh-CN"/>
              </w:rPr>
              <w:t>a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1.622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0.203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4890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3821（94.14）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1069（93.12）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317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238（5.86）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79（6.88）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Oil intake（g/d)</w:t>
            </w:r>
            <w:r>
              <w:rPr>
                <w:rStyle w:val="6"/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0.536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0.464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25~30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698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551（13.65）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147（12.82）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&lt;25 or &gt;30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4485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3485（86.35）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1000（87.18）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Salt intake（g/d)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1.984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0.159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&lt;5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932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742（18.22）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190（16.42）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≥5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4298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3331（81.78）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967（83.58）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 w:bidi="ar"/>
              </w:rPr>
              <w:t>Smoking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7.968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0.005*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3831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3021（74.17）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810（70.01）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1399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1052（25.83）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347（29.99）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 w:bidi="ar"/>
              </w:rPr>
              <w:t>Harmful Drinking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26.504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＜0.001*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5109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4002（98.26）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1107（95.68）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121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71（1.74）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50（4.32）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Sedentary time （h/d)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1.369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0.242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&lt;4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2389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1843（45.25）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546（47.19）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≥4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2841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2230（54.75）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611（52.81）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Vegetable intake</w:t>
            </w:r>
            <w:r>
              <w:rPr>
                <w:rStyle w:val="6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（g/d)</w:t>
            </w:r>
            <w:r>
              <w:rPr>
                <w:rStyle w:val="6"/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0.725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0.395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7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1598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1232（30.95）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366（32.28）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≥300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3517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2749（69.05）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768（67.72）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Fruit intake</w:t>
            </w:r>
            <w:r>
              <w:rPr>
                <w:rStyle w:val="6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（g/d)</w:t>
            </w:r>
            <w:r>
              <w:rPr>
                <w:rStyle w:val="6"/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5.57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0.018*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7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4821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3736（92.87）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1085（94.84）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≥200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346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287（7.13）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59（5.16）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CHOL(mmol/L)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4.71(4.00,5.51)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4.69(4.00,5.52)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4.75(4.00,5.46)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-1.056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0.291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TG(mmol/L)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1.17(1.00,2.00)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1.13(1.00,2.00)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1.31(1.00,2.00)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-4.852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＜0.001*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HDL-C(mmol/L)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1.40(1.00,1.77)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1.40(1.00,1.78)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1.39(1.00,1.76)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-0.927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0.354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LDL-C(mmol/L)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2.50(2.00,3.31)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2.51(2.00,3.31)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2.49(2.00,3.29)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-0.842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BRI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2.90(2.32,3.64)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2.85(2.27,3.57)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3.03(2.42,3.87)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-5.955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＜0.001*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BRI (quartile)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38.77</w:t>
            </w: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＜0.001*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Q1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1422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1159（28.46）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263（22.73）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Q2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1425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1127（27.67）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298（25.76）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Q3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1340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1044（25.63）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296（25.58）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Q4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1043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743（18.24）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300（25.93）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</w:tbl>
    <w:p>
      <w:pPr>
        <w:pStyle w:val="2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t>Note: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>N, number; BRI, body roundness index; CHOL, cholesterol; TG, triglyceride; LDL-C, low-density lipoprotein cholesterol; HDL-C,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 xml:space="preserve">high-density lipoprotein cholesterol; Continuous variables are presented as mean ± standard deviation (normally distributed) or median with 25–75th percentile (not normally distributed); categorical variables are expressed as percentage; </w:t>
      </w:r>
      <w:r>
        <w:rPr>
          <w:rFonts w:hint="default" w:ascii="Times New Roman" w:hAnsi="Times New Roman" w:cs="Times New Roman"/>
          <w:vertAlign w:val="superscript"/>
          <w:lang w:eastAsia="zh-CN"/>
        </w:rPr>
        <w:t>a</w:t>
      </w:r>
      <w:r>
        <w:rPr>
          <w:rFonts w:hint="default" w:ascii="Times New Roman" w:hAnsi="Times New Roman" w:cs="Times New Roman"/>
          <w:lang w:eastAsia="zh-CN"/>
        </w:rPr>
        <w:t xml:space="preserve"> missing values; * P value &lt;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eastAsia="zh-CN"/>
        </w:rPr>
        <w:t>0.05.</w:t>
      </w:r>
      <w:bookmarkStart w:id="1" w:name="_GoBack"/>
      <w:bookmarkEnd w:id="1"/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zZTYzMWI0YmVlYmM1ZjFmMjI4MTcxZDFhNTE0OWQifQ=="/>
  </w:docVars>
  <w:rsids>
    <w:rsidRoot w:val="56BC12A2"/>
    <w:rsid w:val="067C3D26"/>
    <w:rsid w:val="0FBA47F8"/>
    <w:rsid w:val="12936308"/>
    <w:rsid w:val="16C2020E"/>
    <w:rsid w:val="29BD1560"/>
    <w:rsid w:val="3A5366A6"/>
    <w:rsid w:val="56BC12A2"/>
    <w:rsid w:val="71EA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semiHidden/>
    <w:unhideWhenUsed/>
    <w:qFormat/>
    <w:uiPriority w:val="0"/>
    <w:rPr>
      <w:rFonts w:ascii="Arial" w:hAnsi="Arial" w:eastAsia="黑体"/>
      <w:sz w:val="20"/>
    </w:rPr>
  </w:style>
  <w:style w:type="character" w:styleId="5">
    <w:name w:val="Hyperlink"/>
    <w:basedOn w:val="4"/>
    <w:autoRedefine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font21"/>
    <w:basedOn w:val="4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">
    <w:name w:val="font11"/>
    <w:basedOn w:val="4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2024-01-22T01:57:00Z</dcterms:created>
  <dc:creator>鱼</dc:creator>
  <cp:lastModifiedBy>鱼</cp:lastModifiedBy>
  <dcterms:modified xsi:type="dcterms:W3CDTF">2024-02-23T07:48:22Z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51347E66A4FC4BA0833A06AEB4F30219_11</vt:lpwstr>
  </property>
</Properties>
</file>