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D31D7" w:rsidRPr="00AD31D7" w:rsidRDefault="00AD31D7" w:rsidP="00AD31D7">
      <w:pPr>
        <w:spacing w:line="360" w:lineRule="auto"/>
        <w:rPr>
          <w:rFonts w:ascii="Times New Roman" w:hAnsi="Times New Roman" w:cs="Times New Roman"/>
          <w:b/>
          <w:color w:val="000000"/>
          <w:kern w:val="0"/>
          <w:sz w:val="24"/>
        </w:rPr>
      </w:pPr>
      <w:r w:rsidRPr="00AD31D7">
        <w:rPr>
          <w:rFonts w:ascii="Times New Roman" w:hAnsi="Times New Roman" w:cs="Times New Roman"/>
          <w:b/>
          <w:color w:val="000000"/>
          <w:kern w:val="0"/>
          <w:sz w:val="24"/>
        </w:rPr>
        <w:t xml:space="preserve">Quality control indicators, definitions, and data </w:t>
      </w:r>
      <w:bookmarkStart w:id="0" w:name="OLE_LINK275"/>
      <w:bookmarkStart w:id="1" w:name="OLE_LINK276"/>
      <w:r w:rsidRPr="00AD31D7">
        <w:rPr>
          <w:rFonts w:ascii="Times New Roman" w:hAnsi="Times New Roman" w:cs="Times New Roman"/>
          <w:b/>
          <w:color w:val="000000"/>
          <w:kern w:val="0"/>
          <w:sz w:val="24"/>
        </w:rPr>
        <w:t>collection period</w:t>
      </w:r>
      <w:bookmarkEnd w:id="0"/>
      <w:bookmarkEnd w:id="1"/>
      <w:r w:rsidRPr="00AD31D7">
        <w:rPr>
          <w:rFonts w:ascii="Times New Roman" w:hAnsi="Times New Roman" w:cs="Times New Roman"/>
          <w:b/>
          <w:color w:val="000000"/>
          <w:kern w:val="0"/>
          <w:sz w:val="24"/>
        </w:rPr>
        <w:t>.</w:t>
      </w:r>
    </w:p>
    <w:tbl>
      <w:tblPr>
        <w:tblStyle w:val="a3"/>
        <w:tblW w:w="88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4125"/>
        <w:gridCol w:w="2056"/>
      </w:tblGrid>
      <w:tr w:rsidR="00AD31D7" w:rsidRPr="00A828C3" w:rsidTr="00B6452D">
        <w:trPr>
          <w:trHeight w:val="311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" w:name="OLE_LINK21"/>
            <w:bookmarkStart w:id="3" w:name="OLE_LINK22"/>
            <w:r w:rsidRPr="00A82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Indicators</w:t>
            </w:r>
            <w:bookmarkEnd w:id="2"/>
            <w:bookmarkEnd w:id="3"/>
          </w:p>
        </w:tc>
        <w:tc>
          <w:tcPr>
            <w:tcW w:w="4125" w:type="dxa"/>
            <w:tcBorders>
              <w:top w:val="single" w:sz="4" w:space="0" w:color="auto"/>
              <w:bottom w:val="single" w:sz="4" w:space="0" w:color="auto"/>
            </w:tcBorders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Definition</w:t>
            </w:r>
          </w:p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Collection period</w:t>
            </w:r>
          </w:p>
        </w:tc>
      </w:tr>
      <w:tr w:rsidR="00AD31D7" w:rsidRPr="00A828C3" w:rsidTr="00B6452D">
        <w:trPr>
          <w:trHeight w:val="933"/>
        </w:trPr>
        <w:tc>
          <w:tcPr>
            <w:tcW w:w="2694" w:type="dxa"/>
            <w:tcBorders>
              <w:top w:val="single" w:sz="4" w:space="0" w:color="auto"/>
            </w:tcBorders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Proportion of ICU in total inpatients (%)</w:t>
            </w:r>
          </w:p>
        </w:tc>
        <w:tc>
          <w:tcPr>
            <w:tcW w:w="4125" w:type="dxa"/>
            <w:tcBorders>
              <w:top w:val="single" w:sz="4" w:space="0" w:color="auto"/>
            </w:tcBorders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(patients admitted to the ICU)/(patients admitted to hospital during the same period)</w:t>
            </w:r>
          </w:p>
        </w:tc>
        <w:tc>
          <w:tcPr>
            <w:tcW w:w="2056" w:type="dxa"/>
            <w:tcBorders>
              <w:top w:val="single" w:sz="4" w:space="0" w:color="auto"/>
            </w:tcBorders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2018-2022</w:t>
            </w:r>
          </w:p>
        </w:tc>
      </w:tr>
      <w:tr w:rsidR="00AD31D7" w:rsidRPr="00A828C3" w:rsidTr="00B6452D">
        <w:trPr>
          <w:trHeight w:val="93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Proportion of ICU in total inpatient bed occupancy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(days of ICU bed occupancy by patients)/(days of hospital bed occupancy by patients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2018-2022</w:t>
            </w:r>
          </w:p>
        </w:tc>
      </w:tr>
      <w:tr w:rsidR="00AD31D7" w:rsidRPr="00A828C3" w:rsidTr="00B6452D">
        <w:trPr>
          <w:trHeight w:val="124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Proportion of APACHE II score ≥ 15 in all ICU patients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patients with APACHE II score ≥ 15 during the first 24 h in the ICU)/ ((no. of patients admitted to the ICU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2018-2022</w:t>
            </w:r>
          </w:p>
        </w:tc>
      </w:tr>
      <w:tr w:rsidR="00AD31D7" w:rsidRPr="00A828C3" w:rsidTr="00B6452D">
        <w:trPr>
          <w:trHeight w:val="621"/>
        </w:trPr>
        <w:tc>
          <w:tcPr>
            <w:tcW w:w="2694" w:type="dxa"/>
          </w:tcPr>
          <w:p w:rsidR="00AD31D7" w:rsidRPr="00A828C3" w:rsidRDefault="00AD31D7" w:rsidP="00B6452D">
            <w:pPr>
              <w:tabs>
                <w:tab w:val="left" w:pos="8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3 h SSC bundles compliance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septic shock patients who received the 3-h SSC bundle treatment)/ (no. of septic shock patients admitted to the ICU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2018-2022</w:t>
            </w:r>
          </w:p>
        </w:tc>
      </w:tr>
      <w:tr w:rsidR="00AD31D7" w:rsidRPr="00A828C3" w:rsidTr="00B6452D">
        <w:trPr>
          <w:trHeight w:val="124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6 h SSC bundles compliance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septic shock patients who received the 6-h SSC bundle treatment)/ (no. of septic shock patients admitted to the ICU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2018-2022</w:t>
            </w:r>
          </w:p>
        </w:tc>
      </w:tr>
      <w:tr w:rsidR="00AD31D7" w:rsidRPr="00A828C3" w:rsidTr="00B6452D">
        <w:trPr>
          <w:trHeight w:val="124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Microbiology detection before antibiotics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patients with microbiology detection before antibiotics)/(no. of patients who received antibiotics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2018-2022</w:t>
            </w:r>
          </w:p>
        </w:tc>
      </w:tr>
      <w:tr w:rsidR="00AD31D7" w:rsidRPr="00A828C3" w:rsidTr="00B6452D">
        <w:trPr>
          <w:trHeight w:val="124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OLE_LINK261"/>
            <w:bookmarkStart w:id="5" w:name="OLE_LINK262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Proportion of DVT prophylaxis</w:t>
            </w:r>
            <w:bookmarkEnd w:id="4"/>
            <w:bookmarkEnd w:id="5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 xml:space="preserve">(no. of patients who received DVT prophylaxis treatment)/(no. of patients admitted to the ICU during the same period). 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2018-2022</w:t>
            </w:r>
          </w:p>
        </w:tc>
      </w:tr>
      <w:tr w:rsidR="00AD31D7" w:rsidRPr="00A828C3" w:rsidTr="00B6452D">
        <w:trPr>
          <w:trHeight w:val="124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OLE_LINK33"/>
            <w:bookmarkStart w:id="7" w:name="OLE_LINK34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Unplanned transfer to ICU (%)</w:t>
            </w:r>
            <w:bookmarkEnd w:id="6"/>
            <w:bookmarkEnd w:id="7"/>
          </w:p>
        </w:tc>
        <w:tc>
          <w:tcPr>
            <w:tcW w:w="4125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OLE_LINK35"/>
            <w:bookmarkStart w:id="9" w:name="OLE_LINK36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patients with unplanned transfer to the ICU from other wards)/(no. of patients transferred to the ICU from other wards during the same period)</w:t>
            </w:r>
            <w:bookmarkEnd w:id="8"/>
            <w:bookmarkEnd w:id="9"/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2018-2022</w:t>
            </w:r>
          </w:p>
        </w:tc>
      </w:tr>
      <w:tr w:rsidR="00AD31D7" w:rsidRPr="00A828C3" w:rsidTr="00B6452D">
        <w:trPr>
          <w:trHeight w:val="124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Unplanned endotracheal extubation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patients with unplanned endotracheal extubation)/(no. of patients with endotracheal extubation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2011-2022</w:t>
            </w:r>
          </w:p>
        </w:tc>
      </w:tr>
      <w:tr w:rsidR="00AD31D7" w:rsidRPr="00A828C3" w:rsidTr="00B6452D">
        <w:trPr>
          <w:trHeight w:val="1257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OLE_LINK265"/>
            <w:bookmarkStart w:id="11" w:name="OLE_LINK266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Reintubation rate within</w:t>
            </w:r>
            <w:bookmarkEnd w:id="10"/>
            <w:bookmarkEnd w:id="11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 xml:space="preserve"> 48 h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patients reintubated within 48 h after endotracheal extubation)/(no. of patients with endotracheal extubation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2011-2022</w:t>
            </w:r>
          </w:p>
        </w:tc>
      </w:tr>
      <w:tr w:rsidR="00AD31D7" w:rsidRPr="00A828C3" w:rsidTr="00B6452D">
        <w:trPr>
          <w:trHeight w:val="1866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OLE_LINK267"/>
            <w:bookmarkStart w:id="13" w:name="OLE_LINK268"/>
            <w:bookmarkStart w:id="14" w:name="OLE_LINK37"/>
            <w:bookmarkStart w:id="15" w:name="OLE_LINK38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ICU re-admission rate within</w:t>
            </w:r>
            <w:bookmarkEnd w:id="12"/>
            <w:bookmarkEnd w:id="13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 xml:space="preserve"> 48h (24h) (%)</w:t>
            </w:r>
            <w:bookmarkEnd w:id="14"/>
            <w:bookmarkEnd w:id="15"/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 xml:space="preserve">(no. of patients readmitted to the ICU within 24h(48) h after discharge from the ICU)/(no. of patients </w:t>
            </w:r>
            <w:bookmarkStart w:id="16" w:name="OLE_LINK50"/>
            <w:bookmarkStart w:id="17" w:name="OLE_LINK51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discharged from the ICU</w:t>
            </w:r>
            <w:bookmarkEnd w:id="16"/>
            <w:bookmarkEnd w:id="17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 xml:space="preserve">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ICU re-admission rate within 24 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(%) in 2011-2018</w:t>
            </w: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；</w:t>
            </w:r>
          </w:p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ICU re-admission rate within 48 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(%) in 2018-2022</w:t>
            </w:r>
          </w:p>
        </w:tc>
      </w:tr>
      <w:tr w:rsidR="00AD31D7" w:rsidRPr="00A828C3" w:rsidTr="00B6452D">
        <w:trPr>
          <w:trHeight w:val="93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VAP incidence rate (%)/1000 ventilator days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patients with VAP)/(no. of patients with mechanical ventilation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2011-2022</w:t>
            </w:r>
          </w:p>
        </w:tc>
      </w:tr>
      <w:tr w:rsidR="00AD31D7" w:rsidRPr="00A828C3" w:rsidTr="00B6452D">
        <w:trPr>
          <w:trHeight w:val="93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CRBSI incidence rate (%)/1000 line days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patients with CRBSI)/(no. of patients with a central venous catheter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2011-2022</w:t>
            </w:r>
          </w:p>
        </w:tc>
      </w:tr>
      <w:tr w:rsidR="00AD31D7" w:rsidRPr="00A828C3" w:rsidTr="00B6452D">
        <w:trPr>
          <w:trHeight w:val="93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CAUTI incidence rate (%)/1000 line days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patients with CAUTI)/(no. of patients with a urinary catheter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2011-2022</w:t>
            </w:r>
          </w:p>
        </w:tc>
      </w:tr>
      <w:tr w:rsidR="00AD31D7" w:rsidRPr="00A828C3" w:rsidTr="00B6452D">
        <w:trPr>
          <w:trHeight w:val="93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Pressure sore incidence rate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(no. of patients w</w:t>
            </w: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ith pressure sore incidence in the ICU)/(no. of patients</w:t>
            </w:r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admitted to the ICU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2011-2018</w:t>
            </w:r>
          </w:p>
        </w:tc>
      </w:tr>
      <w:tr w:rsidR="00AD31D7" w:rsidRPr="00A828C3" w:rsidTr="00B6452D">
        <w:trPr>
          <w:trHeight w:val="933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ICU Mortality rate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tabs>
                <w:tab w:val="left" w:pos="86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(no. of patients who died in the ICU)/( no. of patients who discharged or died from the ICU during the same period)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2011-2018</w:t>
            </w:r>
          </w:p>
          <w:p w:rsidR="00AD31D7" w:rsidRPr="00A828C3" w:rsidRDefault="00AD31D7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Data for 2018-2022 was also collected</w:t>
            </w:r>
          </w:p>
        </w:tc>
      </w:tr>
      <w:tr w:rsidR="00AD31D7" w:rsidRPr="00A828C3" w:rsidTr="00B6452D">
        <w:trPr>
          <w:trHeight w:val="1554"/>
        </w:trPr>
        <w:tc>
          <w:tcPr>
            <w:tcW w:w="2694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Expected mortality rate (%)</w:t>
            </w:r>
          </w:p>
        </w:tc>
        <w:tc>
          <w:tcPr>
            <w:tcW w:w="4125" w:type="dxa"/>
          </w:tcPr>
          <w:p w:rsidR="00AD31D7" w:rsidRPr="00A828C3" w:rsidRDefault="00AD31D7" w:rsidP="00B6452D">
            <w:pPr>
              <w:pStyle w:val="a4"/>
              <w:tabs>
                <w:tab w:val="left" w:pos="861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(the sum of expected mortality rates for all patients admitted to the ICU) / (no. of patients admitted to the ICU during the same period). Expected mortality was calculated based on APACHE II score.</w:t>
            </w:r>
          </w:p>
        </w:tc>
        <w:tc>
          <w:tcPr>
            <w:tcW w:w="2056" w:type="dxa"/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2018-2022</w:t>
            </w:r>
          </w:p>
          <w:p w:rsidR="00AD31D7" w:rsidRPr="00A828C3" w:rsidRDefault="00AD31D7" w:rsidP="00B6452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Data for 2011-2018 was also collected</w:t>
            </w:r>
          </w:p>
        </w:tc>
      </w:tr>
      <w:tr w:rsidR="00AD31D7" w:rsidRPr="00A828C3" w:rsidTr="00B6452D">
        <w:trPr>
          <w:trHeight w:val="1554"/>
        </w:trPr>
        <w:tc>
          <w:tcPr>
            <w:tcW w:w="2694" w:type="dxa"/>
            <w:tcBorders>
              <w:bottom w:val="single" w:sz="4" w:space="0" w:color="auto"/>
            </w:tcBorders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8" w:name="OLE_LINK106"/>
            <w:bookmarkStart w:id="19" w:name="OLE_LINK107"/>
            <w:bookmarkStart w:id="20" w:name="OLE_LINK359"/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standardized mortality ratio (SMR)</w:t>
            </w:r>
            <w:bookmarkEnd w:id="18"/>
            <w:bookmarkEnd w:id="19"/>
            <w:bookmarkEnd w:id="20"/>
          </w:p>
        </w:tc>
        <w:tc>
          <w:tcPr>
            <w:tcW w:w="4125" w:type="dxa"/>
            <w:tcBorders>
              <w:bottom w:val="single" w:sz="4" w:space="0" w:color="auto"/>
            </w:tcBorders>
          </w:tcPr>
          <w:p w:rsidR="00AD31D7" w:rsidRPr="00A828C3" w:rsidRDefault="00AD31D7" w:rsidP="00B6452D">
            <w:pPr>
              <w:pStyle w:val="a4"/>
              <w:tabs>
                <w:tab w:val="left" w:pos="861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bookmarkStart w:id="21" w:name="OLE_LINK68"/>
            <w:bookmarkStart w:id="22" w:name="OLE_LINK69"/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no. of patients who died in the ICU)/ the sum of expected mortality rates for all patients admitted to the ICU)</w:t>
            </w:r>
            <w:bookmarkEnd w:id="21"/>
            <w:bookmarkEnd w:id="22"/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 Expected mortality was calculated based on APACHE II score.</w:t>
            </w:r>
          </w:p>
        </w:tc>
        <w:tc>
          <w:tcPr>
            <w:tcW w:w="2056" w:type="dxa"/>
            <w:tcBorders>
              <w:bottom w:val="single" w:sz="4" w:space="0" w:color="auto"/>
            </w:tcBorders>
          </w:tcPr>
          <w:p w:rsidR="00AD31D7" w:rsidRPr="00A828C3" w:rsidRDefault="00AD31D7" w:rsidP="00B6452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2011-2022</w:t>
            </w:r>
          </w:p>
        </w:tc>
      </w:tr>
    </w:tbl>
    <w:p w:rsidR="00AD31D7" w:rsidRPr="00A828C3" w:rsidRDefault="00AD31D7" w:rsidP="00AD31D7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A828C3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Abbreviation: APACHE II: Acute Physiology and Chronic Health Evaluation II. SCC: Surviving Sepsis Campaign. DVT: Deep Venous Thrombosis. VAP: Ventilator-Associated Pneumonia. CRBSI: Catheter-Related Bloodstream Infections. CAUTI: Catheter-Associated Urinary Tract Infections.</w:t>
      </w:r>
    </w:p>
    <w:p w:rsidR="00AD31D7" w:rsidRPr="00A828C3" w:rsidRDefault="00AD31D7" w:rsidP="00AD31D7">
      <w:pPr>
        <w:rPr>
          <w:rFonts w:ascii="Times New Roman" w:hAnsi="Times New Roman" w:cs="Times New Roman"/>
        </w:rPr>
      </w:pPr>
    </w:p>
    <w:p w:rsidR="00585242" w:rsidRDefault="00585242"/>
    <w:sectPr w:rsidR="00585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1D7"/>
    <w:rsid w:val="00046EA2"/>
    <w:rsid w:val="00057B38"/>
    <w:rsid w:val="000A213C"/>
    <w:rsid w:val="000D74EE"/>
    <w:rsid w:val="00104EC5"/>
    <w:rsid w:val="0011653B"/>
    <w:rsid w:val="00176437"/>
    <w:rsid w:val="001940E4"/>
    <w:rsid w:val="001A7511"/>
    <w:rsid w:val="001B6A6A"/>
    <w:rsid w:val="001F6555"/>
    <w:rsid w:val="00204AFF"/>
    <w:rsid w:val="00261E8D"/>
    <w:rsid w:val="003524EE"/>
    <w:rsid w:val="00364F73"/>
    <w:rsid w:val="00404C70"/>
    <w:rsid w:val="0042341B"/>
    <w:rsid w:val="004865BD"/>
    <w:rsid w:val="004932F5"/>
    <w:rsid w:val="004A73FB"/>
    <w:rsid w:val="004D54AC"/>
    <w:rsid w:val="00530AF0"/>
    <w:rsid w:val="00585242"/>
    <w:rsid w:val="005C3592"/>
    <w:rsid w:val="0060711D"/>
    <w:rsid w:val="00620DAF"/>
    <w:rsid w:val="006218E4"/>
    <w:rsid w:val="0063092F"/>
    <w:rsid w:val="00667216"/>
    <w:rsid w:val="00681136"/>
    <w:rsid w:val="006A0746"/>
    <w:rsid w:val="006C01E4"/>
    <w:rsid w:val="006D5326"/>
    <w:rsid w:val="006F0E7C"/>
    <w:rsid w:val="007743E5"/>
    <w:rsid w:val="00782E44"/>
    <w:rsid w:val="00784CDD"/>
    <w:rsid w:val="007D007D"/>
    <w:rsid w:val="007D5E40"/>
    <w:rsid w:val="00814DC8"/>
    <w:rsid w:val="00814F76"/>
    <w:rsid w:val="00872EF1"/>
    <w:rsid w:val="00884FDF"/>
    <w:rsid w:val="008A00B1"/>
    <w:rsid w:val="00910719"/>
    <w:rsid w:val="0097435D"/>
    <w:rsid w:val="009A7B01"/>
    <w:rsid w:val="00A04223"/>
    <w:rsid w:val="00A55DA7"/>
    <w:rsid w:val="00A666E7"/>
    <w:rsid w:val="00AB6B9F"/>
    <w:rsid w:val="00AB7389"/>
    <w:rsid w:val="00AD31D7"/>
    <w:rsid w:val="00B45F22"/>
    <w:rsid w:val="00B67FB2"/>
    <w:rsid w:val="00BB4D5A"/>
    <w:rsid w:val="00C411F1"/>
    <w:rsid w:val="00D258CC"/>
    <w:rsid w:val="00D430E2"/>
    <w:rsid w:val="00D736D9"/>
    <w:rsid w:val="00DA6F59"/>
    <w:rsid w:val="00DE59A5"/>
    <w:rsid w:val="00E36467"/>
    <w:rsid w:val="00E65D92"/>
    <w:rsid w:val="00E807CA"/>
    <w:rsid w:val="00F100FE"/>
    <w:rsid w:val="00F26BEC"/>
    <w:rsid w:val="00F4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D9F998"/>
  <w15:chartTrackingRefBased/>
  <w15:docId w15:val="{5121A38D-D023-DC46-B1E1-ADB237152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31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31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D31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565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2024-02-07T10:08:00Z</dcterms:created>
  <dcterms:modified xsi:type="dcterms:W3CDTF">2024-02-07T10:14:00Z</dcterms:modified>
</cp:coreProperties>
</file>