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37BAF" w:rsidRPr="00A828C3" w:rsidRDefault="00637BAF" w:rsidP="00637BAF">
      <w:pPr>
        <w:rPr>
          <w:rFonts w:ascii="Times New Roman" w:hAnsi="Times New Roman" w:cs="Times New Roman"/>
          <w:b/>
          <w:color w:val="000000"/>
          <w:kern w:val="0"/>
          <w:sz w:val="24"/>
        </w:rPr>
      </w:pPr>
      <w:bookmarkStart w:id="0" w:name="OLE_LINK354"/>
      <w:bookmarkStart w:id="1" w:name="OLE_LINK355"/>
      <w:bookmarkStart w:id="2" w:name="OLE_LINK356"/>
      <w:r w:rsidRPr="00A828C3">
        <w:rPr>
          <w:rFonts w:ascii="Times New Roman" w:hAnsi="Times New Roman" w:cs="Times New Roman"/>
          <w:b/>
          <w:color w:val="000000"/>
          <w:kern w:val="0"/>
          <w:sz w:val="24"/>
        </w:rPr>
        <w:t>Correlation analysis and annual change trend of quality control indicators between the low and the high admission group in the secondary hospital from 2016 to 2022.</w:t>
      </w:r>
    </w:p>
    <w:bookmarkEnd w:id="0"/>
    <w:bookmarkEnd w:id="1"/>
    <w:bookmarkEnd w:id="2"/>
    <w:tbl>
      <w:tblPr>
        <w:tblStyle w:val="a3"/>
        <w:tblW w:w="9618" w:type="dxa"/>
        <w:tblCellSpacing w:w="11" w:type="dxa"/>
        <w:tblInd w:w="-5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00"/>
        <w:gridCol w:w="1750"/>
        <w:gridCol w:w="1418"/>
        <w:gridCol w:w="1559"/>
        <w:gridCol w:w="1391"/>
      </w:tblGrid>
      <w:tr w:rsidR="00637BAF" w:rsidRPr="00A828C3" w:rsidTr="00B6452D">
        <w:trPr>
          <w:trHeight w:val="204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314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color w:val="FF0000"/>
                <w:kern w:val="0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Low admission group</w:t>
            </w:r>
          </w:p>
        </w:tc>
        <w:tc>
          <w:tcPr>
            <w:tcW w:w="2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High admission group</w:t>
            </w:r>
          </w:p>
        </w:tc>
      </w:tr>
      <w:tr w:rsidR="00637BAF" w:rsidRPr="00A828C3" w:rsidTr="00B6452D">
        <w:trPr>
          <w:trHeight w:val="204"/>
          <w:tblCellSpacing w:w="11" w:type="dxa"/>
        </w:trPr>
        <w:tc>
          <w:tcPr>
            <w:tcW w:w="3467" w:type="dxa"/>
            <w:tcBorders>
              <w:top w:val="nil"/>
              <w:bottom w:val="single" w:sz="4" w:space="0" w:color="auto"/>
            </w:tcBorders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</w:p>
        </w:tc>
        <w:tc>
          <w:tcPr>
            <w:tcW w:w="1728" w:type="dxa"/>
            <w:tcBorders>
              <w:top w:val="nil"/>
              <w:bottom w:val="single" w:sz="4" w:space="0" w:color="auto"/>
            </w:tcBorders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szCs w:val="22"/>
              </w:rPr>
              <w:t>Correlation Coefficient (R)</w:t>
            </w:r>
          </w:p>
        </w:tc>
        <w:tc>
          <w:tcPr>
            <w:tcW w:w="1396" w:type="dxa"/>
            <w:tcBorders>
              <w:top w:val="nil"/>
              <w:bottom w:val="single" w:sz="4" w:space="0" w:color="auto"/>
            </w:tcBorders>
          </w:tcPr>
          <w:p w:rsidR="00637BAF" w:rsidRPr="00A828C3" w:rsidRDefault="00637BAF" w:rsidP="00B6452D">
            <w:pPr>
              <w:ind w:firstLineChars="50" w:firstLine="110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Trend </w:t>
            </w:r>
            <w:r w:rsidRPr="00A828C3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</w:rPr>
              <w:t>P</w:t>
            </w:r>
            <w:r w:rsidRPr="00A828C3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value</w:t>
            </w:r>
          </w:p>
        </w:tc>
        <w:tc>
          <w:tcPr>
            <w:tcW w:w="1537" w:type="dxa"/>
            <w:tcBorders>
              <w:top w:val="nil"/>
              <w:bottom w:val="single" w:sz="4" w:space="0" w:color="auto"/>
            </w:tcBorders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szCs w:val="22"/>
              </w:rPr>
              <w:t>Correlation Coefficient (R)</w:t>
            </w:r>
          </w:p>
        </w:tc>
        <w:tc>
          <w:tcPr>
            <w:tcW w:w="1358" w:type="dxa"/>
            <w:tcBorders>
              <w:top w:val="nil"/>
              <w:bottom w:val="single" w:sz="4" w:space="0" w:color="auto"/>
            </w:tcBorders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Trend </w:t>
            </w:r>
            <w:r w:rsidRPr="00A828C3"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2"/>
                <w:szCs w:val="22"/>
              </w:rPr>
              <w:t>P</w:t>
            </w:r>
            <w:r w:rsidRPr="00A828C3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value</w:t>
            </w:r>
          </w:p>
        </w:tc>
      </w:tr>
      <w:tr w:rsidR="00637BAF" w:rsidRPr="00A828C3" w:rsidTr="00B6452D">
        <w:trPr>
          <w:trHeight w:val="215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Proportion of ICU in total inpatients (%)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0.243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-0.229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</w:tr>
      <w:tr w:rsidR="00637BAF" w:rsidRPr="00A828C3" w:rsidTr="00B6452D">
        <w:trPr>
          <w:trHeight w:val="311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 xml:space="preserve">Proportion of ICU in total inpatient bed occupancy (%) 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0.189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0.065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0.347</w:t>
            </w:r>
          </w:p>
        </w:tc>
      </w:tr>
      <w:tr w:rsidR="00637BAF" w:rsidRPr="00A828C3" w:rsidTr="00B6452D">
        <w:trPr>
          <w:trHeight w:val="317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 xml:space="preserve">Proportion of APACHE II score ≥ 15 in all ICU patients (%) 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0.206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0.085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0.178</w:t>
            </w:r>
          </w:p>
        </w:tc>
      </w:tr>
      <w:tr w:rsidR="00637BAF" w:rsidRPr="00A828C3" w:rsidTr="00B6452D">
        <w:trPr>
          <w:trHeight w:val="311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bookmarkStart w:id="3" w:name="OLE_LINK257"/>
            <w:bookmarkStart w:id="4" w:name="OLE_LINK258"/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3 h SSC bundles compliance</w:t>
            </w:r>
            <w:bookmarkEnd w:id="3"/>
            <w:bookmarkEnd w:id="4"/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 xml:space="preserve"> (%)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-0.024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0.692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0.356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637BAF" w:rsidRPr="00A828C3" w:rsidTr="00B6452D">
        <w:trPr>
          <w:trHeight w:val="311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6 h SSC bundles compliance (%)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-0.016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0.792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0.266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637BAF" w:rsidRPr="00A828C3" w:rsidTr="00B6452D">
        <w:trPr>
          <w:trHeight w:val="317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Microbiology detection before antibiotics (%)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-0.001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0.986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0.347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637BAF" w:rsidRPr="00A828C3" w:rsidTr="00B6452D">
        <w:trPr>
          <w:trHeight w:val="209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Proportion of DVT prophylaxis (%)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0.179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-0.016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0.801</w:t>
            </w:r>
          </w:p>
        </w:tc>
      </w:tr>
      <w:tr w:rsidR="00637BAF" w:rsidRPr="00A828C3" w:rsidTr="00B6452D">
        <w:trPr>
          <w:trHeight w:val="311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 xml:space="preserve">Unplanned endotracheal </w:t>
            </w:r>
            <w:proofErr w:type="spellStart"/>
            <w:proofErr w:type="gramStart"/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extubation</w:t>
            </w:r>
            <w:proofErr w:type="spellEnd"/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 xml:space="preserve">  (</w:t>
            </w:r>
            <w:proofErr w:type="gramEnd"/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 xml:space="preserve">%) 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0.056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0.192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0.100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0.034</w:t>
            </w:r>
          </w:p>
        </w:tc>
      </w:tr>
      <w:tr w:rsidR="00637BAF" w:rsidRPr="00A828C3" w:rsidTr="00B6452D">
        <w:trPr>
          <w:trHeight w:val="209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Reintubation rate within 48 h (%)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0.092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0.032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-0.025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0.592</w:t>
            </w:r>
          </w:p>
        </w:tc>
      </w:tr>
      <w:tr w:rsidR="00637BAF" w:rsidRPr="00A828C3" w:rsidTr="00B6452D">
        <w:trPr>
          <w:trHeight w:val="209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Unplanned transfer to ICU (%)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0.108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0.047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0.207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</w:tr>
      <w:tr w:rsidR="00637BAF" w:rsidRPr="00A828C3" w:rsidTr="00B6452D">
        <w:trPr>
          <w:trHeight w:val="209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ICU re-admission rate within 48</w:t>
            </w:r>
            <w:proofErr w:type="gramStart"/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h  (</w:t>
            </w:r>
            <w:proofErr w:type="gramEnd"/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24h) (%)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0.016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0.714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-0.038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0.418</w:t>
            </w:r>
          </w:p>
        </w:tc>
      </w:tr>
      <w:tr w:rsidR="00637BAF" w:rsidRPr="00A828C3" w:rsidTr="00B6452D">
        <w:trPr>
          <w:trHeight w:val="317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VAP incidence rate (%)/1000 ventilator days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0.140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-0.285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637BAF" w:rsidRPr="00A828C3" w:rsidTr="00B6452D">
        <w:trPr>
          <w:trHeight w:val="311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CRBSI incidence rate (%)/</w:t>
            </w:r>
            <w:proofErr w:type="gramStart"/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1000 line</w:t>
            </w:r>
            <w:proofErr w:type="gramEnd"/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 xml:space="preserve"> days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0.062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0.153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-0.076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0.107</w:t>
            </w:r>
          </w:p>
        </w:tc>
      </w:tr>
      <w:tr w:rsidR="00637BAF" w:rsidRPr="00A828C3" w:rsidTr="00B6452D">
        <w:trPr>
          <w:trHeight w:val="311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CAUTI incidence rate (%)/</w:t>
            </w:r>
            <w:proofErr w:type="gramStart"/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1000 line</w:t>
            </w:r>
            <w:proofErr w:type="gramEnd"/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 xml:space="preserve"> days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-0.213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-0.109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0.020</w:t>
            </w:r>
          </w:p>
        </w:tc>
      </w:tr>
      <w:tr w:rsidR="00637BAF" w:rsidRPr="00A828C3" w:rsidTr="00B6452D">
        <w:trPr>
          <w:trHeight w:val="215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Pressure sore incidence rate (%)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-0.060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0.386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-0.170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0.016</w:t>
            </w:r>
          </w:p>
        </w:tc>
      </w:tr>
      <w:tr w:rsidR="00637BAF" w:rsidRPr="00A828C3" w:rsidTr="00B6452D">
        <w:trPr>
          <w:trHeight w:val="215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ICU Mortality rate (%)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0.304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0.111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0.018</w:t>
            </w:r>
          </w:p>
        </w:tc>
      </w:tr>
      <w:tr w:rsidR="00637BAF" w:rsidRPr="00A828C3" w:rsidTr="00B6452D">
        <w:trPr>
          <w:trHeight w:val="215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Expected mortality rate (%)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-0.024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0.583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0.169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0.000</w:t>
            </w:r>
          </w:p>
        </w:tc>
      </w:tr>
      <w:tr w:rsidR="00637BAF" w:rsidRPr="00A828C3" w:rsidTr="00B6452D">
        <w:trPr>
          <w:trHeight w:val="215"/>
          <w:tblCellSpacing w:w="11" w:type="dxa"/>
        </w:trPr>
        <w:tc>
          <w:tcPr>
            <w:tcW w:w="3467" w:type="dxa"/>
          </w:tcPr>
          <w:p w:rsidR="00637BAF" w:rsidRPr="00A828C3" w:rsidRDefault="00637BAF" w:rsidP="00B6452D">
            <w:pP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 w:rsidRPr="00A828C3"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>standardized mortality ratio (SMR)</w:t>
            </w:r>
          </w:p>
        </w:tc>
        <w:tc>
          <w:tcPr>
            <w:tcW w:w="172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0.085</w:t>
            </w:r>
          </w:p>
        </w:tc>
        <w:tc>
          <w:tcPr>
            <w:tcW w:w="1396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0.056</w:t>
            </w:r>
          </w:p>
        </w:tc>
        <w:tc>
          <w:tcPr>
            <w:tcW w:w="1537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-0.048</w:t>
            </w:r>
          </w:p>
        </w:tc>
        <w:tc>
          <w:tcPr>
            <w:tcW w:w="1358" w:type="dxa"/>
          </w:tcPr>
          <w:p w:rsidR="00637BAF" w:rsidRPr="00A828C3" w:rsidRDefault="00637BAF" w:rsidP="00B6452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828C3">
              <w:rPr>
                <w:rFonts w:ascii="Times New Roman" w:hAnsi="Times New Roman" w:cs="Times New Roman"/>
                <w:sz w:val="22"/>
                <w:szCs w:val="22"/>
              </w:rPr>
              <w:t>0.002</w:t>
            </w:r>
          </w:p>
        </w:tc>
      </w:tr>
    </w:tbl>
    <w:p w:rsidR="00637BAF" w:rsidRPr="00A828C3" w:rsidRDefault="00637BAF" w:rsidP="00637BAF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A828C3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Abbreviations: APACHE II: Acute Physiology and Chronic Health Evaluation II. SCC: Surviving Sepsis Campaign. DVT: Deep Venous Thrombosis. VAP: Ventilator-Associated Pneumonia. CRBSI: Catheter-Related Bloodstream Infections. CAUTI: Catheter-Associated Urinary Tract Infections.</w:t>
      </w:r>
    </w:p>
    <w:p w:rsidR="00637BAF" w:rsidRPr="00A828C3" w:rsidRDefault="00637BAF" w:rsidP="00637BAF">
      <w:pPr>
        <w:spacing w:line="360" w:lineRule="auto"/>
        <w:rPr>
          <w:rFonts w:ascii="Times New Roman" w:hAnsi="Times New Roman" w:cs="Times New Roman"/>
        </w:rPr>
      </w:pPr>
    </w:p>
    <w:p w:rsidR="00585242" w:rsidRDefault="00585242"/>
    <w:sectPr w:rsidR="005852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BAF"/>
    <w:rsid w:val="00046EA2"/>
    <w:rsid w:val="00057B38"/>
    <w:rsid w:val="000A213C"/>
    <w:rsid w:val="000D74EE"/>
    <w:rsid w:val="00104EC5"/>
    <w:rsid w:val="0011653B"/>
    <w:rsid w:val="00176437"/>
    <w:rsid w:val="001940E4"/>
    <w:rsid w:val="001A7511"/>
    <w:rsid w:val="001B6A6A"/>
    <w:rsid w:val="001F6555"/>
    <w:rsid w:val="00204AFF"/>
    <w:rsid w:val="00261E8D"/>
    <w:rsid w:val="003524EE"/>
    <w:rsid w:val="00364F73"/>
    <w:rsid w:val="00404C70"/>
    <w:rsid w:val="0042341B"/>
    <w:rsid w:val="004865BD"/>
    <w:rsid w:val="004932F5"/>
    <w:rsid w:val="004A73FB"/>
    <w:rsid w:val="004D54AC"/>
    <w:rsid w:val="00530AF0"/>
    <w:rsid w:val="00585242"/>
    <w:rsid w:val="005C3592"/>
    <w:rsid w:val="0060711D"/>
    <w:rsid w:val="00620DAF"/>
    <w:rsid w:val="006218E4"/>
    <w:rsid w:val="0063092F"/>
    <w:rsid w:val="00637BAF"/>
    <w:rsid w:val="00667216"/>
    <w:rsid w:val="00681136"/>
    <w:rsid w:val="006C01E4"/>
    <w:rsid w:val="006D5326"/>
    <w:rsid w:val="006F0E7C"/>
    <w:rsid w:val="007743E5"/>
    <w:rsid w:val="00782E44"/>
    <w:rsid w:val="00784CDD"/>
    <w:rsid w:val="007D007D"/>
    <w:rsid w:val="007D5E40"/>
    <w:rsid w:val="00814DC8"/>
    <w:rsid w:val="00814F76"/>
    <w:rsid w:val="00872EF1"/>
    <w:rsid w:val="00884FDF"/>
    <w:rsid w:val="008A00B1"/>
    <w:rsid w:val="00910719"/>
    <w:rsid w:val="0097435D"/>
    <w:rsid w:val="009A7B01"/>
    <w:rsid w:val="00A04223"/>
    <w:rsid w:val="00A55DA7"/>
    <w:rsid w:val="00A666E7"/>
    <w:rsid w:val="00AB6B9F"/>
    <w:rsid w:val="00AB7389"/>
    <w:rsid w:val="00B45F22"/>
    <w:rsid w:val="00B67FB2"/>
    <w:rsid w:val="00BB4D5A"/>
    <w:rsid w:val="00C411F1"/>
    <w:rsid w:val="00D258CC"/>
    <w:rsid w:val="00D430E2"/>
    <w:rsid w:val="00D736D9"/>
    <w:rsid w:val="00DA6F59"/>
    <w:rsid w:val="00DE59A5"/>
    <w:rsid w:val="00E36467"/>
    <w:rsid w:val="00E65D92"/>
    <w:rsid w:val="00E807CA"/>
    <w:rsid w:val="00F100FE"/>
    <w:rsid w:val="00F26BEC"/>
    <w:rsid w:val="00F4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C2B408"/>
  <w15:chartTrackingRefBased/>
  <w15:docId w15:val="{3C5C471E-A1D4-FC45-84F9-122377038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7B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7B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2024-02-07T10:13:00Z</dcterms:created>
  <dcterms:modified xsi:type="dcterms:W3CDTF">2024-02-07T10:13:00Z</dcterms:modified>
</cp:coreProperties>
</file>