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16991" w:rsidRPr="00A828C3" w:rsidRDefault="00B16991" w:rsidP="00B16991">
      <w:pPr>
        <w:spacing w:line="360" w:lineRule="auto"/>
        <w:rPr>
          <w:rFonts w:ascii="Times New Roman" w:hAnsi="Times New Roman" w:cs="Times New Roman"/>
          <w:b/>
          <w:color w:val="000000"/>
          <w:kern w:val="0"/>
          <w:sz w:val="24"/>
        </w:rPr>
      </w:pPr>
      <w:r w:rsidRPr="00A828C3">
        <w:rPr>
          <w:rFonts w:ascii="Times New Roman" w:hAnsi="Times New Roman" w:cs="Times New Roman"/>
          <w:b/>
          <w:color w:val="000000"/>
          <w:kern w:val="0"/>
          <w:sz w:val="24"/>
        </w:rPr>
        <w:t>Data Review Methods</w:t>
      </w:r>
      <w:bookmarkStart w:id="0" w:name="OLE_LINK352"/>
      <w:bookmarkStart w:id="1" w:name="OLE_LINK353"/>
      <w:r w:rsidRPr="00A828C3">
        <w:rPr>
          <w:rFonts w:ascii="Times New Roman" w:hAnsi="Times New Roman" w:cs="Times New Roman"/>
          <w:b/>
          <w:color w:val="000000"/>
          <w:kern w:val="0"/>
          <w:sz w:val="24"/>
        </w:rPr>
        <w:t>——Range checks and Logic checks</w:t>
      </w:r>
      <w:bookmarkEnd w:id="0"/>
      <w:bookmarkEnd w:id="1"/>
    </w:p>
    <w:p w:rsidR="00B16991" w:rsidRPr="00A828C3" w:rsidRDefault="00B16991" w:rsidP="00B16991">
      <w:pPr>
        <w:numPr>
          <w:ilvl w:val="0"/>
          <w:numId w:val="1"/>
        </w:numPr>
        <w:tabs>
          <w:tab w:val="clear" w:pos="720"/>
        </w:tabs>
        <w:spacing w:line="360" w:lineRule="auto"/>
        <w:ind w:left="0" w:firstLineChars="100" w:firstLine="220"/>
        <w:rPr>
          <w:rFonts w:ascii="Times New Roman" w:eastAsia="宋体" w:hAnsi="Times New Roman" w:cs="Times New Roman"/>
          <w:color w:val="FF0000"/>
          <w:sz w:val="22"/>
        </w:rPr>
      </w:pPr>
      <w:r w:rsidRPr="00A828C3">
        <w:rPr>
          <w:rFonts w:ascii="Times New Roman" w:eastAsia="宋体" w:hAnsi="Times New Roman" w:cs="Times New Roman"/>
          <w:color w:val="000000" w:themeColor="text1"/>
          <w:sz w:val="22"/>
        </w:rPr>
        <w:t xml:space="preserve">Each member ICU has dedicated personnel responsible for recording and entering data, which is reviewed for accuracy. Once confirmed to be error-free, the data is submitted monthly by data management personnel through an electronic system </w:t>
      </w:r>
      <w:r w:rsidRPr="00A828C3">
        <w:rPr>
          <w:rFonts w:ascii="Times New Roman" w:eastAsia="宋体" w:hAnsi="Times New Roman" w:cs="Times New Roman"/>
          <w:color w:val="FF0000"/>
          <w:sz w:val="22"/>
        </w:rPr>
        <w:t>(</w:t>
      </w:r>
      <w:r w:rsidRPr="00A828C3">
        <w:rPr>
          <w:rFonts w:ascii="Times New Roman" w:eastAsia="宋体" w:hAnsi="Times New Roman" w:cs="Times New Roman"/>
          <w:color w:val="000000" w:themeColor="text1"/>
          <w:sz w:val="22"/>
          <w:szCs w:val="22"/>
        </w:rPr>
        <w:t>https://bj.ccmqc.com</w:t>
      </w:r>
      <w:r w:rsidRPr="00A828C3">
        <w:rPr>
          <w:rFonts w:ascii="Times New Roman" w:eastAsia="宋体" w:hAnsi="Times New Roman" w:cs="Times New Roman"/>
          <w:color w:val="FF0000"/>
          <w:sz w:val="22"/>
        </w:rPr>
        <w:t>).</w:t>
      </w:r>
    </w:p>
    <w:p w:rsidR="00B16991" w:rsidRPr="00A828C3" w:rsidRDefault="00B16991" w:rsidP="00B16991">
      <w:pPr>
        <w:numPr>
          <w:ilvl w:val="0"/>
          <w:numId w:val="1"/>
        </w:numPr>
        <w:tabs>
          <w:tab w:val="clear" w:pos="720"/>
        </w:tabs>
        <w:spacing w:line="360" w:lineRule="auto"/>
        <w:ind w:left="0" w:firstLineChars="100" w:firstLine="220"/>
        <w:rPr>
          <w:rFonts w:ascii="Times New Roman" w:eastAsia="宋体" w:hAnsi="Times New Roman" w:cs="Times New Roman"/>
          <w:color w:val="000000" w:themeColor="text1"/>
          <w:sz w:val="22"/>
        </w:rPr>
      </w:pPr>
      <w:r w:rsidRPr="00A828C3">
        <w:rPr>
          <w:rFonts w:ascii="Times New Roman" w:eastAsia="宋体" w:hAnsi="Times New Roman" w:cs="Times New Roman"/>
          <w:color w:val="000000" w:themeColor="text1"/>
          <w:sz w:val="22"/>
        </w:rPr>
        <w:t>Quarterly, quality control center officers supervise and review the data reporting status of each member unit to ensure reporting rates and accuracy.</w:t>
      </w:r>
    </w:p>
    <w:p w:rsidR="00B16991" w:rsidRPr="00A828C3" w:rsidRDefault="00B16991" w:rsidP="00B16991">
      <w:pPr>
        <w:numPr>
          <w:ilvl w:val="0"/>
          <w:numId w:val="1"/>
        </w:numPr>
        <w:tabs>
          <w:tab w:val="clear" w:pos="720"/>
        </w:tabs>
        <w:spacing w:line="360" w:lineRule="auto"/>
        <w:ind w:left="0" w:firstLineChars="100" w:firstLine="220"/>
        <w:rPr>
          <w:rFonts w:ascii="Times New Roman" w:eastAsia="宋体" w:hAnsi="Times New Roman" w:cs="Times New Roman"/>
          <w:color w:val="000000" w:themeColor="text1"/>
          <w:sz w:val="22"/>
        </w:rPr>
      </w:pPr>
      <w:r w:rsidRPr="00A828C3">
        <w:rPr>
          <w:rFonts w:ascii="Times New Roman" w:eastAsia="宋体" w:hAnsi="Times New Roman" w:cs="Times New Roman"/>
          <w:color w:val="000000" w:themeColor="text1"/>
          <w:sz w:val="22"/>
        </w:rPr>
        <w:t>A special investigator from the Beijing Intensive Care Medicine Quality Control and Improvement Center verifies and reviews the data submitted by all participating hospitals. This includes scope checks and logic checks. Scope checks are conducted to identify inconsistencies or data that fall outside predefined ranges, with prompts for correction or examination of data entries exceeding predefined ranges. Logic checks involve using predefined logic to identify any errors or illogical data entries, as detailed in the table below.</w:t>
      </w:r>
    </w:p>
    <w:p w:rsidR="00B16991" w:rsidRPr="00A828C3" w:rsidRDefault="00B16991" w:rsidP="00B16991">
      <w:pPr>
        <w:numPr>
          <w:ilvl w:val="0"/>
          <w:numId w:val="1"/>
        </w:numPr>
        <w:tabs>
          <w:tab w:val="clear" w:pos="720"/>
        </w:tabs>
        <w:spacing w:line="360" w:lineRule="auto"/>
        <w:ind w:left="0" w:firstLineChars="100" w:firstLine="220"/>
        <w:rPr>
          <w:rFonts w:ascii="Times New Roman" w:eastAsia="宋体" w:hAnsi="Times New Roman" w:cs="Times New Roman"/>
          <w:color w:val="000000" w:themeColor="text1"/>
          <w:sz w:val="22"/>
        </w:rPr>
      </w:pPr>
      <w:r w:rsidRPr="00A828C3">
        <w:rPr>
          <w:rFonts w:ascii="Times New Roman" w:eastAsia="宋体" w:hAnsi="Times New Roman" w:cs="Times New Roman"/>
          <w:color w:val="000000" w:themeColor="text1"/>
          <w:sz w:val="22"/>
        </w:rPr>
        <w:t>Member units with poor data quality (exceeding 15%) after review will receive feedback, training, and corrective actions, and the accuracy of their actual data will be confirmed.</w:t>
      </w:r>
    </w:p>
    <w:p w:rsidR="00B16991" w:rsidRPr="00A828C3" w:rsidRDefault="00B16991" w:rsidP="00B16991">
      <w:pPr>
        <w:spacing w:line="360" w:lineRule="auto"/>
        <w:ind w:left="220"/>
        <w:rPr>
          <w:rFonts w:ascii="Times New Roman" w:eastAsia="宋体" w:hAnsi="Times New Roman" w:cs="Times New Roman"/>
          <w:color w:val="000000" w:themeColor="text1"/>
          <w:sz w:val="22"/>
        </w:rPr>
      </w:pPr>
    </w:p>
    <w:p w:rsidR="00B16991" w:rsidRPr="00A828C3" w:rsidRDefault="00B16991" w:rsidP="00B16991">
      <w:pPr>
        <w:spacing w:line="360" w:lineRule="auto"/>
        <w:rPr>
          <w:rFonts w:ascii="Times New Roman" w:eastAsia="宋体" w:hAnsi="Times New Roman" w:cs="Times New Roman"/>
          <w:color w:val="000000" w:themeColor="text1"/>
          <w:sz w:val="22"/>
        </w:rPr>
      </w:pPr>
      <w:r w:rsidRPr="00A828C3">
        <w:rPr>
          <w:rFonts w:ascii="Times New Roman" w:eastAsia="Times New Roman Uni" w:hAnsi="Times New Roman" w:cs="Times New Roman"/>
          <w:b/>
          <w:bCs/>
          <w:color w:val="000000" w:themeColor="text1"/>
          <w:sz w:val="22"/>
        </w:rPr>
        <w:t>Definition of illogical, out-of-range and erroneous data</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6"/>
        <w:gridCol w:w="6923"/>
      </w:tblGrid>
      <w:tr w:rsidR="00B16991" w:rsidRPr="00A828C3" w:rsidTr="00B6452D">
        <w:trPr>
          <w:trHeight w:val="340"/>
          <w:jc w:val="center"/>
        </w:trPr>
        <w:tc>
          <w:tcPr>
            <w:tcW w:w="0" w:type="auto"/>
            <w:shd w:val="clear" w:color="auto" w:fill="auto"/>
            <w:noWrap/>
            <w:vAlign w:val="center"/>
            <w:hideMark/>
          </w:tcPr>
          <w:p w:rsidR="00B16991" w:rsidRPr="00A828C3" w:rsidRDefault="00B16991" w:rsidP="00B6452D">
            <w:pPr>
              <w:rPr>
                <w:rFonts w:ascii="Times New Roman" w:hAnsi="Times New Roman" w:cs="Times New Roman"/>
                <w:b/>
                <w:bCs/>
                <w:color w:val="000000" w:themeColor="text1"/>
                <w:szCs w:val="18"/>
              </w:rPr>
            </w:pPr>
            <w:r w:rsidRPr="00A828C3">
              <w:rPr>
                <w:rFonts w:ascii="Times New Roman" w:hAnsi="Times New Roman" w:cs="Times New Roman"/>
                <w:b/>
                <w:bCs/>
                <w:color w:val="000000" w:themeColor="text1"/>
                <w:szCs w:val="18"/>
              </w:rPr>
              <w:t>Type of error</w:t>
            </w:r>
          </w:p>
        </w:tc>
        <w:tc>
          <w:tcPr>
            <w:tcW w:w="6923" w:type="dxa"/>
            <w:shd w:val="clear" w:color="auto" w:fill="auto"/>
            <w:noWrap/>
            <w:vAlign w:val="center"/>
            <w:hideMark/>
          </w:tcPr>
          <w:p w:rsidR="00B16991" w:rsidRPr="00A828C3" w:rsidRDefault="00B16991" w:rsidP="00B6452D">
            <w:pPr>
              <w:rPr>
                <w:rFonts w:ascii="Times New Roman" w:hAnsi="Times New Roman" w:cs="Times New Roman"/>
                <w:b/>
                <w:bCs/>
                <w:color w:val="000000" w:themeColor="text1"/>
                <w:szCs w:val="18"/>
              </w:rPr>
            </w:pPr>
            <w:r w:rsidRPr="00A828C3">
              <w:rPr>
                <w:rFonts w:ascii="Times New Roman" w:hAnsi="Times New Roman" w:cs="Times New Roman"/>
                <w:b/>
                <w:bCs/>
                <w:color w:val="000000" w:themeColor="text1"/>
                <w:szCs w:val="18"/>
              </w:rPr>
              <w:t>Parameters for determining erroneous data</w:t>
            </w:r>
          </w:p>
        </w:tc>
      </w:tr>
      <w:tr w:rsidR="00B16991" w:rsidRPr="00A828C3" w:rsidTr="00B6452D">
        <w:trPr>
          <w:trHeight w:val="340"/>
          <w:jc w:val="center"/>
        </w:trPr>
        <w:tc>
          <w:tcPr>
            <w:tcW w:w="0" w:type="auto"/>
            <w:vMerge w:val="restart"/>
            <w:shd w:val="clear" w:color="auto" w:fill="auto"/>
            <w:noWrap/>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Illogical data</w:t>
            </w: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ICU bed occupancy is greater than the total bed occupancy in hospital and/or total bed occupancy is zero</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total number of patients admitted to the ICU is greater than the total number of patients admitted to the hospital</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 xml:space="preserve">The total inpatient bed occupancy in the ICU is greater than the inpatient bed occupancy in the whole hospital </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total number of patients with an Apache II score ≥ 15 points is greater than the total number of patients admitted to the ICU</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number of inpatients who underwent microbiology detection before antibacterial agent treatment is greater than the total number of ICU inpatients using antibiotics for therapeutic purposes or the total number of patients admitted to the ICU</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number of patients admitted to the ICU with a diagnosis of septic shock and completed a 3 h bundle is greater than the total number of patients admitted to the ICU with a diagnosis of septic shock or the total number of inpatients in the ICU</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 xml:space="preserve">The number of patients admitted to the ICU with a diagnosis of septic shock and completed a 6 h bundle is greater than the total number of patients admitted to the ICU with a diagnosis of septic shock or the total number of inpatients in the </w:t>
            </w:r>
            <w:r w:rsidRPr="00A828C3">
              <w:rPr>
                <w:rFonts w:ascii="Times New Roman" w:hAnsi="Times New Roman" w:cs="Times New Roman"/>
                <w:color w:val="000000" w:themeColor="text1"/>
                <w:szCs w:val="18"/>
              </w:rPr>
              <w:lastRenderedPageBreak/>
              <w:t>ICU</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 xml:space="preserve">The number of inpatients in the ICU with DVT prophylaxis is greater than the total number of inpatients in the ICU </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 xml:space="preserve">The number of unplanned </w:t>
            </w:r>
            <w:proofErr w:type="spellStart"/>
            <w:r w:rsidRPr="00A828C3">
              <w:rPr>
                <w:rFonts w:ascii="Times New Roman" w:hAnsi="Times New Roman" w:cs="Times New Roman"/>
                <w:color w:val="000000" w:themeColor="text1"/>
                <w:szCs w:val="18"/>
              </w:rPr>
              <w:t>extubation</w:t>
            </w:r>
            <w:proofErr w:type="spellEnd"/>
            <w:r w:rsidRPr="00A828C3">
              <w:rPr>
                <w:rFonts w:ascii="Times New Roman" w:hAnsi="Times New Roman" w:cs="Times New Roman"/>
                <w:color w:val="000000" w:themeColor="text1"/>
                <w:szCs w:val="18"/>
              </w:rPr>
              <w:t xml:space="preserve"> patients is greater than the total number of </w:t>
            </w:r>
            <w:proofErr w:type="spellStart"/>
            <w:r w:rsidRPr="00A828C3">
              <w:rPr>
                <w:rFonts w:ascii="Times New Roman" w:hAnsi="Times New Roman" w:cs="Times New Roman"/>
                <w:color w:val="000000" w:themeColor="text1"/>
                <w:szCs w:val="18"/>
              </w:rPr>
              <w:t>extubation</w:t>
            </w:r>
            <w:proofErr w:type="spellEnd"/>
            <w:r w:rsidRPr="00A828C3">
              <w:rPr>
                <w:rFonts w:ascii="Times New Roman" w:hAnsi="Times New Roman" w:cs="Times New Roman"/>
                <w:color w:val="000000" w:themeColor="text1"/>
                <w:szCs w:val="18"/>
              </w:rPr>
              <w:t xml:space="preserve"> patients in the ICU or the total number of inpatients in the ICU</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 xml:space="preserve">The number of unplanned ICU transfer patients is greater than the total number of inpatients admitted to the ICU </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number of reintubations within 48 hours is greater than the total number of reintubations</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number of patients returning to the ICU within 48 hours after discharge from the ICU is greater than the total number of patients discharged from the ICU</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 xml:space="preserve">The number of cases of VAP in the ICU is greater than the sum of the days that each patient was put on invasive mechanical ventilation </w:t>
            </w:r>
            <w:bookmarkStart w:id="2" w:name="OLE_LINK52"/>
            <w:bookmarkStart w:id="3" w:name="OLE_LINK53"/>
            <w:r w:rsidRPr="00A828C3">
              <w:rPr>
                <w:rFonts w:ascii="Times New Roman" w:hAnsi="Times New Roman" w:cs="Times New Roman"/>
                <w:color w:val="000000" w:themeColor="text1"/>
                <w:szCs w:val="18"/>
              </w:rPr>
              <w:t>or the total number of inpatients admitted to the ICU</w:t>
            </w:r>
            <w:bookmarkEnd w:id="2"/>
            <w:bookmarkEnd w:id="3"/>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number of cases of CRBSI in the ICU is greater than the sum of the days that each patient had an indwelling intravascular catheter or the total number of inpatients admitted to the ICU</w:t>
            </w:r>
          </w:p>
        </w:tc>
      </w:tr>
      <w:tr w:rsidR="00B16991" w:rsidRPr="00A828C3" w:rsidTr="00B6452D">
        <w:trPr>
          <w:trHeight w:val="340"/>
          <w:jc w:val="center"/>
        </w:trPr>
        <w:tc>
          <w:tcPr>
            <w:tcW w:w="0" w:type="auto"/>
            <w:vMerge/>
            <w:vAlign w:val="center"/>
            <w:hideMark/>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hideMark/>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number of cases of CAUTI in the ICU is greater than the sum of the days that each patient had an indwelling catheter or the total number of inpatients admitted to the ICU</w:t>
            </w:r>
          </w:p>
        </w:tc>
      </w:tr>
      <w:tr w:rsidR="00B16991" w:rsidRPr="00A828C3" w:rsidTr="00B6452D">
        <w:trPr>
          <w:trHeight w:val="340"/>
          <w:jc w:val="center"/>
        </w:trPr>
        <w:tc>
          <w:tcPr>
            <w:tcW w:w="0" w:type="auto"/>
            <w:vMerge/>
            <w:vAlign w:val="center"/>
          </w:tcPr>
          <w:p w:rsidR="00B16991" w:rsidRPr="00A828C3" w:rsidRDefault="00B16991" w:rsidP="00B6452D">
            <w:pPr>
              <w:rPr>
                <w:rFonts w:ascii="Times New Roman" w:hAnsi="Times New Roman" w:cs="Times New Roman"/>
                <w:color w:val="FF0000"/>
                <w:szCs w:val="18"/>
              </w:rPr>
            </w:pPr>
          </w:p>
        </w:tc>
        <w:tc>
          <w:tcPr>
            <w:tcW w:w="6923" w:type="dxa"/>
            <w:shd w:val="clear" w:color="auto" w:fill="auto"/>
            <w:vAlign w:val="center"/>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number of</w:t>
            </w:r>
            <w:r w:rsidRPr="00A828C3">
              <w:rPr>
                <w:rFonts w:ascii="Times New Roman" w:hAnsi="Times New Roman" w:cs="Times New Roman"/>
                <w:color w:val="000000" w:themeColor="text1"/>
                <w:sz w:val="16"/>
                <w:szCs w:val="16"/>
              </w:rPr>
              <w:t xml:space="preserve"> </w:t>
            </w:r>
            <w:r w:rsidRPr="00A828C3">
              <w:rPr>
                <w:rFonts w:ascii="Times New Roman" w:hAnsi="Times New Roman" w:cs="Times New Roman"/>
                <w:color w:val="000000" w:themeColor="text1"/>
                <w:szCs w:val="18"/>
              </w:rPr>
              <w:t>patients who died in the ICU is greater than the total number of inpatients admitted to the ICU</w:t>
            </w:r>
          </w:p>
        </w:tc>
      </w:tr>
      <w:tr w:rsidR="00B16991" w:rsidRPr="00A828C3" w:rsidTr="00B6452D">
        <w:trPr>
          <w:trHeight w:val="340"/>
          <w:jc w:val="center"/>
        </w:trPr>
        <w:tc>
          <w:tcPr>
            <w:tcW w:w="0" w:type="auto"/>
            <w:vMerge/>
            <w:vAlign w:val="center"/>
          </w:tcPr>
          <w:p w:rsidR="00B16991" w:rsidRPr="00A828C3" w:rsidRDefault="00B16991" w:rsidP="00B6452D">
            <w:pPr>
              <w:rPr>
                <w:rFonts w:ascii="Times New Roman" w:hAnsi="Times New Roman" w:cs="Times New Roman"/>
                <w:color w:val="FF0000"/>
                <w:szCs w:val="18"/>
              </w:rPr>
            </w:pPr>
          </w:p>
        </w:tc>
        <w:tc>
          <w:tcPr>
            <w:tcW w:w="6923" w:type="dxa"/>
            <w:shd w:val="clear" w:color="auto" w:fill="auto"/>
            <w:vAlign w:val="center"/>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number of</w:t>
            </w:r>
            <w:r w:rsidRPr="00A828C3">
              <w:rPr>
                <w:rFonts w:ascii="Times New Roman" w:hAnsi="Times New Roman" w:cs="Times New Roman"/>
                <w:color w:val="000000" w:themeColor="text1"/>
                <w:sz w:val="16"/>
                <w:szCs w:val="16"/>
              </w:rPr>
              <w:t xml:space="preserve"> </w:t>
            </w:r>
            <w:r w:rsidRPr="00A828C3">
              <w:rPr>
                <w:rFonts w:ascii="Times New Roman" w:hAnsi="Times New Roman" w:cs="Times New Roman"/>
                <w:color w:val="000000" w:themeColor="text1"/>
                <w:szCs w:val="18"/>
              </w:rPr>
              <w:t>patients who died in the ICU is zero but standardized mortality ratio is not zero</w:t>
            </w:r>
          </w:p>
        </w:tc>
      </w:tr>
      <w:tr w:rsidR="00B16991" w:rsidRPr="00A828C3" w:rsidTr="00B6452D">
        <w:trPr>
          <w:trHeight w:val="340"/>
          <w:jc w:val="center"/>
        </w:trPr>
        <w:tc>
          <w:tcPr>
            <w:tcW w:w="0" w:type="auto"/>
            <w:vMerge w:val="restart"/>
            <w:vAlign w:val="center"/>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Out of range data</w:t>
            </w:r>
          </w:p>
        </w:tc>
        <w:tc>
          <w:tcPr>
            <w:tcW w:w="6923" w:type="dxa"/>
            <w:shd w:val="clear" w:color="auto" w:fill="auto"/>
            <w:vAlign w:val="center"/>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 xml:space="preserve">The indicator rates </w:t>
            </w:r>
            <w:proofErr w:type="gramStart"/>
            <w:r w:rsidRPr="00A828C3">
              <w:rPr>
                <w:rFonts w:ascii="Times New Roman" w:hAnsi="Times New Roman" w:cs="Times New Roman"/>
                <w:color w:val="000000" w:themeColor="text1"/>
                <w:szCs w:val="18"/>
              </w:rPr>
              <w:t>is</w:t>
            </w:r>
            <w:proofErr w:type="gramEnd"/>
            <w:r w:rsidRPr="00A828C3">
              <w:rPr>
                <w:rFonts w:ascii="Times New Roman" w:hAnsi="Times New Roman" w:cs="Times New Roman"/>
                <w:color w:val="000000" w:themeColor="text1"/>
                <w:szCs w:val="18"/>
              </w:rPr>
              <w:t xml:space="preserve"> greater than 100%</w:t>
            </w:r>
          </w:p>
        </w:tc>
      </w:tr>
      <w:tr w:rsidR="00B16991" w:rsidRPr="00A828C3" w:rsidTr="00B6452D">
        <w:trPr>
          <w:trHeight w:val="340"/>
          <w:jc w:val="center"/>
        </w:trPr>
        <w:tc>
          <w:tcPr>
            <w:tcW w:w="0" w:type="auto"/>
            <w:vMerge/>
            <w:vAlign w:val="center"/>
          </w:tcPr>
          <w:p w:rsidR="00B16991" w:rsidRPr="00A828C3" w:rsidRDefault="00B16991" w:rsidP="00B6452D">
            <w:pPr>
              <w:rPr>
                <w:rFonts w:ascii="Times New Roman" w:hAnsi="Times New Roman" w:cs="Times New Roman"/>
                <w:color w:val="000000" w:themeColor="text1"/>
                <w:szCs w:val="18"/>
              </w:rPr>
            </w:pPr>
          </w:p>
        </w:tc>
        <w:tc>
          <w:tcPr>
            <w:tcW w:w="6923" w:type="dxa"/>
            <w:shd w:val="clear" w:color="auto" w:fill="auto"/>
            <w:vAlign w:val="center"/>
          </w:tcPr>
          <w:p w:rsidR="00B16991" w:rsidRPr="00A828C3" w:rsidRDefault="00B16991" w:rsidP="00B6452D">
            <w:pPr>
              <w:rPr>
                <w:rFonts w:ascii="Times New Roman" w:hAnsi="Times New Roman" w:cs="Times New Roman"/>
                <w:color w:val="000000" w:themeColor="text1"/>
                <w:szCs w:val="18"/>
              </w:rPr>
            </w:pPr>
            <w:r w:rsidRPr="00A828C3">
              <w:rPr>
                <w:rFonts w:ascii="Times New Roman" w:hAnsi="Times New Roman" w:cs="Times New Roman"/>
                <w:color w:val="000000" w:themeColor="text1"/>
                <w:szCs w:val="18"/>
              </w:rPr>
              <w:t>The indicator data is 100 times greater than the mean value</w:t>
            </w:r>
          </w:p>
        </w:tc>
      </w:tr>
    </w:tbl>
    <w:p w:rsidR="00B16991" w:rsidRPr="00A828C3" w:rsidRDefault="00B16991" w:rsidP="00B169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000000" w:themeColor="text1"/>
          <w:szCs w:val="21"/>
        </w:rPr>
      </w:pPr>
    </w:p>
    <w:p w:rsidR="00585242" w:rsidRPr="00B16991" w:rsidRDefault="00585242" w:rsidP="00B16991"/>
    <w:sectPr w:rsidR="00585242" w:rsidRPr="00B1699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Uni">
    <w:altName w:val="宋体"/>
    <w:panose1 w:val="020B0604020202020204"/>
    <w:charset w:val="86"/>
    <w:family w:val="roman"/>
    <w:pitch w:val="variable"/>
    <w:sig w:usb0="B334AAFF" w:usb1="F9DFFFFF" w:usb2="0000003E" w:usb3="00000000" w:csb0="001F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5449E"/>
    <w:multiLevelType w:val="multilevel"/>
    <w:tmpl w:val="4AB69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65432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991"/>
    <w:rsid w:val="00046EA2"/>
    <w:rsid w:val="00057B38"/>
    <w:rsid w:val="000A213C"/>
    <w:rsid w:val="000D74EE"/>
    <w:rsid w:val="00104EC5"/>
    <w:rsid w:val="0011653B"/>
    <w:rsid w:val="00176437"/>
    <w:rsid w:val="001940E4"/>
    <w:rsid w:val="001A7511"/>
    <w:rsid w:val="001B6A6A"/>
    <w:rsid w:val="001F6555"/>
    <w:rsid w:val="00204AFF"/>
    <w:rsid w:val="00261E8D"/>
    <w:rsid w:val="003524EE"/>
    <w:rsid w:val="00364F73"/>
    <w:rsid w:val="00404C70"/>
    <w:rsid w:val="0042341B"/>
    <w:rsid w:val="004865BD"/>
    <w:rsid w:val="004932F5"/>
    <w:rsid w:val="004A73FB"/>
    <w:rsid w:val="004D54AC"/>
    <w:rsid w:val="00530AF0"/>
    <w:rsid w:val="00585242"/>
    <w:rsid w:val="005C3592"/>
    <w:rsid w:val="0060711D"/>
    <w:rsid w:val="00620DAF"/>
    <w:rsid w:val="006218E4"/>
    <w:rsid w:val="0063092F"/>
    <w:rsid w:val="00667216"/>
    <w:rsid w:val="00681136"/>
    <w:rsid w:val="006C01E4"/>
    <w:rsid w:val="006D5326"/>
    <w:rsid w:val="006F0E7C"/>
    <w:rsid w:val="007743E5"/>
    <w:rsid w:val="00782E44"/>
    <w:rsid w:val="00784CDD"/>
    <w:rsid w:val="007D007D"/>
    <w:rsid w:val="007D5E40"/>
    <w:rsid w:val="00814DC8"/>
    <w:rsid w:val="00814F76"/>
    <w:rsid w:val="00872EF1"/>
    <w:rsid w:val="00884FDF"/>
    <w:rsid w:val="008A00B1"/>
    <w:rsid w:val="00910719"/>
    <w:rsid w:val="0097435D"/>
    <w:rsid w:val="009A7B01"/>
    <w:rsid w:val="00A04223"/>
    <w:rsid w:val="00A55DA7"/>
    <w:rsid w:val="00A666E7"/>
    <w:rsid w:val="00AB6B9F"/>
    <w:rsid w:val="00AB7389"/>
    <w:rsid w:val="00B16991"/>
    <w:rsid w:val="00B45F22"/>
    <w:rsid w:val="00B67FB2"/>
    <w:rsid w:val="00BB4D5A"/>
    <w:rsid w:val="00C411F1"/>
    <w:rsid w:val="00D241B9"/>
    <w:rsid w:val="00D258CC"/>
    <w:rsid w:val="00D430E2"/>
    <w:rsid w:val="00D736D9"/>
    <w:rsid w:val="00DA6F59"/>
    <w:rsid w:val="00DE59A5"/>
    <w:rsid w:val="00E36467"/>
    <w:rsid w:val="00E65D92"/>
    <w:rsid w:val="00E807CA"/>
    <w:rsid w:val="00F100FE"/>
    <w:rsid w:val="00F26BEC"/>
    <w:rsid w:val="00F46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3D8FE06"/>
  <w15:chartTrackingRefBased/>
  <w15:docId w15:val="{8016A8DE-E4E9-3F42-9799-1F98ECD3F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69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606</Words>
  <Characters>3457</Characters>
  <Application>Microsoft Office Word</Application>
  <DocSecurity>0</DocSecurity>
  <Lines>28</Lines>
  <Paragraphs>8</Paragraphs>
  <ScaleCrop>false</ScaleCrop>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2024-02-07T10:10:00Z</dcterms:created>
  <dcterms:modified xsi:type="dcterms:W3CDTF">2024-02-07T10:15:00Z</dcterms:modified>
</cp:coreProperties>
</file>