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384F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3AB638F9" w14:textId="472C984A" w:rsidR="0005312B" w:rsidRPr="00F62A95" w:rsidRDefault="0005312B" w:rsidP="0005312B">
      <w:pPr>
        <w:jc w:val="both"/>
        <w:rPr>
          <w:sz w:val="20"/>
          <w:szCs w:val="20"/>
          <w:lang w:val="en-US"/>
        </w:rPr>
      </w:pPr>
      <w:r w:rsidRPr="00F62A95">
        <w:rPr>
          <w:noProof/>
          <w:sz w:val="20"/>
          <w:szCs w:val="20"/>
          <w:lang w:val="en-US"/>
        </w:rPr>
        <w:drawing>
          <wp:inline distT="0" distB="0" distL="0" distR="0" wp14:anchorId="194298B4" wp14:editId="2EA1C323">
            <wp:extent cx="5934075" cy="2047875"/>
            <wp:effectExtent l="0" t="0" r="9525" b="9525"/>
            <wp:docPr id="1694905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48930" w14:textId="77777777" w:rsidR="0005312B" w:rsidRDefault="0005312B" w:rsidP="0005312B">
      <w:pPr>
        <w:jc w:val="both"/>
        <w:rPr>
          <w:sz w:val="20"/>
          <w:szCs w:val="20"/>
          <w:lang w:val="en-US"/>
        </w:rPr>
      </w:pPr>
      <w:r w:rsidRPr="00F62A95">
        <w:rPr>
          <w:sz w:val="20"/>
          <w:szCs w:val="20"/>
          <w:lang w:val="en-US"/>
        </w:rPr>
        <w:t>Scheme 1 The pathway of methylene green destruction by plasma action</w:t>
      </w:r>
    </w:p>
    <w:p w14:paraId="7FD0C87D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60B7BE94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0568CE5A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292D6B1D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2CF31E21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3D3E55AA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2D9DC88F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0F34F247" w14:textId="77777777" w:rsidR="0005312B" w:rsidRDefault="0005312B" w:rsidP="0005312B">
      <w:pPr>
        <w:jc w:val="both"/>
        <w:rPr>
          <w:sz w:val="20"/>
          <w:szCs w:val="20"/>
          <w:lang w:val="en-US"/>
        </w:rPr>
      </w:pPr>
    </w:p>
    <w:p w14:paraId="00FF4B7D" w14:textId="77777777" w:rsidR="0005312B" w:rsidRPr="00F62A95" w:rsidRDefault="0005312B" w:rsidP="0005312B">
      <w:pPr>
        <w:jc w:val="both"/>
        <w:rPr>
          <w:sz w:val="20"/>
          <w:szCs w:val="20"/>
          <w:lang w:val="en-US"/>
        </w:rPr>
      </w:pPr>
    </w:p>
    <w:p w14:paraId="57FFE362" w14:textId="4078EC15" w:rsidR="0005312B" w:rsidRPr="00F62A95" w:rsidRDefault="0005312B" w:rsidP="0005312B">
      <w:pPr>
        <w:jc w:val="both"/>
        <w:rPr>
          <w:sz w:val="20"/>
          <w:szCs w:val="20"/>
          <w:lang w:val="en-US"/>
        </w:rPr>
      </w:pPr>
      <w:r w:rsidRPr="00F62A95">
        <w:rPr>
          <w:noProof/>
          <w:sz w:val="20"/>
          <w:szCs w:val="20"/>
          <w:lang w:val="en-US"/>
        </w:rPr>
        <w:drawing>
          <wp:inline distT="0" distB="0" distL="0" distR="0" wp14:anchorId="2AE8E0E6" wp14:editId="390BF7FB">
            <wp:extent cx="5934075" cy="4000500"/>
            <wp:effectExtent l="0" t="0" r="9525" b="0"/>
            <wp:docPr id="12868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304A4" w14:textId="77777777" w:rsidR="0005312B" w:rsidRPr="00F62A95" w:rsidRDefault="0005312B" w:rsidP="0005312B">
      <w:pPr>
        <w:jc w:val="both"/>
        <w:rPr>
          <w:sz w:val="20"/>
          <w:szCs w:val="20"/>
          <w:lang w:val="en-US"/>
        </w:rPr>
      </w:pPr>
      <w:r w:rsidRPr="00F62A95">
        <w:rPr>
          <w:sz w:val="20"/>
          <w:szCs w:val="20"/>
          <w:lang w:val="en-US"/>
        </w:rPr>
        <w:t>Scheme 2 Possible transformations of the fluorescein dye under the joint action of plasma and synthesized structures</w:t>
      </w:r>
    </w:p>
    <w:p w14:paraId="6FB4AD4A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2B"/>
    <w:rsid w:val="0005312B"/>
    <w:rsid w:val="00110104"/>
    <w:rsid w:val="0021090F"/>
    <w:rsid w:val="00220E4E"/>
    <w:rsid w:val="003A76DF"/>
    <w:rsid w:val="00C52827"/>
    <w:rsid w:val="00DB1091"/>
    <w:rsid w:val="00F6645F"/>
    <w:rsid w:val="00F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411CC"/>
  <w15:chartTrackingRefBased/>
  <w15:docId w15:val="{8287F9EE-F89A-459F-87BE-8505FAA0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2</cp:revision>
  <dcterms:created xsi:type="dcterms:W3CDTF">2024-02-14T17:27:00Z</dcterms:created>
  <dcterms:modified xsi:type="dcterms:W3CDTF">2024-02-14T17:28:00Z</dcterms:modified>
</cp:coreProperties>
</file>