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F88769" w14:textId="2E0FA937" w:rsidR="00F037C7" w:rsidRPr="00711322" w:rsidRDefault="009C69D9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B47561B" wp14:editId="27B457A9">
            <wp:extent cx="5708650" cy="8245826"/>
            <wp:effectExtent l="0" t="0" r="6350" b="317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596" cy="8247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0DFC20" w14:textId="77777777" w:rsidR="009C69D9" w:rsidRDefault="009C69D9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6F8A80" w14:textId="4C93C589" w:rsidR="00F037C7" w:rsidRPr="00711322" w:rsidRDefault="00F037C7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 Fig 1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>CRISPR/Cas9-mediated TP53KO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>eHEPOs.</w:t>
      </w:r>
    </w:p>
    <w:p w14:paraId="47215C04" w14:textId="77777777" w:rsidR="00F037C7" w:rsidRPr="00711322" w:rsidRDefault="00F037C7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 xml:space="preserve">A 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 xml:space="preserve">The flow cytometry results represent GFP positive cells percentage 24h later of the gRNA transfection (top). Cell viability was assessed by counting DAPI-negative cells (bottom).  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 xml:space="preserve">B 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>The schematic representation of sanger sequence results for the other growing clones, B2, B5, B6, B8, D2. The arrow indicates Adenine nucleotide insertion followed by PAM sequence.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 xml:space="preserve">  C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 xml:space="preserve"> IHC staining of H&amp;E, Ki67 and P53 in the other clones, B2, B5, B6, D2.</w:t>
      </w:r>
    </w:p>
    <w:p w14:paraId="65D3E7AF" w14:textId="150BDD22" w:rsidR="00F037C7" w:rsidRPr="00711322" w:rsidRDefault="009C69D9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FD0E0FA" wp14:editId="513FBB93">
            <wp:extent cx="5760720" cy="8321040"/>
            <wp:effectExtent l="0" t="0" r="0" b="381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32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37BD79" w14:textId="77777777" w:rsidR="009C69D9" w:rsidRDefault="009C69D9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D6C0370" w14:textId="1F8E2BEC" w:rsidR="00F037C7" w:rsidRPr="00711322" w:rsidRDefault="00F037C7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Supplementary Fig. 2. Transcriptome of </w:t>
      </w:r>
      <w:proofErr w:type="spellStart"/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>eHEPOs</w:t>
      </w:r>
      <w:proofErr w:type="spellEnd"/>
    </w:p>
    <w:p w14:paraId="03CC9185" w14:textId="320DA6B3" w:rsidR="00F037C7" w:rsidRPr="00711322" w:rsidRDefault="00F037C7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 xml:space="preserve">A 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 xml:space="preserve">Light microscope images of </w:t>
      </w:r>
      <w:proofErr w:type="spellStart"/>
      <w:r w:rsidRPr="00711322">
        <w:rPr>
          <w:rFonts w:ascii="Times New Roman" w:eastAsia="Times New Roman" w:hAnsi="Times New Roman" w:cs="Times New Roman"/>
          <w:sz w:val="24"/>
          <w:szCs w:val="24"/>
        </w:rPr>
        <w:t>eHEPOs</w:t>
      </w:r>
      <w:proofErr w:type="spellEnd"/>
      <w:r w:rsidRPr="00711322">
        <w:rPr>
          <w:rFonts w:ascii="Times New Roman" w:eastAsia="Times New Roman" w:hAnsi="Times New Roman" w:cs="Times New Roman"/>
          <w:sz w:val="24"/>
          <w:szCs w:val="24"/>
        </w:rPr>
        <w:t xml:space="preserve"> prior 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1322">
        <w:rPr>
          <w:rFonts w:ascii="Times New Roman" w:eastAsia="Times New Roman" w:hAnsi="Times New Roman" w:cs="Times New Roman"/>
          <w:sz w:val="24"/>
          <w:szCs w:val="24"/>
        </w:rPr>
        <w:t>RNAseq</w:t>
      </w:r>
      <w:proofErr w:type="spellEnd"/>
      <w:r w:rsidRPr="0071132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 xml:space="preserve">B-C 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>The dot plot of selected WT or TP53KO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>eHEPO enriched signal pathways. The figure represents the minus multiplication value of the NES score.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 xml:space="preserve"> D </w:t>
      </w:r>
      <w:r w:rsidR="009C69D9" w:rsidRPr="009C69D9">
        <w:rPr>
          <w:rFonts w:ascii="Times New Roman" w:eastAsia="Times New Roman" w:hAnsi="Times New Roman" w:cs="Times New Roman"/>
          <w:bCs/>
          <w:sz w:val="24"/>
          <w:szCs w:val="24"/>
        </w:rPr>
        <w:t xml:space="preserve">The heatmap of Yamashita’s </w:t>
      </w:r>
      <w:proofErr w:type="spellStart"/>
      <w:r w:rsidR="009C69D9" w:rsidRPr="009C69D9">
        <w:rPr>
          <w:rFonts w:ascii="Times New Roman" w:eastAsia="Times New Roman" w:hAnsi="Times New Roman" w:cs="Times New Roman"/>
          <w:bCs/>
          <w:sz w:val="24"/>
          <w:szCs w:val="24"/>
        </w:rPr>
        <w:t>EpCAM</w:t>
      </w:r>
      <w:proofErr w:type="spellEnd"/>
      <w:r w:rsidR="009C69D9" w:rsidRPr="009C69D9">
        <w:rPr>
          <w:rFonts w:ascii="Times New Roman" w:eastAsia="Times New Roman" w:hAnsi="Times New Roman" w:cs="Times New Roman"/>
          <w:bCs/>
          <w:sz w:val="24"/>
          <w:szCs w:val="24"/>
        </w:rPr>
        <w:t xml:space="preserve"> upregulated liver cancer subclass (log</w:t>
      </w:r>
      <w:r w:rsidR="009C69D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9C69D9" w:rsidRPr="009C69D9">
        <w:rPr>
          <w:rFonts w:ascii="Times New Roman" w:eastAsia="Times New Roman" w:hAnsi="Times New Roman" w:cs="Times New Roman"/>
          <w:bCs/>
          <w:sz w:val="24"/>
          <w:szCs w:val="24"/>
        </w:rPr>
        <w:t>(matrix values), default (</w:t>
      </w:r>
      <w:proofErr w:type="spellStart"/>
      <w:r w:rsidR="009C69D9" w:rsidRPr="009C69D9">
        <w:rPr>
          <w:rFonts w:ascii="Times New Roman" w:eastAsia="Times New Roman" w:hAnsi="Times New Roman" w:cs="Times New Roman"/>
          <w:bCs/>
          <w:sz w:val="24"/>
          <w:szCs w:val="24"/>
        </w:rPr>
        <w:t>logFC</w:t>
      </w:r>
      <w:proofErr w:type="spellEnd"/>
      <w:r w:rsidR="009C69D9" w:rsidRPr="009C69D9">
        <w:rPr>
          <w:rFonts w:ascii="Times New Roman" w:eastAsia="Times New Roman" w:hAnsi="Times New Roman" w:cs="Times New Roman"/>
          <w:bCs/>
          <w:sz w:val="24"/>
          <w:szCs w:val="24"/>
        </w:rPr>
        <w:t>), p ≤ 0.05).</w:t>
      </w:r>
      <w:r w:rsidR="009C69D9" w:rsidRPr="009C69D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 xml:space="preserve">E-F 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>The dot plot of selected Cell Cycle &amp; Apoptosis and Metabolism related enriched signal pathways. The figure represents the minus multiplication value of the NES score.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</w:p>
    <w:p w14:paraId="59F746C6" w14:textId="77777777" w:rsidR="00F037C7" w:rsidRPr="00711322" w:rsidRDefault="00F037C7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E630141" w14:textId="646DC28C" w:rsidR="00F037C7" w:rsidRPr="00711322" w:rsidRDefault="009C69D9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A930DC8" wp14:editId="2645F251">
            <wp:extent cx="5760720" cy="8321040"/>
            <wp:effectExtent l="0" t="0" r="0" b="381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32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6513D5" w14:textId="77777777" w:rsidR="009C69D9" w:rsidRDefault="009C69D9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73406F6" w14:textId="50C0F432" w:rsidR="00F037C7" w:rsidRPr="00711322" w:rsidRDefault="00F037C7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 Fig. 3. pc-ME production and validation.</w:t>
      </w:r>
    </w:p>
    <w:p w14:paraId="61FBD804" w14:textId="7FA59019" w:rsidR="00F037C7" w:rsidRPr="00711322" w:rsidRDefault="00F037C7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 xml:space="preserve">A 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>The schematic showing of the production of activated LX-2 stellate cell secretome (left), LX-2 cells before and after induction TGFB (10uM, 24h) (middle), and confirmation with qPCR markers specific for activated LX-2 stellar cells (right).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 xml:space="preserve"> B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>The schematic showing the production M2 polarized macrophage cell secretome (top), THP1, MO and M2 cells before and after induction (bottom-left), and confirmation with qPCR markers specific for M2 macrophages (bottom-right).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 xml:space="preserve">   C 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>The IF staining of TP53KO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>eHEPOs at passage 3-5 and 8. (Scale: 50 um)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 xml:space="preserve"> D 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>Masson’s trichrome staining of other two TP53KO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>eHEPO clones, B2, B8</w:t>
      </w:r>
    </w:p>
    <w:p w14:paraId="159B0AB1" w14:textId="77777777" w:rsidR="00F037C7" w:rsidRPr="00711322" w:rsidRDefault="00F037C7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7F5D7BA" w14:textId="78E3BE15" w:rsidR="00F037C7" w:rsidRPr="00711322" w:rsidRDefault="009C69D9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0BE3E69" wp14:editId="47A0A4EC">
            <wp:extent cx="5760720" cy="8321040"/>
            <wp:effectExtent l="0" t="0" r="0" b="381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32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61F9F3" w14:textId="111EEDAE" w:rsidR="00F037C7" w:rsidRPr="00711322" w:rsidRDefault="00F037C7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BEB107" w14:textId="77777777" w:rsidR="00F037C7" w:rsidRPr="00711322" w:rsidRDefault="00F037C7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 Fig. 4. IHC staining of the other two TP53KO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 xml:space="preserve">eHEPO clones B2 and B8 </w:t>
      </w:r>
    </w:p>
    <w:p w14:paraId="089A138B" w14:textId="77777777" w:rsidR="00F037C7" w:rsidRPr="00711322" w:rsidRDefault="00F037C7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proofErr w:type="gramEnd"/>
      <w:r w:rsidRPr="00711322">
        <w:rPr>
          <w:rFonts w:ascii="Times New Roman" w:eastAsia="Times New Roman" w:hAnsi="Times New Roman" w:cs="Times New Roman"/>
          <w:sz w:val="24"/>
          <w:szCs w:val="24"/>
        </w:rPr>
        <w:t xml:space="preserve"> Images represent H&amp;E staining in WT and p53KO clones.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 xml:space="preserve"> B 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 xml:space="preserve">Liver cancer initiation markers GPC3 and MUC1 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 xml:space="preserve">C 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>Differentiation related PAS, ALB and A1AT IHC staining in TP53KO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>eHEPO clones B2 and B8. All figures represent similar scale size with the main figure and 10x zoom.</w:t>
      </w:r>
    </w:p>
    <w:p w14:paraId="19EC5F3D" w14:textId="77777777" w:rsidR="00F037C7" w:rsidRPr="00711322" w:rsidRDefault="00F037C7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0E734A" w14:textId="448604EB" w:rsidR="00F037C7" w:rsidRPr="00711322" w:rsidRDefault="009C69D9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08B0C13" wp14:editId="1DC25D67">
            <wp:extent cx="5760720" cy="8321040"/>
            <wp:effectExtent l="0" t="0" r="0" b="381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32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3C5FEE" w14:textId="77777777" w:rsidR="009C69D9" w:rsidRDefault="009C69D9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169A656" w14:textId="6BBF0554" w:rsidR="00F037C7" w:rsidRPr="00711322" w:rsidRDefault="00F037C7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 Fig. 5. Stem cell and DNA damage in TP53KO</w:t>
      </w:r>
      <w:r w:rsidR="009C69D9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>eHEPOs</w:t>
      </w:r>
    </w:p>
    <w:p w14:paraId="7D1F23E1" w14:textId="77777777" w:rsidR="00F037C7" w:rsidRPr="00711322" w:rsidRDefault="00F037C7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 xml:space="preserve">A 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>The flow cytometry of the CD44</w:t>
      </w:r>
      <w:r>
        <w:rPr>
          <w:rFonts w:ascii="Times New Roman" w:eastAsia="Times New Roman" w:hAnsi="Times New Roman" w:cs="Times New Roman"/>
          <w:sz w:val="24"/>
          <w:szCs w:val="24"/>
        </w:rPr>
        <w:t>, CD133, CD24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 xml:space="preserve"> and CD90 surface markers at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 and 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 xml:space="preserve">day 12 for DM and </w:t>
      </w:r>
      <w:proofErr w:type="spellStart"/>
      <w:r w:rsidRPr="00711322">
        <w:rPr>
          <w:rFonts w:ascii="Times New Roman" w:eastAsia="Times New Roman" w:hAnsi="Times New Roman" w:cs="Times New Roman"/>
          <w:sz w:val="24"/>
          <w:szCs w:val="24"/>
        </w:rPr>
        <w:t>iDM</w:t>
      </w:r>
      <w:proofErr w:type="spellEnd"/>
      <w:r w:rsidRPr="00711322">
        <w:rPr>
          <w:rFonts w:ascii="Times New Roman" w:eastAsia="Times New Roman" w:hAnsi="Times New Roman" w:cs="Times New Roman"/>
          <w:sz w:val="24"/>
          <w:szCs w:val="24"/>
        </w:rPr>
        <w:t xml:space="preserve"> medium. Plots prepared in </w:t>
      </w:r>
      <w:proofErr w:type="spellStart"/>
      <w:r w:rsidRPr="00711322">
        <w:rPr>
          <w:rFonts w:ascii="Times New Roman" w:eastAsia="Times New Roman" w:hAnsi="Times New Roman" w:cs="Times New Roman"/>
          <w:sz w:val="24"/>
          <w:szCs w:val="24"/>
        </w:rPr>
        <w:t>Flowjo</w:t>
      </w:r>
      <w:proofErr w:type="spellEnd"/>
      <w:r w:rsidRPr="00711322">
        <w:rPr>
          <w:rFonts w:ascii="Times New Roman" w:eastAsia="Times New Roman" w:hAnsi="Times New Roman" w:cs="Times New Roman"/>
          <w:sz w:val="24"/>
          <w:szCs w:val="24"/>
        </w:rPr>
        <w:t xml:space="preserve"> software (n = 3). 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 xml:space="preserve">B 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>The IF staining of DNA damage, H2AX-ser139 and cell death, cleaved-caspase3, markers in WT and TP53KO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>eHEPOs (Scales: 50 um).</w:t>
      </w:r>
    </w:p>
    <w:p w14:paraId="2EB06BA5" w14:textId="77777777" w:rsidR="00F037C7" w:rsidRPr="00711322" w:rsidRDefault="00F037C7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11E6AFD" w14:textId="1CB22D75" w:rsidR="00F037C7" w:rsidRPr="00711322" w:rsidRDefault="009C69D9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08C04E7" wp14:editId="01906CFF">
            <wp:extent cx="5760720" cy="8321040"/>
            <wp:effectExtent l="0" t="0" r="0" b="381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32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84AF96" w14:textId="77777777" w:rsidR="009C69D9" w:rsidRDefault="009C69D9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FB41C7" w14:textId="1938DD0B" w:rsidR="00F037C7" w:rsidRPr="00711322" w:rsidRDefault="00F037C7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 Fig. 6. Kaplan Meier Plots of TP53KO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 xml:space="preserve">eHEPOs </w:t>
      </w:r>
    </w:p>
    <w:p w14:paraId="30174F47" w14:textId="1A8EDC0F" w:rsidR="00F037C7" w:rsidRPr="00711322" w:rsidRDefault="00F037C7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1322">
        <w:rPr>
          <w:rFonts w:ascii="Times New Roman" w:eastAsia="Times New Roman" w:hAnsi="Times New Roman" w:cs="Times New Roman"/>
          <w:sz w:val="24"/>
          <w:szCs w:val="24"/>
        </w:rPr>
        <w:t xml:space="preserve">The overall survival (OS) Kaplan </w:t>
      </w:r>
      <w:proofErr w:type="spellStart"/>
      <w:r w:rsidRPr="00711322">
        <w:rPr>
          <w:rFonts w:ascii="Times New Roman" w:eastAsia="Times New Roman" w:hAnsi="Times New Roman" w:cs="Times New Roman"/>
          <w:sz w:val="24"/>
          <w:szCs w:val="24"/>
        </w:rPr>
        <w:t>meier</w:t>
      </w:r>
      <w:proofErr w:type="spellEnd"/>
      <w:r w:rsidRPr="00711322">
        <w:rPr>
          <w:rFonts w:ascii="Times New Roman" w:eastAsia="Times New Roman" w:hAnsi="Times New Roman" w:cs="Times New Roman"/>
          <w:sz w:val="24"/>
          <w:szCs w:val="24"/>
        </w:rPr>
        <w:t xml:space="preserve"> plots of the selected genes related with 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 xml:space="preserve"> Fibrosis 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 xml:space="preserve"> Inflammation 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 xml:space="preserve"> ECM modification and </w:t>
      </w:r>
      <w:r w:rsidRPr="00711322">
        <w:rPr>
          <w:rFonts w:ascii="Times New Roman" w:eastAsia="Times New Roman" w:hAnsi="Times New Roman" w:cs="Times New Roman"/>
          <w:b/>
          <w:sz w:val="24"/>
          <w:szCs w:val="24"/>
        </w:rPr>
        <w:t>D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 xml:space="preserve"> Tumorigenesis gene set enriched in the TP53KO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>eHEPOs. All plots employing median and auto-select best cutoff</w:t>
      </w:r>
      <w:bookmarkStart w:id="0" w:name="_GoBack"/>
      <w:bookmarkEnd w:id="0"/>
      <w:r w:rsidRPr="007113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69D9" w:rsidRPr="00711322">
        <w:rPr>
          <w:rFonts w:ascii="Times New Roman" w:eastAsia="Times New Roman" w:hAnsi="Times New Roman" w:cs="Times New Roman"/>
          <w:sz w:val="24"/>
          <w:szCs w:val="24"/>
        </w:rPr>
        <w:t>parameters</w:t>
      </w:r>
      <w:r w:rsidR="009C69D9">
        <w:rPr>
          <w:rFonts w:ascii="Times New Roman" w:eastAsia="Times New Roman" w:hAnsi="Times New Roman" w:cs="Times New Roman"/>
          <w:sz w:val="24"/>
          <w:szCs w:val="24"/>
        </w:rPr>
        <w:t xml:space="preserve"> [</w:t>
      </w:r>
      <w:r w:rsidR="00680BE9">
        <w:rPr>
          <w:rFonts w:ascii="Times New Roman" w:eastAsia="Times New Roman" w:hAnsi="Times New Roman" w:cs="Times New Roman"/>
          <w:sz w:val="24"/>
          <w:szCs w:val="24"/>
        </w:rPr>
        <w:t>1].</w:t>
      </w:r>
      <w:r w:rsidRPr="00711322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711322">
        <w:rPr>
          <w:rFonts w:ascii="Times New Roman" w:eastAsia="Times New Roman" w:hAnsi="Times New Roman" w:cs="Times New Roman"/>
          <w:sz w:val="24"/>
          <w:szCs w:val="24"/>
        </w:rPr>
        <w:t>Blue frame around COL1A1 represents a non-significant P value.</w:t>
      </w:r>
    </w:p>
    <w:p w14:paraId="0949246C" w14:textId="77777777" w:rsidR="00F037C7" w:rsidRPr="00711322" w:rsidRDefault="00F037C7" w:rsidP="00F037C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4DD6676" w14:textId="591EA40D" w:rsidR="00E500E0" w:rsidRPr="00680BE9" w:rsidRDefault="00680BE9">
      <w:pPr>
        <w:rPr>
          <w:b/>
          <w:bCs/>
        </w:rPr>
      </w:pPr>
      <w:r w:rsidRPr="00680BE9">
        <w:rPr>
          <w:b/>
          <w:bCs/>
        </w:rPr>
        <w:t>Reference:</w:t>
      </w:r>
    </w:p>
    <w:p w14:paraId="0788625D" w14:textId="37AAC55F" w:rsidR="00680BE9" w:rsidRDefault="00680BE9">
      <w:r>
        <w:t xml:space="preserve">1.   </w:t>
      </w:r>
      <w:proofErr w:type="spellStart"/>
      <w:r w:rsidRPr="00680BE9">
        <w:t>Menyhart</w:t>
      </w:r>
      <w:proofErr w:type="spellEnd"/>
      <w:r w:rsidRPr="00680BE9">
        <w:t xml:space="preserve"> O, Nagy A, </w:t>
      </w:r>
      <w:proofErr w:type="spellStart"/>
      <w:r w:rsidRPr="00680BE9">
        <w:t>Gyorffy</w:t>
      </w:r>
      <w:proofErr w:type="spellEnd"/>
      <w:r w:rsidRPr="00680BE9">
        <w:t xml:space="preserve"> B. Determining consistent prognostic biomarkers of overall survival and vascular invasion in hepatocellular carcinoma. R Soc Open Sci., 2018 Dec 5;5(122):181006. </w:t>
      </w:r>
      <w:proofErr w:type="spellStart"/>
      <w:r w:rsidRPr="00680BE9">
        <w:t>doi</w:t>
      </w:r>
      <w:proofErr w:type="spellEnd"/>
      <w:r w:rsidRPr="00680BE9">
        <w:t>: 10.1098/rsos.181006.</w:t>
      </w:r>
    </w:p>
    <w:sectPr w:rsidR="00680B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9F4"/>
    <w:rsid w:val="00680BE9"/>
    <w:rsid w:val="009C69D9"/>
    <w:rsid w:val="00B069F4"/>
    <w:rsid w:val="00E500E0"/>
    <w:rsid w:val="00F03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7C124"/>
  <w15:chartTrackingRefBased/>
  <w15:docId w15:val="{4EFCAFFE-A1FA-4C4D-B9BA-B2257692A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37C7"/>
    <w:rPr>
      <w:rFonts w:ascii="Calibri" w:eastAsia="Calibri" w:hAnsi="Calibri" w:cs="Calibri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12</Pages>
  <Words>453</Words>
  <Characters>2585</Characters>
  <Application>Microsoft Office Word</Application>
  <DocSecurity>0</DocSecurity>
  <Lines>21</Lines>
  <Paragraphs>6</Paragraphs>
  <ScaleCrop>false</ScaleCrop>
  <Company/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default</dc:creator>
  <cp:keywords/>
  <dc:description/>
  <cp:lastModifiedBy>default</cp:lastModifiedBy>
  <cp:revision>4</cp:revision>
  <dcterms:created xsi:type="dcterms:W3CDTF">2024-01-23T22:45:00Z</dcterms:created>
  <dcterms:modified xsi:type="dcterms:W3CDTF">2024-01-24T19:04:00Z</dcterms:modified>
</cp:coreProperties>
</file>