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440" w:lineRule="exact"/>
        <w:jc w:val="center"/>
        <w:textAlignment w:val="baseline"/>
        <w:rPr>
          <w:rFonts w:hint="default" w:ascii="Times New Roman Regular" w:hAnsi="Times New Roman Regular" w:cs="Times New Roman Regular"/>
          <w:b/>
          <w:bCs/>
          <w:caps/>
          <w:smallCaps w:val="0"/>
          <w:sz w:val="24"/>
          <w:szCs w:val="24"/>
        </w:rPr>
      </w:pPr>
    </w:p>
    <w:p>
      <w:pPr>
        <w:keepNext w:val="0"/>
        <w:keepLines w:val="0"/>
        <w:pageBreakBefore w:val="0"/>
        <w:widowControl/>
        <w:kinsoku w:val="0"/>
        <w:wordWrap/>
        <w:overflowPunct/>
        <w:topLinePunct w:val="0"/>
        <w:autoSpaceDE w:val="0"/>
        <w:autoSpaceDN w:val="0"/>
        <w:bidi w:val="0"/>
        <w:adjustRightInd w:val="0"/>
        <w:snapToGrid w:val="0"/>
        <w:spacing w:line="440" w:lineRule="exact"/>
        <w:jc w:val="center"/>
        <w:textAlignment w:val="baseline"/>
        <w:rPr>
          <w:rFonts w:hint="default" w:ascii="Times New Roman Regular" w:hAnsi="Times New Roman Regular" w:cs="Times New Roman Regular"/>
          <w:b/>
          <w:bCs/>
          <w:caps/>
          <w:smallCaps w:val="0"/>
          <w:sz w:val="24"/>
          <w:szCs w:val="24"/>
        </w:rPr>
      </w:pPr>
    </w:p>
    <w:p>
      <w:pPr>
        <w:keepNext w:val="0"/>
        <w:keepLines w:val="0"/>
        <w:pageBreakBefore w:val="0"/>
        <w:widowControl/>
        <w:kinsoku w:val="0"/>
        <w:wordWrap/>
        <w:overflowPunct/>
        <w:topLinePunct w:val="0"/>
        <w:autoSpaceDE w:val="0"/>
        <w:autoSpaceDN w:val="0"/>
        <w:bidi w:val="0"/>
        <w:adjustRightInd w:val="0"/>
        <w:snapToGrid w:val="0"/>
        <w:spacing w:line="440" w:lineRule="exact"/>
        <w:jc w:val="center"/>
        <w:textAlignment w:val="baseline"/>
        <w:rPr>
          <w:rFonts w:hint="default" w:ascii="Times New Roman Regular" w:hAnsi="Times New Roman Regular" w:cs="Times New Roman Regular"/>
          <w:b/>
          <w:bCs/>
          <w:caps/>
          <w:smallCaps w:val="0"/>
          <w:sz w:val="28"/>
          <w:szCs w:val="28"/>
        </w:rPr>
      </w:pPr>
      <w:r>
        <w:rPr>
          <w:rFonts w:hint="default" w:ascii="Times New Roman Regular" w:hAnsi="Times New Roman Regular" w:cs="Times New Roman Regular"/>
          <w:b/>
          <w:bCs/>
          <w:caps/>
          <w:smallCaps w:val="0"/>
          <w:sz w:val="28"/>
          <w:szCs w:val="28"/>
        </w:rPr>
        <w:fldChar w:fldCharType="begin"/>
      </w:r>
      <w:r>
        <w:rPr>
          <w:rFonts w:hint="default" w:ascii="Times New Roman Regular" w:hAnsi="Times New Roman Regular" w:cs="Times New Roman Regular"/>
          <w:b/>
          <w:bCs/>
          <w:caps/>
          <w:smallCaps w:val="0"/>
          <w:sz w:val="28"/>
          <w:szCs w:val="28"/>
        </w:rPr>
        <w:instrText xml:space="preserve"> HYPERLINK "http://www.frontiersin.org/Journal/Abstract.aspx?d=0&amp;name=Radiation_Oncology&amp;ART_DOI=10.3389/fonc.2022.878851" \t "https://review.frontiersin.org/review/878851/17/1513055/" \l "tab/_blank" </w:instrText>
      </w:r>
      <w:r>
        <w:rPr>
          <w:rFonts w:hint="default" w:ascii="Times New Roman Regular" w:hAnsi="Times New Roman Regular" w:cs="Times New Roman Regular"/>
          <w:b/>
          <w:bCs/>
          <w:caps/>
          <w:smallCaps w:val="0"/>
          <w:sz w:val="28"/>
          <w:szCs w:val="28"/>
        </w:rPr>
        <w:fldChar w:fldCharType="separate"/>
      </w:r>
      <w:r>
        <w:rPr>
          <w:rFonts w:hint="default" w:ascii="Times New Roman Regular" w:hAnsi="Times New Roman Regular" w:cs="Times New Roman Regular"/>
          <w:b/>
          <w:bCs/>
          <w:caps/>
          <w:smallCaps w:val="0"/>
          <w:sz w:val="28"/>
          <w:szCs w:val="28"/>
        </w:rPr>
        <w:t>Toripalimab in combination with induction chemotherapy and subsequent chemoradiation as first-line treatment in patients with advanced esophageal carcinoma:</w:t>
      </w:r>
    </w:p>
    <w:p>
      <w:pPr>
        <w:keepNext w:val="0"/>
        <w:keepLines w:val="0"/>
        <w:pageBreakBefore w:val="0"/>
        <w:widowControl/>
        <w:kinsoku w:val="0"/>
        <w:wordWrap/>
        <w:overflowPunct/>
        <w:topLinePunct w:val="0"/>
        <w:autoSpaceDE w:val="0"/>
        <w:autoSpaceDN w:val="0"/>
        <w:bidi w:val="0"/>
        <w:adjustRightInd w:val="0"/>
        <w:snapToGrid w:val="0"/>
        <w:spacing w:line="440" w:lineRule="exact"/>
        <w:jc w:val="center"/>
        <w:textAlignment w:val="baseline"/>
        <w:rPr>
          <w:rFonts w:hint="default" w:ascii="Times New Roman Regular" w:hAnsi="Times New Roman Regular" w:cs="Times New Roman Regular"/>
          <w:b/>
          <w:bCs/>
          <w:caps/>
          <w:smallCaps w:val="0"/>
          <w:sz w:val="28"/>
          <w:szCs w:val="28"/>
        </w:rPr>
      </w:pPr>
      <w:r>
        <w:rPr>
          <w:rFonts w:hint="default" w:ascii="Times New Roman Regular" w:hAnsi="Times New Roman Regular" w:cs="Times New Roman Regular"/>
          <w:b/>
          <w:bCs/>
          <w:caps/>
          <w:smallCaps w:val="0"/>
          <w:sz w:val="28"/>
          <w:szCs w:val="28"/>
        </w:rPr>
        <w:t>a single-arm, prospective, open-label, phase II clinical trial (TR-EAT)</w:t>
      </w:r>
      <w:r>
        <w:rPr>
          <w:rFonts w:hint="default" w:ascii="Times New Roman Regular" w:hAnsi="Times New Roman Regular" w:cs="Times New Roman Regular"/>
          <w:b/>
          <w:bCs/>
          <w:caps/>
          <w:smallCaps w:val="0"/>
          <w:sz w:val="28"/>
          <w:szCs w:val="28"/>
        </w:rPr>
        <w:fldChar w:fldCharType="end"/>
      </w:r>
    </w:p>
    <w:p>
      <w:pPr>
        <w:keepNext w:val="0"/>
        <w:keepLines w:val="0"/>
        <w:pageBreakBefore w:val="0"/>
        <w:widowControl/>
        <w:kinsoku w:val="0"/>
        <w:wordWrap/>
        <w:overflowPunct/>
        <w:topLinePunct w:val="0"/>
        <w:autoSpaceDE w:val="0"/>
        <w:autoSpaceDN w:val="0"/>
        <w:bidi w:val="0"/>
        <w:adjustRightInd w:val="0"/>
        <w:snapToGrid w:val="0"/>
        <w:spacing w:line="440" w:lineRule="exact"/>
        <w:jc w:val="center"/>
        <w:textAlignment w:val="baseline"/>
        <w:rPr>
          <w:rFonts w:hint="default" w:ascii="Times New Roman Regular" w:hAnsi="Times New Roman Regular" w:cs="Times New Roman Regular"/>
          <w:b/>
          <w:bCs/>
          <w:caps w:val="0"/>
          <w:sz w:val="28"/>
          <w:szCs w:val="28"/>
        </w:rPr>
      </w:pPr>
    </w:p>
    <w:p>
      <w:pPr>
        <w:keepNext w:val="0"/>
        <w:keepLines w:val="0"/>
        <w:pageBreakBefore w:val="0"/>
        <w:widowControl/>
        <w:kinsoku w:val="0"/>
        <w:wordWrap/>
        <w:overflowPunct/>
        <w:topLinePunct w:val="0"/>
        <w:autoSpaceDE w:val="0"/>
        <w:autoSpaceDN w:val="0"/>
        <w:bidi w:val="0"/>
        <w:adjustRightInd w:val="0"/>
        <w:snapToGrid w:val="0"/>
        <w:spacing w:line="440" w:lineRule="exact"/>
        <w:jc w:val="center"/>
        <w:textAlignment w:val="baseline"/>
        <w:rPr>
          <w:rFonts w:hint="default" w:ascii="Times New Roman Regular" w:hAnsi="Times New Roman Regular" w:cs="Times New Roman Regular"/>
          <w:b/>
          <w:bCs/>
          <w:caps w:val="0"/>
          <w:sz w:val="28"/>
          <w:szCs w:val="28"/>
        </w:rPr>
      </w:pPr>
    </w:p>
    <w:p>
      <w:pPr>
        <w:keepNext w:val="0"/>
        <w:keepLines w:val="0"/>
        <w:pageBreakBefore w:val="0"/>
        <w:widowControl/>
        <w:kinsoku w:val="0"/>
        <w:wordWrap/>
        <w:overflowPunct/>
        <w:topLinePunct w:val="0"/>
        <w:autoSpaceDE w:val="0"/>
        <w:autoSpaceDN w:val="0"/>
        <w:bidi w:val="0"/>
        <w:adjustRightInd w:val="0"/>
        <w:snapToGrid w:val="0"/>
        <w:spacing w:line="440" w:lineRule="exact"/>
        <w:jc w:val="center"/>
        <w:textAlignment w:val="baseline"/>
        <w:rPr>
          <w:rFonts w:hint="default" w:ascii="Times New Roman Regular" w:hAnsi="Times New Roman Regular" w:cs="Times New Roman Regular"/>
          <w:b/>
          <w:bCs/>
          <w:caps w:val="0"/>
          <w:sz w:val="28"/>
          <w:szCs w:val="28"/>
        </w:rPr>
      </w:pPr>
      <w:r>
        <w:rPr>
          <w:rFonts w:hint="default" w:ascii="Times New Roman Regular" w:hAnsi="Times New Roman Regular" w:cs="Times New Roman Regular"/>
          <w:b/>
          <w:bCs/>
          <w:caps w:val="0"/>
          <w:sz w:val="28"/>
          <w:szCs w:val="28"/>
        </w:rPr>
        <w:t>Clinical Research Protocol</w:t>
      </w:r>
    </w:p>
    <w:p>
      <w:pPr>
        <w:keepNext w:val="0"/>
        <w:keepLines w:val="0"/>
        <w:pageBreakBefore w:val="0"/>
        <w:widowControl/>
        <w:kinsoku w:val="0"/>
        <w:wordWrap/>
        <w:overflowPunct/>
        <w:topLinePunct w:val="0"/>
        <w:autoSpaceDE w:val="0"/>
        <w:autoSpaceDN w:val="0"/>
        <w:bidi w:val="0"/>
        <w:adjustRightInd w:val="0"/>
        <w:snapToGrid w:val="0"/>
        <w:spacing w:line="440" w:lineRule="exact"/>
        <w:jc w:val="center"/>
        <w:textAlignment w:val="baseline"/>
        <w:rPr>
          <w:rFonts w:hint="default" w:ascii="Times New Roman Regular" w:hAnsi="Times New Roman Regular" w:cs="Times New Roman Regular"/>
          <w:b/>
          <w:bCs/>
          <w:sz w:val="24"/>
          <w:szCs w:val="36"/>
        </w:rPr>
      </w:pPr>
    </w:p>
    <w:p>
      <w:pPr>
        <w:keepNext w:val="0"/>
        <w:keepLines w:val="0"/>
        <w:pageBreakBefore w:val="0"/>
        <w:widowControl/>
        <w:kinsoku w:val="0"/>
        <w:wordWrap/>
        <w:overflowPunct/>
        <w:topLinePunct w:val="0"/>
        <w:autoSpaceDE w:val="0"/>
        <w:autoSpaceDN w:val="0"/>
        <w:bidi w:val="0"/>
        <w:adjustRightInd w:val="0"/>
        <w:snapToGrid w:val="0"/>
        <w:spacing w:line="440" w:lineRule="exact"/>
        <w:jc w:val="center"/>
        <w:textAlignment w:val="baseline"/>
        <w:rPr>
          <w:rFonts w:hint="default" w:ascii="Times New Roman Regular" w:hAnsi="Times New Roman Regular" w:cs="Times New Roman Regular"/>
          <w:b/>
          <w:bCs/>
          <w:sz w:val="24"/>
          <w:szCs w:val="36"/>
        </w:rPr>
      </w:pPr>
    </w:p>
    <w:p>
      <w:pPr>
        <w:keepNext w:val="0"/>
        <w:keepLines w:val="0"/>
        <w:pageBreakBefore w:val="0"/>
        <w:widowControl/>
        <w:kinsoku w:val="0"/>
        <w:wordWrap/>
        <w:overflowPunct/>
        <w:topLinePunct w:val="0"/>
        <w:autoSpaceDE w:val="0"/>
        <w:autoSpaceDN w:val="0"/>
        <w:bidi w:val="0"/>
        <w:adjustRightInd w:val="0"/>
        <w:snapToGrid w:val="0"/>
        <w:spacing w:line="440" w:lineRule="exact"/>
        <w:jc w:val="center"/>
        <w:textAlignment w:val="baseline"/>
        <w:rPr>
          <w:rFonts w:hint="default" w:ascii="Times New Roman Regular" w:hAnsi="Times New Roman Regular" w:cs="Times New Roman Regular"/>
          <w:b/>
          <w:bCs/>
          <w:sz w:val="24"/>
          <w:szCs w:val="36"/>
        </w:rPr>
      </w:pPr>
    </w:p>
    <w:p>
      <w:pPr>
        <w:keepNext w:val="0"/>
        <w:keepLines w:val="0"/>
        <w:pageBreakBefore w:val="0"/>
        <w:widowControl/>
        <w:kinsoku w:val="0"/>
        <w:wordWrap/>
        <w:overflowPunct/>
        <w:topLinePunct w:val="0"/>
        <w:autoSpaceDE w:val="0"/>
        <w:autoSpaceDN w:val="0"/>
        <w:bidi w:val="0"/>
        <w:adjustRightInd w:val="0"/>
        <w:snapToGrid w:val="0"/>
        <w:spacing w:line="440" w:lineRule="exact"/>
        <w:jc w:val="center"/>
        <w:textAlignment w:val="baseline"/>
        <w:rPr>
          <w:rFonts w:hint="default" w:ascii="Times New Roman Regular" w:hAnsi="Times New Roman Regular" w:cs="Times New Roman Regular"/>
          <w:b/>
          <w:bCs/>
          <w:sz w:val="24"/>
          <w:szCs w:val="36"/>
        </w:rPr>
      </w:pPr>
    </w:p>
    <w:p>
      <w:pPr>
        <w:keepNext w:val="0"/>
        <w:keepLines w:val="0"/>
        <w:pageBreakBefore w:val="0"/>
        <w:widowControl/>
        <w:kinsoku w:val="0"/>
        <w:wordWrap/>
        <w:overflowPunct/>
        <w:topLinePunct w:val="0"/>
        <w:autoSpaceDE w:val="0"/>
        <w:autoSpaceDN w:val="0"/>
        <w:bidi w:val="0"/>
        <w:adjustRightInd w:val="0"/>
        <w:snapToGrid w:val="0"/>
        <w:spacing w:line="440" w:lineRule="exact"/>
        <w:jc w:val="center"/>
        <w:textAlignment w:val="baseline"/>
        <w:rPr>
          <w:rFonts w:hint="default" w:ascii="Times New Roman Regular" w:hAnsi="Times New Roman Regular" w:cs="Times New Roman Regular"/>
          <w:b/>
          <w:bCs/>
          <w:sz w:val="24"/>
          <w:szCs w:val="36"/>
        </w:rPr>
      </w:pPr>
    </w:p>
    <w:p>
      <w:pPr>
        <w:keepNext w:val="0"/>
        <w:keepLines w:val="0"/>
        <w:pageBreakBefore w:val="0"/>
        <w:widowControl/>
        <w:kinsoku w:val="0"/>
        <w:wordWrap/>
        <w:overflowPunct/>
        <w:topLinePunct w:val="0"/>
        <w:autoSpaceDE w:val="0"/>
        <w:autoSpaceDN w:val="0"/>
        <w:bidi w:val="0"/>
        <w:adjustRightInd w:val="0"/>
        <w:snapToGrid w:val="0"/>
        <w:spacing w:line="440" w:lineRule="exact"/>
        <w:jc w:val="center"/>
        <w:textAlignment w:val="baseline"/>
        <w:rPr>
          <w:rFonts w:hint="default" w:ascii="Times New Roman Regular" w:hAnsi="Times New Roman Regular" w:cs="Times New Roman Regular"/>
          <w:b/>
          <w:bCs/>
          <w:sz w:val="28"/>
          <w:szCs w:val="28"/>
        </w:rPr>
      </w:pPr>
      <w:r>
        <w:rPr>
          <w:rFonts w:hint="default" w:ascii="Times New Roman Regular" w:hAnsi="Times New Roman Regular" w:cs="Times New Roman Regular"/>
          <w:b/>
          <w:bCs/>
          <w:sz w:val="28"/>
          <w:szCs w:val="28"/>
        </w:rPr>
        <w:t>Principal Investigator</w:t>
      </w:r>
    </w:p>
    <w:p>
      <w:pPr>
        <w:keepNext w:val="0"/>
        <w:keepLines w:val="0"/>
        <w:pageBreakBefore w:val="0"/>
        <w:widowControl/>
        <w:kinsoku w:val="0"/>
        <w:wordWrap/>
        <w:overflowPunct/>
        <w:topLinePunct w:val="0"/>
        <w:autoSpaceDE w:val="0"/>
        <w:autoSpaceDN w:val="0"/>
        <w:bidi w:val="0"/>
        <w:adjustRightInd w:val="0"/>
        <w:snapToGrid w:val="0"/>
        <w:spacing w:line="440" w:lineRule="exact"/>
        <w:jc w:val="center"/>
        <w:textAlignment w:val="baseline"/>
        <w:rPr>
          <w:rFonts w:hint="default" w:ascii="Times New Roman Regular" w:hAnsi="Times New Roman Regular" w:eastAsia="宋体" w:cs="Times New Roman Regular"/>
          <w:sz w:val="20"/>
          <w:szCs w:val="20"/>
          <w:lang w:val="en-US" w:eastAsia="zh-CN"/>
        </w:rPr>
      </w:pPr>
      <w:r>
        <w:rPr>
          <w:rFonts w:hint="default" w:ascii="Times New Roman Regular" w:hAnsi="Times New Roman Regular" w:cs="Times New Roman Regular"/>
          <w:sz w:val="20"/>
          <w:szCs w:val="20"/>
        </w:rPr>
        <w:t>Pr</w:t>
      </w:r>
      <w:r>
        <w:rPr>
          <w:rFonts w:hint="default" w:ascii="Times New Roman Regular" w:hAnsi="Times New Roman Regular" w:eastAsia="宋体" w:cs="Times New Roman Regular"/>
          <w:sz w:val="20"/>
          <w:szCs w:val="20"/>
          <w:lang w:val="en-US" w:eastAsia="zh-CN"/>
        </w:rPr>
        <w:t>ofessor Qifeng Wang</w:t>
      </w:r>
    </w:p>
    <w:p>
      <w:pPr>
        <w:keepNext w:val="0"/>
        <w:keepLines w:val="0"/>
        <w:pageBreakBefore w:val="0"/>
        <w:widowControl/>
        <w:kinsoku w:val="0"/>
        <w:wordWrap/>
        <w:overflowPunct/>
        <w:topLinePunct w:val="0"/>
        <w:autoSpaceDE w:val="0"/>
        <w:autoSpaceDN w:val="0"/>
        <w:bidi w:val="0"/>
        <w:adjustRightInd w:val="0"/>
        <w:snapToGrid w:val="0"/>
        <w:spacing w:line="440" w:lineRule="exact"/>
        <w:jc w:val="center"/>
        <w:textAlignment w:val="baseline"/>
        <w:rPr>
          <w:rFonts w:hint="default" w:ascii="Times New Roman Regular" w:hAnsi="Times New Roman Regular" w:eastAsia="宋体" w:cs="Times New Roman Regular"/>
          <w:sz w:val="20"/>
          <w:szCs w:val="20"/>
          <w:lang w:val="en-US" w:eastAsia="zh-CN"/>
        </w:rPr>
      </w:pPr>
      <w:r>
        <w:rPr>
          <w:rFonts w:hint="default" w:ascii="Times New Roman Regular" w:hAnsi="Times New Roman Regular" w:eastAsia="宋体" w:cs="Times New Roman Regular"/>
          <w:sz w:val="20"/>
          <w:szCs w:val="20"/>
          <w:lang w:val="en-US" w:eastAsia="zh-CN"/>
        </w:rPr>
        <w:t>Department of Radiation Oncology, Sichuan Cancer Hospital,</w:t>
      </w:r>
    </w:p>
    <w:p>
      <w:pPr>
        <w:keepNext w:val="0"/>
        <w:keepLines w:val="0"/>
        <w:pageBreakBefore w:val="0"/>
        <w:widowControl/>
        <w:kinsoku w:val="0"/>
        <w:wordWrap/>
        <w:overflowPunct/>
        <w:topLinePunct w:val="0"/>
        <w:autoSpaceDE w:val="0"/>
        <w:autoSpaceDN w:val="0"/>
        <w:bidi w:val="0"/>
        <w:adjustRightInd w:val="0"/>
        <w:snapToGrid w:val="0"/>
        <w:spacing w:line="440" w:lineRule="exact"/>
        <w:jc w:val="center"/>
        <w:textAlignment w:val="baseline"/>
        <w:rPr>
          <w:rFonts w:hint="default" w:ascii="Times New Roman Regular" w:hAnsi="Times New Roman Regular" w:eastAsia="宋体" w:cs="Times New Roman Regular"/>
          <w:sz w:val="20"/>
          <w:szCs w:val="20"/>
          <w:lang w:val="en-US" w:eastAsia="zh-CN"/>
        </w:rPr>
      </w:pPr>
      <w:r>
        <w:rPr>
          <w:rFonts w:hint="default" w:ascii="Times New Roman Regular" w:hAnsi="Times New Roman Regular" w:eastAsia="宋体" w:cs="Times New Roman Regular"/>
          <w:sz w:val="20"/>
          <w:szCs w:val="20"/>
          <w:lang w:val="en-US" w:eastAsia="zh-CN"/>
        </w:rPr>
        <w:t>No.55 South Renmin Road, Chengdu 610041, China.</w:t>
      </w:r>
    </w:p>
    <w:p>
      <w:pPr>
        <w:keepNext w:val="0"/>
        <w:keepLines w:val="0"/>
        <w:pageBreakBefore w:val="0"/>
        <w:widowControl/>
        <w:kinsoku w:val="0"/>
        <w:wordWrap/>
        <w:overflowPunct/>
        <w:topLinePunct w:val="0"/>
        <w:autoSpaceDE w:val="0"/>
        <w:autoSpaceDN w:val="0"/>
        <w:bidi w:val="0"/>
        <w:adjustRightInd w:val="0"/>
        <w:snapToGrid w:val="0"/>
        <w:spacing w:line="440" w:lineRule="exact"/>
        <w:jc w:val="center"/>
        <w:textAlignment w:val="baseline"/>
        <w:rPr>
          <w:rFonts w:hint="default" w:ascii="Times New Roman Regular" w:hAnsi="Times New Roman Regular" w:cs="Times New Roman Regular"/>
          <w:sz w:val="20"/>
          <w:szCs w:val="20"/>
        </w:rPr>
      </w:pPr>
      <w:r>
        <w:rPr>
          <w:rFonts w:hint="default" w:ascii="Times New Roman Regular" w:hAnsi="Times New Roman Regular" w:eastAsia="宋体" w:cs="Times New Roman Regular"/>
          <w:sz w:val="20"/>
          <w:szCs w:val="20"/>
          <w:lang w:val="en-US" w:eastAsia="zh-CN"/>
        </w:rPr>
        <w:t xml:space="preserve">E-mail: </w:t>
      </w:r>
      <w:r>
        <w:rPr>
          <w:rFonts w:hint="default" w:ascii="Times New Roman Regular" w:hAnsi="Times New Roman Regular" w:eastAsia="宋体" w:cs="Times New Roman Regular"/>
          <w:sz w:val="20"/>
          <w:szCs w:val="20"/>
          <w:lang w:val="en-US" w:eastAsia="zh-CN"/>
        </w:rPr>
        <w:fldChar w:fldCharType="begin"/>
      </w:r>
      <w:r>
        <w:rPr>
          <w:rFonts w:hint="default" w:ascii="Times New Roman Regular" w:hAnsi="Times New Roman Regular" w:eastAsia="宋体" w:cs="Times New Roman Regular"/>
          <w:sz w:val="20"/>
          <w:szCs w:val="20"/>
          <w:lang w:val="en-US" w:eastAsia="zh-CN"/>
        </w:rPr>
        <w:instrText xml:space="preserve"> HYPERLINK "mailto:littlecancer@163.com;" </w:instrText>
      </w:r>
      <w:r>
        <w:rPr>
          <w:rFonts w:hint="default" w:ascii="Times New Roman Regular" w:hAnsi="Times New Roman Regular" w:eastAsia="宋体" w:cs="Times New Roman Regular"/>
          <w:sz w:val="20"/>
          <w:szCs w:val="20"/>
          <w:lang w:val="en-US" w:eastAsia="zh-CN"/>
        </w:rPr>
        <w:fldChar w:fldCharType="separate"/>
      </w:r>
      <w:r>
        <w:rPr>
          <w:rFonts w:hint="default" w:ascii="Times New Roman Regular" w:hAnsi="Times New Roman Regular" w:eastAsia="宋体" w:cs="Times New Roman Regular"/>
          <w:sz w:val="20"/>
          <w:szCs w:val="20"/>
          <w:lang w:val="en-US" w:eastAsia="zh-CN"/>
        </w:rPr>
        <w:t>wangqifeng</w:t>
      </w:r>
      <w:r>
        <w:rPr>
          <w:rFonts w:hint="default" w:ascii="Times New Roman Regular" w:hAnsi="Times New Roman Regular" w:eastAsia="宋体" w:cs="Times New Roman Regular"/>
          <w:sz w:val="20"/>
          <w:szCs w:val="20"/>
          <w:lang w:val="en-US" w:eastAsia="zh-Hans"/>
        </w:rPr>
        <w:t>@</w:t>
      </w:r>
      <w:r>
        <w:rPr>
          <w:rFonts w:hint="default" w:ascii="Times New Roman Regular" w:hAnsi="Times New Roman Regular" w:eastAsia="宋体" w:cs="Times New Roman Regular"/>
          <w:sz w:val="20"/>
          <w:szCs w:val="20"/>
          <w:lang w:val="en-US" w:eastAsia="zh-CN"/>
        </w:rPr>
        <w:t>scszlyy</w:t>
      </w:r>
      <w:r>
        <w:rPr>
          <w:rFonts w:hint="default" w:ascii="Times New Roman Regular" w:hAnsi="Times New Roman Regular" w:eastAsia="宋体" w:cs="Times New Roman Regular"/>
          <w:sz w:val="20"/>
          <w:szCs w:val="20"/>
          <w:lang w:val="en-US" w:eastAsia="zh-Hans"/>
        </w:rPr>
        <w:t>.</w:t>
      </w:r>
      <w:r>
        <w:rPr>
          <w:rFonts w:hint="default" w:ascii="Times New Roman Regular" w:hAnsi="Times New Roman Regular" w:eastAsia="宋体" w:cs="Times New Roman Regular"/>
          <w:sz w:val="20"/>
          <w:szCs w:val="20"/>
          <w:lang w:val="en-US" w:eastAsia="zh-CN"/>
        </w:rPr>
        <w:t>org.cn</w:t>
      </w:r>
      <w:r>
        <w:rPr>
          <w:rFonts w:hint="default" w:ascii="Times New Roman Regular" w:hAnsi="Times New Roman Regular" w:eastAsia="宋体" w:cs="Times New Roman Regular"/>
          <w:sz w:val="20"/>
          <w:szCs w:val="20"/>
          <w:lang w:val="en-US" w:eastAsia="zh-Hans"/>
        </w:rPr>
        <w:fldChar w:fldCharType="end"/>
      </w:r>
      <w:r>
        <w:rPr>
          <w:rFonts w:hint="default" w:ascii="Times New Roman Regular" w:hAnsi="Times New Roman Regular" w:eastAsia="宋体" w:cs="Times New Roman Regular"/>
          <w:sz w:val="20"/>
          <w:szCs w:val="20"/>
          <w:lang w:val="en-US" w:eastAsia="zh-Hans"/>
        </w:rPr>
        <w:t>.</w:t>
      </w:r>
    </w:p>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Regular" w:hAnsi="Times New Roman Regular" w:cs="Times New Roman Regular"/>
          <w:sz w:val="20"/>
          <w:szCs w:val="20"/>
        </w:rPr>
      </w:pPr>
    </w:p>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Regular" w:hAnsi="Times New Roman Regular" w:cs="Times New Roman Regular"/>
          <w:sz w:val="20"/>
          <w:szCs w:val="20"/>
        </w:rPr>
      </w:pPr>
    </w:p>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Regular" w:hAnsi="Times New Roman Regular" w:cs="Times New Roman Regular"/>
          <w:sz w:val="20"/>
          <w:szCs w:val="20"/>
        </w:rPr>
      </w:pPr>
    </w:p>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Regular" w:hAnsi="Times New Roman Regular" w:cs="Times New Roman Regular"/>
          <w:sz w:val="20"/>
          <w:szCs w:val="20"/>
        </w:rPr>
      </w:pPr>
    </w:p>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Regular" w:hAnsi="Times New Roman Regular" w:cs="Times New Roman Regular"/>
          <w:sz w:val="20"/>
          <w:szCs w:val="20"/>
        </w:rPr>
      </w:pPr>
    </w:p>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Regular" w:hAnsi="Times New Roman Regular" w:cs="Times New Roman Regular"/>
          <w:sz w:val="20"/>
          <w:szCs w:val="20"/>
        </w:rPr>
      </w:pPr>
    </w:p>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Regular" w:hAnsi="Times New Roman Regular" w:cs="Times New Roman Regular"/>
          <w:sz w:val="20"/>
          <w:szCs w:val="20"/>
        </w:rPr>
      </w:pPr>
    </w:p>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Regular" w:hAnsi="Times New Roman Regular" w:eastAsia="宋体" w:cs="Times New Roman Regular"/>
          <w:sz w:val="20"/>
          <w:szCs w:val="20"/>
          <w:lang w:val="en-US" w:eastAsia="zh-CN"/>
        </w:rPr>
      </w:pPr>
      <w:r>
        <w:rPr>
          <w:rFonts w:hint="default" w:ascii="Times New Roman Regular" w:hAnsi="Times New Roman Regular" w:cs="Times New Roman Regular"/>
          <w:sz w:val="20"/>
          <w:szCs w:val="20"/>
        </w:rPr>
        <w:t>Participating center: S</w:t>
      </w:r>
      <w:r>
        <w:rPr>
          <w:rFonts w:hint="default" w:ascii="Times New Roman Regular" w:hAnsi="Times New Roman Regular" w:cs="Times New Roman Regular"/>
          <w:sz w:val="20"/>
          <w:szCs w:val="20"/>
          <w:lang w:val="en-US" w:eastAsia="zh-CN"/>
        </w:rPr>
        <w:t>ichuan</w:t>
      </w:r>
      <w:r>
        <w:rPr>
          <w:rFonts w:hint="default" w:ascii="Times New Roman Regular" w:hAnsi="Times New Roman Regular" w:cs="Times New Roman Regular"/>
          <w:sz w:val="20"/>
          <w:szCs w:val="20"/>
        </w:rPr>
        <w:t xml:space="preserve"> Cancer </w:t>
      </w:r>
      <w:r>
        <w:rPr>
          <w:rFonts w:hint="default" w:ascii="Times New Roman Regular" w:hAnsi="Times New Roman Regular" w:eastAsia="宋体" w:cs="Times New Roman Regular"/>
          <w:sz w:val="20"/>
          <w:szCs w:val="20"/>
          <w:lang w:val="en-US" w:eastAsia="zh-CN"/>
        </w:rPr>
        <w:t>Hospital</w:t>
      </w:r>
    </w:p>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Regular" w:hAnsi="Times New Roman Regular" w:cs="Times New Roman Regular"/>
          <w:sz w:val="20"/>
          <w:szCs w:val="20"/>
        </w:rPr>
      </w:pPr>
    </w:p>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Regular" w:hAnsi="Times New Roman Regular" w:cs="Times New Roman Regular"/>
          <w:sz w:val="20"/>
          <w:szCs w:val="20"/>
        </w:rPr>
      </w:pPr>
    </w:p>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Regular" w:hAnsi="Times New Roman Regular" w:cs="Times New Roman Regular"/>
          <w:sz w:val="20"/>
          <w:szCs w:val="20"/>
        </w:rPr>
      </w:pPr>
    </w:p>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Regular" w:hAnsi="Times New Roman Regular" w:cs="Times New Roman Regular"/>
          <w:sz w:val="20"/>
          <w:szCs w:val="20"/>
        </w:rPr>
      </w:pPr>
    </w:p>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Regular" w:hAnsi="Times New Roman Regular" w:eastAsia="宋体" w:cs="Times New Roman Regular"/>
          <w:sz w:val="20"/>
          <w:szCs w:val="20"/>
          <w:lang w:val="en-US" w:eastAsia="zh-CN"/>
        </w:rPr>
      </w:pPr>
      <w:r>
        <w:rPr>
          <w:rFonts w:hint="default" w:ascii="Times New Roman Regular" w:hAnsi="Times New Roman Regular" w:cs="Times New Roman Regular"/>
          <w:sz w:val="20"/>
          <w:szCs w:val="20"/>
        </w:rPr>
        <w:t xml:space="preserve">Version number / date: </w:t>
      </w:r>
      <w:r>
        <w:rPr>
          <w:rFonts w:hint="default" w:ascii="Times New Roman Regular" w:hAnsi="Times New Roman Regular" w:eastAsia="宋体" w:cs="Times New Roman Regular"/>
          <w:sz w:val="20"/>
          <w:szCs w:val="20"/>
          <w:lang w:val="en-US" w:eastAsia="zh-CN"/>
        </w:rPr>
        <w:t>2</w:t>
      </w:r>
      <w:r>
        <w:rPr>
          <w:rFonts w:hint="default" w:ascii="Times New Roman Regular" w:hAnsi="Times New Roman Regular" w:cs="Times New Roman Regular"/>
          <w:sz w:val="20"/>
          <w:szCs w:val="20"/>
        </w:rPr>
        <w:t xml:space="preserve">.0 / </w:t>
      </w:r>
      <w:r>
        <w:rPr>
          <w:rFonts w:hint="default" w:ascii="Times New Roman Regular" w:hAnsi="Times New Roman Regular" w:eastAsia="宋体" w:cs="Times New Roman Regular"/>
          <w:sz w:val="20"/>
          <w:szCs w:val="20"/>
          <w:lang w:val="en-US" w:eastAsia="zh-CN"/>
        </w:rPr>
        <w:t>7</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M</w:t>
      </w:r>
      <w:r>
        <w:rPr>
          <w:rFonts w:hint="default" w:ascii="Times New Roman Regular" w:hAnsi="Times New Roman Regular" w:eastAsia="宋体" w:cs="Times New Roman Regular"/>
          <w:sz w:val="20"/>
          <w:szCs w:val="20"/>
          <w:lang w:val="en-US" w:eastAsia="zh-CN"/>
        </w:rPr>
        <w:t>ay</w:t>
      </w:r>
      <w:r>
        <w:rPr>
          <w:rFonts w:hint="default" w:ascii="Times New Roman Regular" w:hAnsi="Times New Roman Regular" w:cs="Times New Roman Regular"/>
          <w:sz w:val="20"/>
          <w:szCs w:val="20"/>
        </w:rPr>
        <w:t xml:space="preserve"> </w:t>
      </w:r>
      <w:r>
        <w:rPr>
          <w:rFonts w:hint="eastAsia" w:ascii="Times New Roman Regular" w:hAnsi="Times New Roman Regular" w:eastAsia="宋体" w:cs="Times New Roman Regular"/>
          <w:sz w:val="20"/>
          <w:szCs w:val="20"/>
          <w:lang w:val="en-US" w:eastAsia="zh-CN"/>
        </w:rPr>
        <w:t>2022</w:t>
      </w:r>
      <w:bookmarkStart w:id="58" w:name="_GoBack"/>
      <w:bookmarkEnd w:id="58"/>
    </w:p>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Regular" w:hAnsi="Times New Roman Regular" w:cs="Times New Roman Regular"/>
        </w:rPr>
        <w:sectPr>
          <w:pgSz w:w="11907" w:h="16839"/>
          <w:pgMar w:top="1431" w:right="1785" w:bottom="1453" w:left="1785" w:header="0" w:footer="1230" w:gutter="0"/>
          <w:pgNumType w:fmt="numberInDash"/>
          <w:cols w:space="720" w:num="1"/>
        </w:sectPr>
      </w:pPr>
    </w:p>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Regular" w:hAnsi="Times New Roman Regular" w:cs="Times New Roman Regular"/>
          <w:sz w:val="24"/>
          <w:szCs w:val="24"/>
          <w:highlight w:val="yellow"/>
        </w:rPr>
      </w:pPr>
      <w:r>
        <w:rPr>
          <w:rFonts w:hint="default" w:ascii="Times New Roman Regular" w:hAnsi="Times New Roman Regular" w:cs="Times New Roman Regular"/>
          <w:b/>
          <w:bCs/>
          <w:sz w:val="24"/>
          <w:szCs w:val="24"/>
          <w:highlight w:val="none"/>
        </w:rPr>
        <w:t>Table of Contents</w:t>
      </w:r>
    </w:p>
    <w:sdt>
      <w:sdtPr>
        <w:rPr>
          <w:rFonts w:hint="default" w:ascii="Times New Roman Regular" w:hAnsi="Times New Roman Regular" w:eastAsia="宋体" w:cs="Times New Roman Regular"/>
          <w:snapToGrid w:val="0"/>
          <w:color w:val="000000"/>
          <w:kern w:val="0"/>
          <w:sz w:val="21"/>
          <w:szCs w:val="21"/>
          <w:lang w:val="en-US" w:eastAsia="en-US" w:bidi="ar-SA"/>
        </w:rPr>
        <w:id w:val="147478645"/>
        <w15:color w:val="DBDBDB"/>
        <w:docPartObj>
          <w:docPartGallery w:val="Table of Contents"/>
          <w:docPartUnique/>
        </w:docPartObj>
      </w:sdtPr>
      <w:sdtEndPr>
        <w:rPr>
          <w:rFonts w:hint="default" w:ascii="Times New Roman Regular" w:hAnsi="Times New Roman Regular" w:eastAsia="宋体" w:cs="Times New Roman Regular"/>
          <w:snapToGrid w:val="0"/>
          <w:color w:val="000000"/>
          <w:kern w:val="0"/>
          <w:sz w:val="21"/>
          <w:szCs w:val="21"/>
          <w:lang w:val="en-US" w:eastAsia="en-US" w:bidi="ar-SA"/>
        </w:rPr>
      </w:sdtEndPr>
      <w:sdtContent>
        <w:p>
          <w:pPr>
            <w:spacing w:before="0" w:beforeLines="0" w:after="0" w:afterLines="0" w:line="240" w:lineRule="auto"/>
            <w:ind w:left="0" w:leftChars="0" w:right="0" w:rightChars="0" w:firstLine="0" w:firstLineChars="0"/>
            <w:jc w:val="center"/>
            <w:rPr>
              <w:rFonts w:hint="default" w:ascii="Times New Roman Regular" w:hAnsi="Times New Roman Regular" w:cs="Times New Roman Regular"/>
            </w:rPr>
          </w:pPr>
        </w:p>
        <w:p>
          <w:pPr>
            <w:pStyle w:val="9"/>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TOC \o "1-3" \h \u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_Toc31184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8"/>
            </w:rPr>
            <w:t>1. Schema</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_Toc31184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- 1 -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9"/>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_Toc1873 </w:instrText>
          </w:r>
          <w:r>
            <w:rPr>
              <w:rFonts w:hint="default" w:ascii="Times New Roman Regular" w:hAnsi="Times New Roman Regular" w:cs="Times New Roman Regular"/>
            </w:rPr>
            <w:fldChar w:fldCharType="separate"/>
          </w:r>
          <w:r>
            <w:rPr>
              <w:rFonts w:hint="default" w:ascii="Times New Roman Regular" w:hAnsi="Times New Roman Regular" w:eastAsia="宋体" w:cs="Times New Roman Regular"/>
              <w:bCs/>
              <w:snapToGrid w:val="0"/>
              <w:kern w:val="0"/>
              <w:szCs w:val="28"/>
              <w:lang w:val="en-US" w:eastAsia="zh-CN" w:bidi="ar-SA"/>
            </w:rPr>
            <w:t>2. Summary</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_Toc1873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- 5 -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9"/>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_Toc878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8"/>
            </w:rPr>
            <w:t>3. Background</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_Toc878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- 6 -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9"/>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_Toc10476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8"/>
            </w:rPr>
            <w:t>4. Objective</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_Toc10476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- 7 -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9"/>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_Toc5089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8"/>
            </w:rPr>
            <w:t>5. Plan</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_Toc5089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- 7 -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10"/>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_Toc1507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4"/>
            </w:rPr>
            <w:t>5.1 Patient Selection</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_Toc1507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- 7 -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_Toc1962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5.1.1 Inclusion criteria</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_Toc1962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- 7 -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_Toc27042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5.1.2 Exclusion criteria</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_Toc27042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- 7 -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_Toc452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0"/>
            </w:rPr>
            <w:t>5.1.3 Withdrawal criteria</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_Toc452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- 8 -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_Toc25453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5.1.4 Eliminate criteria</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_Toc25453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- 9 -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10"/>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_Toc21431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5.2 Examinations and screening of patients</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_Toc21431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- 9 -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_Toc18617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5.2.1 Examinations</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_Toc18617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- 9 -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_Toc18181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5.2.2 Screening of patients</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_Toc18181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- 9 -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10"/>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_Toc26455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5.3 Treatment Plan</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_Toc26455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- 10 -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_Toc23341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5.3.1 Overall Design</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_Toc23341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- 10 -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_Toc19962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5.3.2 Therapeutic Regimen</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_Toc19962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- 10 -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_Toc25752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5.3.3 Management of toripalimab infusion reaction</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_Toc25752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- 11 -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_Toc1498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5.3.4 Pretreatment before chemotherapy</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_Toc1498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- 12 -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_Toc7218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5.3.5 Principles for the adjustment of dosage of drugs</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_Toc7218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- 13 -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_Toc11906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5.3.6 Radiotherapy scheme</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_Toc11906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- 16 -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_Toc27768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5.3.7 Criteria for radiation-related toxicity</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_Toc27768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- 16 -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_Toc13586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 xml:space="preserve">5.3.8 Regular evaluation during </w:t>
          </w:r>
          <w:r>
            <w:rPr>
              <w:rFonts w:hint="default" w:ascii="Times New Roman Regular" w:hAnsi="Times New Roman Regular" w:cs="Times New Roman Regular"/>
              <w:bCs/>
              <w:szCs w:val="22"/>
              <w:lang w:val="en-US" w:eastAsia="zh-CN"/>
            </w:rPr>
            <w:t>chemoimmunotherapy and CRT</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_Toc13586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- 17 -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_Toc28737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5.3.9 Regular evaluation during maintenance</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_Toc28737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- 17 -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_Toc27251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5.3.10 Concomitant Therapy</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_Toc27251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- 17 -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10"/>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_Toc30863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5.4 Management of pseudo-progression</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_Toc30863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- 17 -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_Toc6228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5.4.1 Definition</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_Toc6228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- 17 -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_Toc23082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5.4.2 Management</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_Toc23082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- 17 -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10"/>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_Toc29417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5.5 Tumor and blood samples collection</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_Toc29417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- 18 -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_Toc2262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5.5.1 Collection time</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_Toc2262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- 18 -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_Toc30145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5.5.2 Processing and storage</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_Toc30145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- 18 -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10"/>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_Toc30042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5.6 Observing targets</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_Toc30042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- 18 -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_Toc27696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5.6.1 Toxicity evaluation</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_Toc27696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- 18 -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_Toc3261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5.6.2 Evaluation of short-term clinical efficacy after CRT</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_Toc3261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- 18 -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_Toc10779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5.6.3 Endpoint evaluation</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_Toc10779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- 19 -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_Toc27229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5.6.4 Follow-up</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_Toc27229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- 19 -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10"/>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_Toc24628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5.7 Ethics</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_Toc24628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- 20 -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_Toc7117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5.7.1 Informed consent</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_Toc7117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- 20 -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_Toc3800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5.7.2 Ethics and policy</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_Toc3800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- 20 -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10"/>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_Toc3233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5.8 Quality guarantee</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_Toc3233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- 20 -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_Toc30008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5.8.1 Requirements</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_Toc30008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- 20 -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_Toc8588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5.8.2 Data processing and preservation</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_Toc8588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- 20 -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10"/>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_Toc1653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5.9 Security measures</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_Toc1653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- 21 -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10"/>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_Toc1405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5.10 Safety assessment</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_Toc1405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- 21 -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_Toc31947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5.10.1 Safety plan</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_Toc31947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- 21 -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_Toc161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5.10.2 Safety parameters and definitions</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_Toc161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- 21 -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_Toc8973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5.10.3 Collect AE information</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_Toc8973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- 22 -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_Toc12401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5.10.4 Severity judgement of AE</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_Toc12401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- 22 -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_Toc28408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5.10.5 Causality judgement of AE</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_Toc28408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- 23 -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_Toc28984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5.10.6 AE recording procedure</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_Toc28984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- 23 -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_Toc6954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5.10.7 AE reporting</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_Toc6954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- 23 -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10"/>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_Toc3248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4"/>
            </w:rPr>
            <w:t>5.11 Statistical analysis</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_Toc3248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- 23 -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_Toc9662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5.11.1</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_Toc9662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- 23 -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_Toc7848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5.11.2 Sample size determination</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_Toc7848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- 23 -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6"/>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_Toc219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2"/>
            </w:rPr>
            <w:t>5.11.3 Statistical methods</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_Toc219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- 24 -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9"/>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_Toc26587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8"/>
            </w:rPr>
            <w:t>6. Route</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_Toc26587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- 25 -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9"/>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_Toc27840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bCs/>
              <w:szCs w:val="28"/>
            </w:rPr>
            <w:t xml:space="preserve">7. </w:t>
          </w:r>
          <w:r>
            <w:rPr>
              <w:rFonts w:hint="default" w:ascii="Times New Roman Regular" w:hAnsi="Times New Roman Regular" w:eastAsia="宋体" w:cs="Times New Roman Regular"/>
              <w:bCs/>
              <w:szCs w:val="28"/>
              <w:lang w:val="en-US" w:eastAsia="zh-CN"/>
            </w:rPr>
            <w:t>References</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_Toc27840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- 26 -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pStyle w:val="9"/>
            <w:tabs>
              <w:tab w:val="right" w:leader="dot" w:pos="8430"/>
            </w:tabs>
            <w:rPr>
              <w:rFonts w:hint="default" w:ascii="Times New Roman Regular" w:hAnsi="Times New Roman Regular" w:cs="Times New Roman Regular"/>
            </w:rPr>
          </w:pP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HYPERLINK \l _Toc18515 </w:instrText>
          </w:r>
          <w:r>
            <w:rPr>
              <w:rFonts w:hint="default" w:ascii="Times New Roman Regular" w:hAnsi="Times New Roman Regular" w:cs="Times New Roman Regular"/>
            </w:rPr>
            <w:fldChar w:fldCharType="separate"/>
          </w:r>
          <w:r>
            <w:rPr>
              <w:rFonts w:hint="default" w:ascii="Times New Roman Regular" w:hAnsi="Times New Roman Regular" w:eastAsia="宋体" w:cs="Times New Roman Regular"/>
              <w:bCs/>
              <w:caps w:val="0"/>
              <w:smallCaps w:val="0"/>
              <w:szCs w:val="28"/>
              <w:lang w:val="en-US" w:eastAsia="zh-CN"/>
            </w:rPr>
            <w:t>S</w:t>
          </w:r>
          <w:r>
            <w:rPr>
              <w:rFonts w:hint="default" w:ascii="Times New Roman Regular" w:hAnsi="Times New Roman Regular" w:cs="Times New Roman Regular"/>
              <w:bCs/>
              <w:caps w:val="0"/>
              <w:smallCaps w:val="0"/>
              <w:szCs w:val="28"/>
            </w:rPr>
            <w:t xml:space="preserve">ummary of Amendments to Protocol of Toripalimab in </w:t>
          </w:r>
          <w:r>
            <w:rPr>
              <w:rFonts w:hint="default" w:ascii="Times New Roman Regular" w:hAnsi="Times New Roman Regular" w:eastAsia="宋体" w:cs="Times New Roman Regular"/>
              <w:bCs/>
              <w:caps w:val="0"/>
              <w:smallCaps w:val="0"/>
              <w:szCs w:val="28"/>
              <w:lang w:val="en-US" w:eastAsia="zh-CN"/>
            </w:rPr>
            <w:t>C</w:t>
          </w:r>
          <w:r>
            <w:rPr>
              <w:rFonts w:hint="default" w:ascii="Times New Roman Regular" w:hAnsi="Times New Roman Regular" w:cs="Times New Roman Regular"/>
              <w:bCs/>
              <w:caps w:val="0"/>
              <w:smallCaps w:val="0"/>
              <w:szCs w:val="28"/>
            </w:rPr>
            <w:t xml:space="preserve">ombination with </w:t>
          </w:r>
          <w:r>
            <w:rPr>
              <w:rFonts w:hint="default" w:ascii="Times New Roman Regular" w:hAnsi="Times New Roman Regular" w:eastAsia="宋体" w:cs="Times New Roman Regular"/>
              <w:bCs/>
              <w:caps w:val="0"/>
              <w:smallCaps w:val="0"/>
              <w:szCs w:val="28"/>
              <w:lang w:val="en-US" w:eastAsia="zh-CN"/>
            </w:rPr>
            <w:t>I</w:t>
          </w:r>
          <w:r>
            <w:rPr>
              <w:rFonts w:hint="default" w:ascii="Times New Roman Regular" w:hAnsi="Times New Roman Regular" w:cs="Times New Roman Regular"/>
              <w:bCs/>
              <w:caps w:val="0"/>
              <w:smallCaps w:val="0"/>
              <w:szCs w:val="28"/>
            </w:rPr>
            <w:t xml:space="preserve">nduction </w:t>
          </w:r>
          <w:r>
            <w:rPr>
              <w:rFonts w:hint="default" w:ascii="Times New Roman Regular" w:hAnsi="Times New Roman Regular" w:eastAsia="宋体" w:cs="Times New Roman Regular"/>
              <w:bCs/>
              <w:caps w:val="0"/>
              <w:smallCaps w:val="0"/>
              <w:szCs w:val="28"/>
              <w:lang w:val="en-US" w:eastAsia="zh-CN"/>
            </w:rPr>
            <w:t>C</w:t>
          </w:r>
          <w:r>
            <w:rPr>
              <w:rFonts w:hint="default" w:ascii="Times New Roman Regular" w:hAnsi="Times New Roman Regular" w:cs="Times New Roman Regular"/>
              <w:bCs/>
              <w:caps w:val="0"/>
              <w:smallCaps w:val="0"/>
              <w:szCs w:val="28"/>
            </w:rPr>
            <w:t xml:space="preserve">hemotherapy and </w:t>
          </w:r>
          <w:r>
            <w:rPr>
              <w:rFonts w:hint="default" w:ascii="Times New Roman Regular" w:hAnsi="Times New Roman Regular" w:eastAsia="宋体" w:cs="Times New Roman Regular"/>
              <w:bCs/>
              <w:caps w:val="0"/>
              <w:smallCaps w:val="0"/>
              <w:szCs w:val="28"/>
              <w:lang w:val="en-US" w:eastAsia="zh-CN"/>
            </w:rPr>
            <w:t>S</w:t>
          </w:r>
          <w:r>
            <w:rPr>
              <w:rFonts w:hint="default" w:ascii="Times New Roman Regular" w:hAnsi="Times New Roman Regular" w:cs="Times New Roman Regular"/>
              <w:bCs/>
              <w:caps w:val="0"/>
              <w:smallCaps w:val="0"/>
              <w:szCs w:val="28"/>
            </w:rPr>
            <w:t xml:space="preserve">ubsequent </w:t>
          </w:r>
          <w:r>
            <w:rPr>
              <w:rFonts w:hint="default" w:ascii="Times New Roman Regular" w:hAnsi="Times New Roman Regular" w:eastAsia="宋体" w:cs="Times New Roman Regular"/>
              <w:bCs/>
              <w:caps w:val="0"/>
              <w:smallCaps w:val="0"/>
              <w:szCs w:val="28"/>
              <w:lang w:val="en-US" w:eastAsia="zh-CN"/>
            </w:rPr>
            <w:t>C</w:t>
          </w:r>
          <w:r>
            <w:rPr>
              <w:rFonts w:hint="default" w:ascii="Times New Roman Regular" w:hAnsi="Times New Roman Regular" w:cs="Times New Roman Regular"/>
              <w:bCs/>
              <w:caps w:val="0"/>
              <w:smallCaps w:val="0"/>
              <w:szCs w:val="28"/>
            </w:rPr>
            <w:t xml:space="preserve">hemoradiation as </w:t>
          </w:r>
          <w:r>
            <w:rPr>
              <w:rFonts w:hint="default" w:ascii="Times New Roman Regular" w:hAnsi="Times New Roman Regular" w:eastAsia="宋体" w:cs="Times New Roman Regular"/>
              <w:bCs/>
              <w:caps w:val="0"/>
              <w:smallCaps w:val="0"/>
              <w:szCs w:val="28"/>
              <w:lang w:val="en-US" w:eastAsia="zh-CN"/>
            </w:rPr>
            <w:t>F</w:t>
          </w:r>
          <w:r>
            <w:rPr>
              <w:rFonts w:hint="default" w:ascii="Times New Roman Regular" w:hAnsi="Times New Roman Regular" w:cs="Times New Roman Regular"/>
              <w:bCs/>
              <w:caps w:val="0"/>
              <w:smallCaps w:val="0"/>
              <w:szCs w:val="28"/>
            </w:rPr>
            <w:t xml:space="preserve">irst-line </w:t>
          </w:r>
          <w:r>
            <w:rPr>
              <w:rFonts w:hint="default" w:ascii="Times New Roman Regular" w:hAnsi="Times New Roman Regular" w:eastAsia="宋体" w:cs="Times New Roman Regular"/>
              <w:bCs/>
              <w:caps w:val="0"/>
              <w:smallCaps w:val="0"/>
              <w:szCs w:val="28"/>
              <w:lang w:val="en-US" w:eastAsia="zh-CN"/>
            </w:rPr>
            <w:t>T</w:t>
          </w:r>
          <w:r>
            <w:rPr>
              <w:rFonts w:hint="default" w:ascii="Times New Roman Regular" w:hAnsi="Times New Roman Regular" w:cs="Times New Roman Regular"/>
              <w:bCs/>
              <w:caps w:val="0"/>
              <w:smallCaps w:val="0"/>
              <w:szCs w:val="28"/>
            </w:rPr>
            <w:t xml:space="preserve">reatment in </w:t>
          </w:r>
          <w:r>
            <w:rPr>
              <w:rFonts w:hint="default" w:ascii="Times New Roman Regular" w:hAnsi="Times New Roman Regular" w:eastAsia="宋体" w:cs="Times New Roman Regular"/>
              <w:bCs/>
              <w:caps w:val="0"/>
              <w:smallCaps w:val="0"/>
              <w:szCs w:val="28"/>
              <w:lang w:val="en-US" w:eastAsia="zh-CN"/>
            </w:rPr>
            <w:t>P</w:t>
          </w:r>
          <w:r>
            <w:rPr>
              <w:rFonts w:hint="default" w:ascii="Times New Roman Regular" w:hAnsi="Times New Roman Regular" w:cs="Times New Roman Regular"/>
              <w:bCs/>
              <w:caps w:val="0"/>
              <w:smallCaps w:val="0"/>
              <w:szCs w:val="28"/>
            </w:rPr>
            <w:t xml:space="preserve">atients with </w:t>
          </w:r>
          <w:r>
            <w:rPr>
              <w:rFonts w:hint="default" w:ascii="Times New Roman Regular" w:hAnsi="Times New Roman Regular" w:eastAsia="宋体" w:cs="Times New Roman Regular"/>
              <w:bCs/>
              <w:caps w:val="0"/>
              <w:smallCaps w:val="0"/>
              <w:szCs w:val="28"/>
              <w:lang w:val="en-US" w:eastAsia="zh-CN"/>
            </w:rPr>
            <w:t>A</w:t>
          </w:r>
          <w:r>
            <w:rPr>
              <w:rFonts w:hint="default" w:ascii="Times New Roman Regular" w:hAnsi="Times New Roman Regular" w:cs="Times New Roman Regular"/>
              <w:bCs/>
              <w:caps w:val="0"/>
              <w:smallCaps w:val="0"/>
              <w:szCs w:val="28"/>
            </w:rPr>
            <w:t xml:space="preserve">dvanced </w:t>
          </w:r>
          <w:r>
            <w:rPr>
              <w:rFonts w:hint="default" w:ascii="Times New Roman Regular" w:hAnsi="Times New Roman Regular" w:eastAsia="宋体" w:cs="Times New Roman Regular"/>
              <w:bCs/>
              <w:caps w:val="0"/>
              <w:smallCaps w:val="0"/>
              <w:szCs w:val="28"/>
              <w:lang w:val="en-US" w:eastAsia="zh-CN"/>
            </w:rPr>
            <w:t>E</w:t>
          </w:r>
          <w:r>
            <w:rPr>
              <w:rFonts w:hint="default" w:ascii="Times New Roman Regular" w:hAnsi="Times New Roman Regular" w:cs="Times New Roman Regular"/>
              <w:bCs/>
              <w:caps w:val="0"/>
              <w:smallCaps w:val="0"/>
              <w:szCs w:val="28"/>
            </w:rPr>
            <w:t xml:space="preserve">sophageal </w:t>
          </w:r>
          <w:r>
            <w:rPr>
              <w:rFonts w:hint="default" w:ascii="Times New Roman Regular" w:hAnsi="Times New Roman Regular" w:eastAsia="宋体" w:cs="Times New Roman Regular"/>
              <w:bCs/>
              <w:caps w:val="0"/>
              <w:smallCaps w:val="0"/>
              <w:szCs w:val="28"/>
              <w:lang w:val="en-US" w:eastAsia="zh-CN"/>
            </w:rPr>
            <w:t>C</w:t>
          </w:r>
          <w:r>
            <w:rPr>
              <w:rFonts w:hint="default" w:ascii="Times New Roman Regular" w:hAnsi="Times New Roman Regular" w:cs="Times New Roman Regular"/>
              <w:bCs/>
              <w:caps w:val="0"/>
              <w:smallCaps w:val="0"/>
              <w:szCs w:val="28"/>
            </w:rPr>
            <w:t>arcinoma</w:t>
          </w:r>
          <w:r>
            <w:rPr>
              <w:rFonts w:hint="default" w:ascii="Times New Roman Regular" w:hAnsi="Times New Roman Regular" w:eastAsia="宋体" w:cs="Times New Roman Regular"/>
              <w:bCs/>
              <w:caps w:val="0"/>
              <w:smallCaps w:val="0"/>
              <w:szCs w:val="28"/>
              <w:lang w:val="en-US" w:eastAsia="zh-CN"/>
            </w:rPr>
            <w:t>: A</w:t>
          </w:r>
          <w:r>
            <w:rPr>
              <w:rFonts w:hint="default" w:ascii="Times New Roman Regular" w:hAnsi="Times New Roman Regular" w:cs="Times New Roman Regular"/>
              <w:bCs/>
              <w:caps w:val="0"/>
              <w:smallCaps w:val="0"/>
              <w:szCs w:val="28"/>
            </w:rPr>
            <w:t xml:space="preserve"> </w:t>
          </w:r>
          <w:r>
            <w:rPr>
              <w:rFonts w:hint="default" w:ascii="Times New Roman Regular" w:hAnsi="Times New Roman Regular" w:eastAsia="宋体" w:cs="Times New Roman Regular"/>
              <w:bCs/>
              <w:caps w:val="0"/>
              <w:smallCaps w:val="0"/>
              <w:szCs w:val="28"/>
              <w:lang w:val="en-US" w:eastAsia="zh-CN"/>
            </w:rPr>
            <w:t>S</w:t>
          </w:r>
          <w:r>
            <w:rPr>
              <w:rFonts w:hint="default" w:ascii="Times New Roman Regular" w:hAnsi="Times New Roman Regular" w:cs="Times New Roman Regular"/>
              <w:bCs/>
              <w:caps w:val="0"/>
              <w:smallCaps w:val="0"/>
              <w:szCs w:val="28"/>
            </w:rPr>
            <w:t xml:space="preserve">ingle-arm, </w:t>
          </w:r>
          <w:r>
            <w:rPr>
              <w:rFonts w:hint="default" w:ascii="Times New Roman Regular" w:hAnsi="Times New Roman Regular" w:eastAsia="宋体" w:cs="Times New Roman Regular"/>
              <w:bCs/>
              <w:caps w:val="0"/>
              <w:smallCaps w:val="0"/>
              <w:szCs w:val="28"/>
              <w:lang w:val="en-US" w:eastAsia="zh-CN"/>
            </w:rPr>
            <w:t>P</w:t>
          </w:r>
          <w:r>
            <w:rPr>
              <w:rFonts w:hint="default" w:ascii="Times New Roman Regular" w:hAnsi="Times New Roman Regular" w:cs="Times New Roman Regular"/>
              <w:bCs/>
              <w:caps w:val="0"/>
              <w:smallCaps w:val="0"/>
              <w:szCs w:val="28"/>
            </w:rPr>
            <w:t xml:space="preserve">rospective, </w:t>
          </w:r>
          <w:r>
            <w:rPr>
              <w:rFonts w:hint="default" w:ascii="Times New Roman Regular" w:hAnsi="Times New Roman Regular" w:eastAsia="宋体" w:cs="Times New Roman Regular"/>
              <w:bCs/>
              <w:caps w:val="0"/>
              <w:smallCaps w:val="0"/>
              <w:szCs w:val="28"/>
              <w:lang w:val="en-US" w:eastAsia="zh-CN"/>
            </w:rPr>
            <w:t>O</w:t>
          </w:r>
          <w:r>
            <w:rPr>
              <w:rFonts w:hint="default" w:ascii="Times New Roman Regular" w:hAnsi="Times New Roman Regular" w:cs="Times New Roman Regular"/>
              <w:bCs/>
              <w:caps w:val="0"/>
              <w:smallCaps w:val="0"/>
              <w:szCs w:val="28"/>
            </w:rPr>
            <w:t xml:space="preserve">pen-label, </w:t>
          </w:r>
          <w:r>
            <w:rPr>
              <w:rFonts w:hint="default" w:ascii="Times New Roman Regular" w:hAnsi="Times New Roman Regular" w:eastAsia="宋体" w:cs="Times New Roman Regular"/>
              <w:bCs/>
              <w:caps w:val="0"/>
              <w:smallCaps w:val="0"/>
              <w:szCs w:val="28"/>
              <w:lang w:val="en-US" w:eastAsia="zh-CN"/>
            </w:rPr>
            <w:t>P</w:t>
          </w:r>
          <w:r>
            <w:rPr>
              <w:rFonts w:hint="default" w:ascii="Times New Roman Regular" w:hAnsi="Times New Roman Regular" w:cs="Times New Roman Regular"/>
              <w:bCs/>
              <w:caps w:val="0"/>
              <w:smallCaps w:val="0"/>
              <w:szCs w:val="28"/>
            </w:rPr>
            <w:t xml:space="preserve">hase II </w:t>
          </w:r>
          <w:r>
            <w:rPr>
              <w:rFonts w:hint="default" w:ascii="Times New Roman Regular" w:hAnsi="Times New Roman Regular" w:eastAsia="宋体" w:cs="Times New Roman Regular"/>
              <w:bCs/>
              <w:caps w:val="0"/>
              <w:smallCaps w:val="0"/>
              <w:szCs w:val="28"/>
              <w:lang w:val="en-US" w:eastAsia="zh-CN"/>
            </w:rPr>
            <w:t>C</w:t>
          </w:r>
          <w:r>
            <w:rPr>
              <w:rFonts w:hint="default" w:ascii="Times New Roman Regular" w:hAnsi="Times New Roman Regular" w:cs="Times New Roman Regular"/>
              <w:bCs/>
              <w:caps w:val="0"/>
              <w:smallCaps w:val="0"/>
              <w:szCs w:val="28"/>
            </w:rPr>
            <w:t xml:space="preserve">linical </w:t>
          </w:r>
          <w:r>
            <w:rPr>
              <w:rFonts w:hint="default" w:ascii="Times New Roman Regular" w:hAnsi="Times New Roman Regular" w:eastAsia="宋体" w:cs="Times New Roman Regular"/>
              <w:bCs/>
              <w:caps w:val="0"/>
              <w:smallCaps w:val="0"/>
              <w:szCs w:val="28"/>
              <w:lang w:val="en-US" w:eastAsia="zh-CN"/>
            </w:rPr>
            <w:t>T</w:t>
          </w:r>
          <w:r>
            <w:rPr>
              <w:rFonts w:hint="default" w:ascii="Times New Roman Regular" w:hAnsi="Times New Roman Regular" w:cs="Times New Roman Regular"/>
              <w:bCs/>
              <w:caps w:val="0"/>
              <w:smallCaps w:val="0"/>
              <w:szCs w:val="28"/>
            </w:rPr>
            <w:t>rial (TR-EAT)</w:t>
          </w:r>
          <w:r>
            <w:rPr>
              <w:rFonts w:hint="default" w:ascii="Times New Roman Regular" w:hAnsi="Times New Roman Regular" w:cs="Times New Roman Regular"/>
            </w:rPr>
            <w:tab/>
          </w:r>
          <w:r>
            <w:rPr>
              <w:rFonts w:hint="default" w:ascii="Times New Roman Regular" w:hAnsi="Times New Roman Regular" w:cs="Times New Roman Regular"/>
            </w:rPr>
            <w:fldChar w:fldCharType="begin"/>
          </w:r>
          <w:r>
            <w:rPr>
              <w:rFonts w:hint="default" w:ascii="Times New Roman Regular" w:hAnsi="Times New Roman Regular" w:cs="Times New Roman Regular"/>
            </w:rPr>
            <w:instrText xml:space="preserve"> PAGEREF _Toc18515 \h </w:instrText>
          </w:r>
          <w:r>
            <w:rPr>
              <w:rFonts w:hint="default" w:ascii="Times New Roman Regular" w:hAnsi="Times New Roman Regular" w:cs="Times New Roman Regular"/>
            </w:rPr>
            <w:fldChar w:fldCharType="separate"/>
          </w:r>
          <w:r>
            <w:rPr>
              <w:rFonts w:hint="default" w:ascii="Times New Roman Regular" w:hAnsi="Times New Roman Regular" w:cs="Times New Roman Regular"/>
            </w:rPr>
            <w:t>- 27 -</w:t>
          </w:r>
          <w:r>
            <w:rPr>
              <w:rFonts w:hint="default" w:ascii="Times New Roman Regular" w:hAnsi="Times New Roman Regular" w:cs="Times New Roman Regular"/>
            </w:rPr>
            <w:fldChar w:fldCharType="end"/>
          </w:r>
          <w:r>
            <w:rPr>
              <w:rFonts w:hint="default" w:ascii="Times New Roman Regular" w:hAnsi="Times New Roman Regular" w:cs="Times New Roman Regular"/>
            </w:rPr>
            <w:fldChar w:fldCharType="end"/>
          </w:r>
        </w:p>
        <w:p>
          <w:pPr>
            <w:rPr>
              <w:rFonts w:hint="default" w:ascii="Times New Roman Regular" w:hAnsi="Times New Roman Regular" w:cs="Times New Roman Regular"/>
            </w:rPr>
          </w:pPr>
          <w:r>
            <w:rPr>
              <w:rFonts w:hint="default" w:ascii="Times New Roman Regular" w:hAnsi="Times New Roman Regular" w:cs="Times New Roman Regular"/>
            </w:rPr>
            <w:fldChar w:fldCharType="end"/>
          </w:r>
        </w:p>
      </w:sdtContent>
    </w:sdt>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jc w:val="both"/>
        <w:textAlignment w:val="baseline"/>
        <w:outlineLvl w:val="0"/>
        <w:rPr>
          <w:rFonts w:hint="default" w:ascii="Times New Roman Regular" w:hAnsi="Times New Roman Regular" w:cs="Times New Roman Regular"/>
          <w:b/>
          <w:bCs/>
          <w:sz w:val="28"/>
          <w:szCs w:val="28"/>
        </w:rPr>
      </w:pPr>
    </w:p>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jc w:val="both"/>
        <w:textAlignment w:val="baseline"/>
        <w:outlineLvl w:val="0"/>
        <w:rPr>
          <w:rFonts w:hint="default" w:ascii="Times New Roman Regular" w:hAnsi="Times New Roman Regular" w:cs="Times New Roman Regular"/>
          <w:b/>
          <w:bCs/>
          <w:sz w:val="28"/>
          <w:szCs w:val="28"/>
        </w:rPr>
        <w:sectPr>
          <w:footerReference r:id="rId5" w:type="default"/>
          <w:pgSz w:w="11907" w:h="16839"/>
          <w:pgMar w:top="1431" w:right="1785" w:bottom="1453" w:left="1692" w:header="0" w:footer="1230" w:gutter="0"/>
          <w:pgNumType w:fmt="numberInDash"/>
          <w:cols w:equalWidth="0" w:num="1">
            <w:col w:w="8429"/>
          </w:cols>
        </w:sectPr>
      </w:pPr>
    </w:p>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jc w:val="both"/>
        <w:textAlignment w:val="baseline"/>
        <w:outlineLvl w:val="0"/>
        <w:rPr>
          <w:rFonts w:hint="default" w:ascii="Times New Roman Regular" w:hAnsi="Times New Roman Regular" w:cs="Times New Roman Regular"/>
          <w:b/>
          <w:bCs/>
          <w:sz w:val="28"/>
          <w:szCs w:val="28"/>
        </w:rPr>
      </w:pPr>
      <w:bookmarkStart w:id="0" w:name="_Toc31184"/>
      <w:r>
        <w:rPr>
          <w:rFonts w:hint="default" w:ascii="Times New Roman Regular" w:hAnsi="Times New Roman Regular" w:cs="Times New Roman Regular"/>
          <w:b/>
          <w:bCs/>
          <w:sz w:val="28"/>
          <w:szCs w:val="28"/>
        </w:rPr>
        <w:t>1. Schema</w:t>
      </w:r>
      <w:bookmarkEnd w:id="0"/>
    </w:p>
    <w:tbl>
      <w:tblPr>
        <w:tblStyle w:val="17"/>
        <w:tblW w:w="8387" w:type="dxa"/>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2815"/>
        <w:gridCol w:w="5572"/>
      </w:tblGrid>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066" w:hRule="atLeast"/>
        </w:trPr>
        <w:tc>
          <w:tcPr>
            <w:tcW w:w="2815" w:type="dxa"/>
            <w:tcBorders>
              <w:top w:val="single" w:color="000000" w:sz="4"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ind w:left="210" w:leftChars="100" w:right="210" w:rightChars="100"/>
              <w:jc w:val="both"/>
              <w:textAlignment w:val="baseline"/>
              <w:rPr>
                <w:rFonts w:hint="default" w:ascii="Times New Roman Regular" w:hAnsi="Times New Roman Regular" w:cs="Times New Roman Regular"/>
                <w:b/>
                <w:bCs/>
                <w:sz w:val="22"/>
                <w:szCs w:val="22"/>
              </w:rPr>
            </w:pPr>
            <w:r>
              <w:rPr>
                <w:rFonts w:hint="default" w:ascii="Times New Roman Regular" w:hAnsi="Times New Roman Regular" w:cs="Times New Roman Regular"/>
                <w:b/>
                <w:bCs/>
                <w:sz w:val="22"/>
                <w:szCs w:val="22"/>
              </w:rPr>
              <w:t>Research Topic</w:t>
            </w:r>
          </w:p>
        </w:tc>
        <w:tc>
          <w:tcPr>
            <w:tcW w:w="5572" w:type="dxa"/>
            <w:tcBorders>
              <w:top w:val="single" w:color="000000" w:sz="4"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ind w:left="210" w:leftChars="100" w:right="210" w:rightChars="1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fldChar w:fldCharType="begin"/>
            </w:r>
            <w:r>
              <w:rPr>
                <w:rFonts w:hint="default" w:ascii="Times New Roman Regular" w:hAnsi="Times New Roman Regular" w:cs="Times New Roman Regular"/>
                <w:sz w:val="20"/>
                <w:szCs w:val="20"/>
              </w:rPr>
              <w:instrText xml:space="preserve"> HYPERLINK "http://www.frontiersin.org/Journal/Abstract.aspx?d=0&amp;name=Radiation_Oncology&amp;ART_DOI=10.3389/fonc.2022.878851" \t "https://review.frontiersin.org/review/878851/17/1513055/" \l "tab/_blank" </w:instrText>
            </w:r>
            <w:r>
              <w:rPr>
                <w:rFonts w:hint="default" w:ascii="Times New Roman Regular" w:hAnsi="Times New Roman Regular" w:cs="Times New Roman Regular"/>
                <w:sz w:val="20"/>
                <w:szCs w:val="20"/>
              </w:rPr>
              <w:fldChar w:fldCharType="separate"/>
            </w:r>
            <w:r>
              <w:rPr>
                <w:rFonts w:hint="default" w:ascii="Times New Roman Regular" w:hAnsi="Times New Roman Regular" w:cs="Times New Roman Regular"/>
                <w:sz w:val="20"/>
                <w:szCs w:val="20"/>
              </w:rPr>
              <w:t>Toripalimab in combination with induction chemotherapy and subsequent chemoradiation as first-line treatment in patients with advanced esophageal carcinoma: a single-arm, prospective, open-label, phase II clinical trial (TR-EAT)</w:t>
            </w:r>
            <w:r>
              <w:rPr>
                <w:rFonts w:hint="default" w:ascii="Times New Roman Regular" w:hAnsi="Times New Roman Regular" w:cs="Times New Roman Regular"/>
                <w:sz w:val="20"/>
                <w:szCs w:val="20"/>
              </w:rPr>
              <w:fldChar w:fldCharType="end"/>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251" w:hRule="atLeast"/>
        </w:trPr>
        <w:tc>
          <w:tcPr>
            <w:tcW w:w="2815"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ind w:left="210" w:leftChars="100" w:right="210" w:rightChars="100"/>
              <w:jc w:val="both"/>
              <w:textAlignment w:val="baseline"/>
              <w:rPr>
                <w:rFonts w:hint="default" w:ascii="Times New Roman Regular" w:hAnsi="Times New Roman Regular" w:cs="Times New Roman Regular"/>
                <w:b/>
                <w:bCs/>
                <w:sz w:val="22"/>
                <w:szCs w:val="22"/>
              </w:rPr>
            </w:pPr>
            <w:r>
              <w:rPr>
                <w:rFonts w:hint="default" w:ascii="Times New Roman Regular" w:hAnsi="Times New Roman Regular" w:cs="Times New Roman Regular"/>
                <w:b/>
                <w:bCs/>
                <w:sz w:val="22"/>
                <w:szCs w:val="22"/>
              </w:rPr>
              <w:t>Research Purpose</w:t>
            </w:r>
          </w:p>
        </w:tc>
        <w:tc>
          <w:tcPr>
            <w:tcW w:w="5572"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ind w:left="210" w:leftChars="100" w:right="210" w:rightChars="1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bCs/>
                <w:sz w:val="20"/>
                <w:szCs w:val="20"/>
              </w:rPr>
              <w:t xml:space="preserve">To evaluate the </w:t>
            </w:r>
            <w:r>
              <w:rPr>
                <w:rFonts w:hint="default" w:ascii="Times New Roman Regular" w:hAnsi="Times New Roman Regular" w:cs="Times New Roman Regular"/>
                <w:sz w:val="20"/>
                <w:szCs w:val="20"/>
              </w:rPr>
              <w:t>efficacy</w:t>
            </w:r>
            <w:r>
              <w:rPr>
                <w:rFonts w:hint="default" w:ascii="Times New Roman Regular" w:hAnsi="Times New Roman Regular" w:eastAsia="宋体" w:cs="Times New Roman Regular"/>
                <w:sz w:val="20"/>
                <w:szCs w:val="20"/>
                <w:lang w:val="en-US" w:eastAsia="zh-CN"/>
              </w:rPr>
              <w:t>,</w:t>
            </w:r>
            <w:r>
              <w:rPr>
                <w:rFonts w:hint="default" w:ascii="Times New Roman Regular" w:hAnsi="Times New Roman Regular" w:cs="Times New Roman Regular"/>
                <w:sz w:val="20"/>
                <w:szCs w:val="20"/>
              </w:rPr>
              <w:t xml:space="preserve"> safety</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and potential biomarkers of triple therapy involving toripalimab</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(an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anti-PD-1</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antibody) in combination with induction chemotherapy followed by chemoradi</w:t>
            </w:r>
            <w:r>
              <w:rPr>
                <w:rFonts w:hint="default" w:ascii="Times New Roman Regular" w:hAnsi="Times New Roman Regular" w:eastAsia="宋体" w:cs="Times New Roman Regular"/>
                <w:sz w:val="20"/>
                <w:szCs w:val="20"/>
                <w:lang w:val="en-US" w:eastAsia="zh-CN"/>
              </w:rPr>
              <w:t>ation</w:t>
            </w:r>
            <w:r>
              <w:rPr>
                <w:rFonts w:hint="default" w:ascii="Times New Roman Regular" w:hAnsi="Times New Roman Regular" w:cs="Times New Roman Regular"/>
                <w:sz w:val="20"/>
                <w:szCs w:val="20"/>
              </w:rPr>
              <w:t xml:space="preserve"> in patients with </w:t>
            </w:r>
            <w:r>
              <w:rPr>
                <w:rFonts w:hint="default" w:ascii="Times New Roman Regular" w:hAnsi="Times New Roman Regular" w:eastAsia="宋体" w:cs="Times New Roman Regular"/>
                <w:sz w:val="20"/>
                <w:szCs w:val="20"/>
                <w:lang w:val="en-US" w:eastAsia="zh-CN"/>
              </w:rPr>
              <w:t xml:space="preserve">unresectable, treatment-naive, </w:t>
            </w:r>
            <w:r>
              <w:rPr>
                <w:rFonts w:hint="default" w:ascii="Times New Roman Regular" w:hAnsi="Times New Roman Regular" w:cs="Times New Roman Regular"/>
                <w:sz w:val="20"/>
                <w:szCs w:val="20"/>
              </w:rPr>
              <w:t>primary stage IV esophageal squamous cell carcinoma (ESCC).</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628" w:hRule="atLeast"/>
        </w:trPr>
        <w:tc>
          <w:tcPr>
            <w:tcW w:w="2815"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ind w:left="210" w:leftChars="100" w:right="210" w:rightChars="100"/>
              <w:jc w:val="both"/>
              <w:textAlignment w:val="baseline"/>
              <w:rPr>
                <w:rFonts w:hint="default" w:ascii="Times New Roman Regular" w:hAnsi="Times New Roman Regular" w:cs="Times New Roman Regular"/>
                <w:b/>
                <w:bCs/>
                <w:sz w:val="22"/>
                <w:szCs w:val="22"/>
              </w:rPr>
            </w:pPr>
            <w:r>
              <w:rPr>
                <w:rFonts w:hint="default" w:ascii="Times New Roman Regular" w:hAnsi="Times New Roman Regular" w:cs="Times New Roman Regular"/>
                <w:b/>
                <w:bCs/>
                <w:sz w:val="22"/>
                <w:szCs w:val="22"/>
              </w:rPr>
              <w:t>Research Design</w:t>
            </w:r>
          </w:p>
        </w:tc>
        <w:tc>
          <w:tcPr>
            <w:tcW w:w="5572"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ind w:left="210" w:leftChars="100" w:right="210" w:rightChars="1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Prospective, single-center, single-arm, phase II trial</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628" w:hRule="atLeast"/>
        </w:trPr>
        <w:tc>
          <w:tcPr>
            <w:tcW w:w="2815"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ind w:left="210" w:leftChars="100" w:right="210" w:rightChars="100"/>
              <w:jc w:val="both"/>
              <w:textAlignment w:val="baseline"/>
              <w:rPr>
                <w:rFonts w:hint="default" w:ascii="Times New Roman Regular" w:hAnsi="Times New Roman Regular" w:cs="Times New Roman Regular"/>
                <w:b/>
                <w:bCs/>
                <w:sz w:val="22"/>
                <w:szCs w:val="22"/>
              </w:rPr>
            </w:pPr>
            <w:r>
              <w:rPr>
                <w:rFonts w:hint="default" w:ascii="Times New Roman Regular" w:hAnsi="Times New Roman Regular" w:cs="Times New Roman Regular"/>
                <w:b/>
                <w:bCs/>
                <w:sz w:val="22"/>
                <w:szCs w:val="22"/>
              </w:rPr>
              <w:t>Principal Investigator</w:t>
            </w:r>
          </w:p>
        </w:tc>
        <w:tc>
          <w:tcPr>
            <w:tcW w:w="5572"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ind w:left="210" w:leftChars="100" w:right="210" w:rightChars="100"/>
              <w:jc w:val="both"/>
              <w:textAlignment w:val="baseline"/>
              <w:rPr>
                <w:rFonts w:hint="default" w:ascii="Times New Roman Regular" w:hAnsi="Times New Roman Regular" w:cs="Times New Roman Regular"/>
                <w:sz w:val="20"/>
                <w:szCs w:val="20"/>
                <w:lang w:val="en-US" w:eastAsia="zh-CN"/>
              </w:rPr>
            </w:pPr>
            <w:r>
              <w:rPr>
                <w:rFonts w:hint="default" w:ascii="Times New Roman Regular" w:hAnsi="Times New Roman Regular" w:cs="Times New Roman Regular"/>
                <w:sz w:val="20"/>
                <w:szCs w:val="20"/>
              </w:rPr>
              <w:t xml:space="preserve">Dr. </w:t>
            </w:r>
            <w:r>
              <w:rPr>
                <w:rFonts w:hint="default" w:ascii="Times New Roman Regular" w:hAnsi="Times New Roman Regular" w:cs="Times New Roman Regular"/>
                <w:sz w:val="20"/>
                <w:szCs w:val="20"/>
                <w:lang w:val="en-US" w:eastAsia="zh-CN"/>
              </w:rPr>
              <w:t>Qifeng Wang</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630" w:hRule="atLeast"/>
        </w:trPr>
        <w:tc>
          <w:tcPr>
            <w:tcW w:w="2815"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ind w:left="210" w:leftChars="100" w:right="210" w:rightChars="100"/>
              <w:jc w:val="both"/>
              <w:textAlignment w:val="baseline"/>
              <w:rPr>
                <w:rFonts w:hint="default" w:ascii="Times New Roman Regular" w:hAnsi="Times New Roman Regular" w:cs="Times New Roman Regular"/>
                <w:b/>
                <w:bCs/>
                <w:sz w:val="22"/>
                <w:szCs w:val="22"/>
              </w:rPr>
            </w:pPr>
            <w:r>
              <w:rPr>
                <w:rFonts w:hint="default" w:ascii="Times New Roman Regular" w:hAnsi="Times New Roman Regular" w:cs="Times New Roman Regular"/>
                <w:b/>
                <w:bCs/>
                <w:sz w:val="22"/>
                <w:szCs w:val="22"/>
              </w:rPr>
              <w:t>Research Object</w:t>
            </w:r>
          </w:p>
        </w:tc>
        <w:tc>
          <w:tcPr>
            <w:tcW w:w="5572"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ind w:left="210" w:leftChars="100" w:right="210" w:rightChars="1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Unresectable</w:t>
            </w:r>
            <w:r>
              <w:rPr>
                <w:rFonts w:hint="default" w:ascii="Times New Roman Regular" w:hAnsi="Times New Roman Regular" w:cs="Times New Roman Regular"/>
                <w:sz w:val="20"/>
                <w:szCs w:val="20"/>
                <w:lang w:val="en-US" w:eastAsia="zh-CN"/>
              </w:rPr>
              <w:t xml:space="preserve">, treatment-naive, </w:t>
            </w:r>
            <w:r>
              <w:rPr>
                <w:rFonts w:hint="default" w:ascii="Times New Roman Regular" w:hAnsi="Times New Roman Regular" w:cs="Times New Roman Regular"/>
                <w:sz w:val="20"/>
                <w:szCs w:val="20"/>
              </w:rPr>
              <w:t>primary stage IV</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esophageal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squamous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cell carcinoma</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815" w:hRule="atLeast"/>
        </w:trPr>
        <w:tc>
          <w:tcPr>
            <w:tcW w:w="2815"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ind w:left="210" w:leftChars="100" w:right="210" w:rightChars="100"/>
              <w:jc w:val="both"/>
              <w:textAlignment w:val="baseline"/>
              <w:rPr>
                <w:rFonts w:hint="default" w:ascii="Times New Roman Regular" w:hAnsi="Times New Roman Regular" w:cs="Times New Roman Regular"/>
                <w:b/>
                <w:bCs/>
                <w:sz w:val="22"/>
                <w:szCs w:val="22"/>
              </w:rPr>
            </w:pPr>
            <w:r>
              <w:rPr>
                <w:rFonts w:hint="default" w:ascii="Times New Roman Regular" w:hAnsi="Times New Roman Regular" w:cs="Times New Roman Regular"/>
                <w:b/>
                <w:bCs/>
                <w:sz w:val="22"/>
                <w:szCs w:val="22"/>
              </w:rPr>
              <w:t>Research Endpoints</w:t>
            </w:r>
          </w:p>
        </w:tc>
        <w:tc>
          <w:tcPr>
            <w:tcW w:w="5572" w:type="dxa"/>
            <w:tcBorders>
              <w:top w:val="single" w:color="000000" w:sz="2" w:space="0"/>
              <w:bottom w:val="single" w:color="000000" w:sz="2" w:space="0"/>
            </w:tcBorders>
            <w:vAlign w:val="center"/>
          </w:tcPr>
          <w:p>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0" w:beforeLines="100" w:after="0" w:afterLines="100"/>
              <w:ind w:left="635" w:leftChars="10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 xml:space="preserve">Primary endpoints: </w:t>
            </w:r>
            <w:r>
              <w:rPr>
                <w:rFonts w:hint="default" w:ascii="Times New Roman Regular" w:hAnsi="Times New Roman Regular" w:eastAsia="宋体" w:cs="Times New Roman Regular"/>
                <w:sz w:val="20"/>
                <w:szCs w:val="20"/>
                <w:lang w:val="en-US" w:eastAsia="zh-CN"/>
              </w:rPr>
              <w:t>progression-free survival</w:t>
            </w:r>
            <w:r>
              <w:rPr>
                <w:rFonts w:hint="default" w:ascii="Times New Roman Regular" w:hAnsi="Times New Roman Regular" w:cs="Times New Roman Regular"/>
                <w:sz w:val="20"/>
                <w:szCs w:val="20"/>
              </w:rPr>
              <w:t xml:space="preserve"> (</w:t>
            </w:r>
            <w:r>
              <w:rPr>
                <w:rFonts w:hint="default" w:ascii="Times New Roman Regular" w:hAnsi="Times New Roman Regular" w:eastAsia="宋体" w:cs="Times New Roman Regular"/>
                <w:sz w:val="20"/>
                <w:szCs w:val="20"/>
                <w:lang w:val="en-US" w:eastAsia="zh-CN"/>
              </w:rPr>
              <w:t>PFS</w:t>
            </w:r>
            <w:r>
              <w:rPr>
                <w:rFonts w:hint="default" w:ascii="Times New Roman Regular" w:hAnsi="Times New Roman Regular" w:cs="Times New Roman Regular"/>
                <w:sz w:val="20"/>
                <w:szCs w:val="20"/>
              </w:rPr>
              <w:t>)</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0" w:beforeLines="100" w:after="0" w:afterLines="100"/>
              <w:ind w:left="635" w:leftChars="10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Secondary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endpoints:</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objective response rate (ORR), disease control rate (DCR), duration of response (DOR), 1- and 2-year OS rates,</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toxicity, and quality of life.</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0" w:beforeLines="100" w:after="0" w:afterLines="100"/>
              <w:ind w:left="635" w:leftChars="10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Exploratory</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endpoints:</w:t>
            </w:r>
            <w:r>
              <w:rPr>
                <w:rFonts w:hint="default" w:ascii="Times New Roman Regular" w:hAnsi="Times New Roman Regular" w:eastAsia="宋体" w:cs="Times New Roman Regular"/>
                <w:sz w:val="20"/>
                <w:szCs w:val="20"/>
                <w:lang w:val="en-US" w:eastAsia="zh-CN"/>
              </w:rPr>
              <w:t xml:space="preserve"> To </w:t>
            </w:r>
            <w:r>
              <w:rPr>
                <w:rFonts w:hint="default" w:ascii="Times New Roman Regular" w:hAnsi="Times New Roman Regular" w:cs="Times New Roman Regular"/>
                <w:sz w:val="20"/>
                <w:szCs w:val="20"/>
              </w:rPr>
              <w:t>investigate the potential predictive and prognostic biomarkers, including programmed death-ligand 1 (PD-L1) expression in archived and/or fresh tumor tissue and blood samples obtained before and/or after the completion of the study treatment and/or at the time of PD via next-generation sequencing and multicolor immunohistochemical assays.</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Thereafter, we will assess the relationships between biomarkers, including PD-L1, circulating tumor DNA (ctDNA), and cytokines as well as the therapeutic effect of combination treatment. Furthermore, we aim to investigate the immune microenvironment, immune-related gene expression, and immune-related factors, as well as their associations with disease status and treatment response.</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793" w:hRule="atLeast"/>
        </w:trPr>
        <w:tc>
          <w:tcPr>
            <w:tcW w:w="2815"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ind w:left="210" w:leftChars="100" w:right="210" w:rightChars="100"/>
              <w:jc w:val="both"/>
              <w:textAlignment w:val="baseline"/>
              <w:rPr>
                <w:rFonts w:hint="default" w:ascii="Times New Roman Regular" w:hAnsi="Times New Roman Regular" w:cs="Times New Roman Regular"/>
                <w:b/>
                <w:bCs/>
                <w:sz w:val="22"/>
                <w:szCs w:val="22"/>
              </w:rPr>
            </w:pPr>
            <w:r>
              <w:rPr>
                <w:rFonts w:hint="default" w:ascii="Times New Roman Regular" w:hAnsi="Times New Roman Regular" w:cs="Times New Roman Regular"/>
                <w:b/>
                <w:bCs/>
                <w:sz w:val="22"/>
                <w:szCs w:val="22"/>
              </w:rPr>
              <w:t>Inclusion Criteria</w:t>
            </w:r>
          </w:p>
        </w:tc>
        <w:tc>
          <w:tcPr>
            <w:tcW w:w="5572" w:type="dxa"/>
            <w:tcBorders>
              <w:top w:val="single" w:color="000000" w:sz="2" w:space="0"/>
              <w:bottom w:val="single" w:color="000000" w:sz="2" w:space="0"/>
            </w:tcBorders>
            <w:vAlign w:val="center"/>
          </w:tcPr>
          <w:p>
            <w:pPr>
              <w:keepNext w:val="0"/>
              <w:keepLines w:val="0"/>
              <w:pageBreakBefore w:val="0"/>
              <w:widowControl/>
              <w:numPr>
                <w:ilvl w:val="0"/>
                <w:numId w:val="4"/>
              </w:numPr>
              <w:suppressLineNumbers w:val="0"/>
              <w:kinsoku w:val="0"/>
              <w:wordWrap/>
              <w:overflowPunct/>
              <w:topLinePunct w:val="0"/>
              <w:autoSpaceDE w:val="0"/>
              <w:autoSpaceDN w:val="0"/>
              <w:bidi w:val="0"/>
              <w:adjustRightInd w:val="0"/>
              <w:snapToGrid w:val="0"/>
              <w:spacing w:before="0" w:beforeLines="100" w:after="0" w:afterLines="100"/>
              <w:ind w:left="635" w:leftChars="10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lang w:val="en-US" w:eastAsia="zh-CN"/>
              </w:rPr>
              <w:t>Pathologically confirmed unresectable, treatment-naive,    stage IV esophageal squamous cell carcinoma, suitable for cCRT (T1b-4b, N3, M0, or TanyNanyM1 with oligometastases as per AJCC 8th edition). Oligometastases are defined as ≤5 metastatic lesions and ≤3 metastatic organs</w:t>
            </w:r>
            <w:r>
              <w:rPr>
                <w:rFonts w:hint="default" w:ascii="Times New Roman Regular" w:hAnsi="Times New Roman Regular" w:cs="Times New Roman Regular"/>
                <w:sz w:val="20"/>
                <w:szCs w:val="20"/>
              </w:rPr>
              <w:t>;</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0" w:beforeLines="100" w:after="0" w:afterLines="100"/>
              <w:ind w:left="635" w:leftChars="10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No prior cancer therapy;</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0" w:beforeLines="100" w:after="0" w:afterLines="100"/>
              <w:ind w:left="635" w:leftChars="10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Estimated life expectancy</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&gt;6 months;</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0" w:beforeLines="100" w:after="0" w:afterLines="100"/>
              <w:ind w:left="635" w:leftChars="10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Age at diagnosis being 18-7</w:t>
            </w:r>
            <w:r>
              <w:rPr>
                <w:rFonts w:hint="default" w:ascii="Times New Roman Regular" w:hAnsi="Times New Roman Regular" w:cs="Times New Roman Regular"/>
                <w:sz w:val="20"/>
                <w:szCs w:val="20"/>
                <w:lang w:val="en-US" w:eastAsia="zh-CN"/>
              </w:rPr>
              <w:t>5</w:t>
            </w:r>
            <w:r>
              <w:rPr>
                <w:rFonts w:hint="default" w:ascii="Times New Roman Regular" w:hAnsi="Times New Roman Regular" w:cs="Times New Roman Regular"/>
                <w:sz w:val="20"/>
                <w:szCs w:val="20"/>
              </w:rPr>
              <w:t xml:space="preserve"> years;</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0" w:beforeLines="100" w:after="0" w:afterLines="100"/>
              <w:ind w:left="635" w:leftChars="100" w:right="210" w:rightChars="100" w:hanging="425" w:firstLineChars="0"/>
              <w:jc w:val="both"/>
              <w:textAlignment w:val="baseline"/>
              <w:rPr>
                <w:rFonts w:hint="default" w:ascii="Times New Roman Regular" w:hAnsi="Times New Roman Regular" w:eastAsia="宋体" w:cs="Times New Roman Regular"/>
                <w:sz w:val="20"/>
                <w:szCs w:val="20"/>
                <w:lang w:val="en-US" w:eastAsia="zh-CN"/>
              </w:rPr>
            </w:pPr>
            <w:r>
              <w:rPr>
                <w:rFonts w:hint="default" w:ascii="Times New Roman Regular" w:hAnsi="Times New Roman Regular" w:cs="Times New Roman Regular"/>
                <w:sz w:val="20"/>
                <w:szCs w:val="20"/>
              </w:rPr>
              <w:t>At least 1 measurable lesion according to RECIST v1.1</w:t>
            </w:r>
            <w:r>
              <w:rPr>
                <w:rFonts w:hint="default" w:ascii="Times New Roman Regular" w:hAnsi="Times New Roman Regular" w:eastAsia="宋体" w:cs="Times New Roman Regular"/>
                <w:sz w:val="20"/>
                <w:szCs w:val="20"/>
                <w:lang w:val="en-US" w:eastAsia="zh-CN"/>
              </w:rPr>
              <w:t>;</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0" w:beforeLines="100" w:after="0" w:afterLines="100"/>
              <w:ind w:left="635" w:leftChars="100" w:right="210" w:rightChars="100" w:hanging="425" w:firstLineChars="0"/>
              <w:jc w:val="both"/>
              <w:textAlignment w:val="baseline"/>
              <w:rPr>
                <w:rFonts w:hint="default" w:ascii="Times New Roman Regular" w:hAnsi="Times New Roman Regular" w:eastAsia="宋体" w:cs="Times New Roman Regular"/>
                <w:sz w:val="20"/>
                <w:szCs w:val="20"/>
                <w:lang w:val="en-US" w:eastAsia="zh-CN"/>
              </w:rPr>
            </w:pP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function 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important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organs meets 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following requirements:a.white blood cell count (WBC) ≥ 4.0×109/L, absolute neutrophil count (ANC) ≥ 1.5×109/L; b. platelets ≥ 100×109/L;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hemoglobin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9g/dL;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serum</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albumin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 2.8g/dL;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total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bilirubin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1.5×ULN,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ALT,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AST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and/or AKP</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2.5×ULN;</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f.</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serum</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creatinine</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1.5×ULN</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or creatinine clearance rate &gt;60 mL/min;</w:t>
            </w:r>
            <w:r>
              <w:rPr>
                <w:rFonts w:hint="default" w:ascii="Times New Roman Regular" w:hAnsi="Times New Roman Regular" w:cs="Times New Roman Regular"/>
                <w:sz w:val="20"/>
                <w:szCs w:val="20"/>
                <w:lang w:val="en-US" w:eastAsia="zh-CN"/>
              </w:rPr>
              <w:t xml:space="preserve"> g. </w:t>
            </w:r>
            <w:r>
              <w:rPr>
                <w:rFonts w:hint="default" w:ascii="Times New Roman Regular" w:hAnsi="Times New Roman Regular" w:cs="Times New Roman Regular"/>
                <w:sz w:val="20"/>
                <w:szCs w:val="20"/>
              </w:rPr>
              <w:t>normal thyroid function</w:t>
            </w:r>
            <w:r>
              <w:rPr>
                <w:rFonts w:hint="default" w:ascii="Times New Roman Regular" w:hAnsi="Times New Roman Regular" w:eastAsia="宋体" w:cs="Times New Roman Regular"/>
                <w:sz w:val="20"/>
                <w:szCs w:val="20"/>
                <w:lang w:val="en-US" w:eastAsia="zh-CN"/>
              </w:rPr>
              <w:t>;</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0" w:beforeLines="100" w:after="0" w:afterLines="100"/>
              <w:ind w:left="635" w:leftChars="10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 xml:space="preserve">PS score </w:t>
            </w:r>
            <w:r>
              <w:rPr>
                <w:rFonts w:hint="default" w:ascii="Times New Roman Regular" w:hAnsi="Times New Roman Regular" w:eastAsia="宋体" w:cs="Times New Roman Regular"/>
                <w:sz w:val="20"/>
                <w:szCs w:val="20"/>
                <w:lang w:val="en-US" w:eastAsia="zh-CN"/>
              </w:rPr>
              <w:t>0-1</w:t>
            </w:r>
            <w:r>
              <w:rPr>
                <w:rFonts w:hint="default" w:ascii="Times New Roman Regular" w:hAnsi="Times New Roman Regular" w:cs="Times New Roman Regular"/>
                <w:sz w:val="20"/>
                <w:szCs w:val="20"/>
              </w:rPr>
              <w:t>;</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0" w:beforeLines="100" w:after="0" w:afterLines="100"/>
              <w:ind w:left="635" w:leftChars="10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Ability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understand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study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sign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informed consent.</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130" w:hRule="atLeast"/>
        </w:trPr>
        <w:tc>
          <w:tcPr>
            <w:tcW w:w="2815"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ind w:left="210" w:leftChars="100" w:right="210" w:rightChars="100"/>
              <w:jc w:val="both"/>
              <w:textAlignment w:val="baseline"/>
              <w:rPr>
                <w:rFonts w:hint="default" w:ascii="Times New Roman Regular" w:hAnsi="Times New Roman Regular" w:cs="Times New Roman Regular"/>
                <w:b/>
                <w:bCs/>
                <w:sz w:val="22"/>
                <w:szCs w:val="22"/>
              </w:rPr>
            </w:pPr>
            <w:r>
              <w:rPr>
                <w:rFonts w:hint="default" w:ascii="Times New Roman Regular" w:hAnsi="Times New Roman Regular" w:cs="Times New Roman Regular"/>
                <w:b/>
                <w:bCs/>
                <w:sz w:val="22"/>
                <w:szCs w:val="22"/>
              </w:rPr>
              <w:t>Exclusion Criteria</w:t>
            </w:r>
          </w:p>
        </w:tc>
        <w:tc>
          <w:tcPr>
            <w:tcW w:w="5572" w:type="dxa"/>
            <w:tcBorders>
              <w:top w:val="single" w:color="000000" w:sz="2" w:space="0"/>
              <w:bottom w:val="single" w:color="000000" w:sz="2" w:space="0"/>
            </w:tcBorders>
            <w:vAlign w:val="center"/>
          </w:tcPr>
          <w:p>
            <w:pPr>
              <w:keepNext w:val="0"/>
              <w:keepLines w:val="0"/>
              <w:pageBreakBefore w:val="0"/>
              <w:widowControl/>
              <w:numPr>
                <w:ilvl w:val="0"/>
                <w:numId w:val="5"/>
              </w:numPr>
              <w:kinsoku w:val="0"/>
              <w:wordWrap/>
              <w:overflowPunct/>
              <w:topLinePunct w:val="0"/>
              <w:autoSpaceDE w:val="0"/>
              <w:autoSpaceDN w:val="0"/>
              <w:bidi w:val="0"/>
              <w:adjustRightInd w:val="0"/>
              <w:snapToGrid w:val="0"/>
              <w:spacing w:before="0" w:beforeLines="100" w:after="0" w:afterLines="100"/>
              <w:ind w:left="635" w:leftChars="10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Patients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who</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have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been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treated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previously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with anti-tumor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therapy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(including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chemotherapy,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radiotherapy, surgery, immunotherapy, etc.);</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before="0" w:beforeLines="100" w:after="0" w:afterLines="100"/>
              <w:ind w:left="635" w:leftChars="10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Active or untreated CNS metastases, as determined using CT or MRI during screening and prior radiographic assessments;</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before="0" w:beforeLines="100" w:after="0" w:afterLines="100"/>
              <w:ind w:left="635" w:leftChars="10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Uncontrolled cancer-related pain</w:t>
            </w:r>
            <w:r>
              <w:rPr>
                <w:rFonts w:hint="default" w:ascii="Times New Roman Regular" w:hAnsi="Times New Roman Regular" w:cs="Times New Roman Regular"/>
                <w:sz w:val="20"/>
                <w:szCs w:val="20"/>
                <w:lang w:val="en-US" w:eastAsia="zh-CN"/>
              </w:rPr>
              <w:t>;</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before="0" w:beforeLines="100" w:after="0" w:afterLines="100"/>
              <w:ind w:left="635" w:leftChars="100" w:right="210" w:rightChars="100" w:hanging="425" w:firstLineChars="0"/>
              <w:jc w:val="both"/>
              <w:textAlignment w:val="baseline"/>
              <w:rPr>
                <w:rFonts w:hint="default" w:ascii="Times New Roman Regular" w:hAnsi="Times New Roman Regular" w:cs="Times New Roman Regular"/>
                <w:sz w:val="20"/>
                <w:szCs w:val="20"/>
                <w:lang w:val="en-US" w:eastAsia="zh-CN"/>
              </w:rPr>
            </w:pPr>
            <w:r>
              <w:rPr>
                <w:rFonts w:hint="default" w:ascii="Times New Roman Regular" w:hAnsi="Times New Roman Regular" w:cs="Times New Roman Regular"/>
                <w:sz w:val="20"/>
                <w:szCs w:val="20"/>
              </w:rPr>
              <w:t>Uncontrolled pleural effusion, pericardial effusion, or ascites requiring recurrent drainage procedures (once monthly or more frequently)</w:t>
            </w:r>
            <w:r>
              <w:rPr>
                <w:rFonts w:hint="default" w:ascii="Times New Roman Regular" w:hAnsi="Times New Roman Regular" w:cs="Times New Roman Regular"/>
                <w:sz w:val="20"/>
                <w:szCs w:val="20"/>
                <w:lang w:val="en-US" w:eastAsia="zh-CN"/>
              </w:rPr>
              <w:t>;</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before="0" w:beforeLines="100" w:after="0" w:afterLines="100"/>
              <w:ind w:left="635" w:leftChars="100" w:right="210" w:rightChars="100" w:hanging="425" w:firstLineChars="0"/>
              <w:jc w:val="both"/>
              <w:textAlignment w:val="baseline"/>
              <w:rPr>
                <w:rFonts w:hint="default" w:ascii="Times New Roman Regular" w:hAnsi="Times New Roman Regular" w:cs="Times New Roman Regular"/>
                <w:sz w:val="20"/>
                <w:szCs w:val="20"/>
                <w:lang w:val="en-US" w:eastAsia="zh-CN"/>
              </w:rPr>
            </w:pPr>
            <w:r>
              <w:rPr>
                <w:rFonts w:hint="default" w:ascii="Times New Roman Regular" w:hAnsi="Times New Roman Regular" w:cs="Times New Roman Regular"/>
                <w:sz w:val="20"/>
                <w:szCs w:val="20"/>
              </w:rPr>
              <w:t>Uncontrolled or symptomatic hypercalcemia</w:t>
            </w:r>
            <w:r>
              <w:rPr>
                <w:rFonts w:hint="default" w:ascii="Times New Roman Regular" w:hAnsi="Times New Roman Regular" w:cs="Times New Roman Regular"/>
                <w:sz w:val="20"/>
                <w:szCs w:val="20"/>
                <w:lang w:val="en-US" w:eastAsia="zh-CN"/>
              </w:rPr>
              <w:t>;</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before="0" w:beforeLines="100" w:after="0" w:afterLines="100"/>
              <w:ind w:left="635" w:leftChars="100" w:right="210" w:rightChars="100" w:hanging="425" w:firstLineChars="0"/>
              <w:jc w:val="both"/>
              <w:textAlignment w:val="baseline"/>
              <w:rPr>
                <w:rFonts w:hint="default" w:ascii="Times New Roman Regular" w:hAnsi="Times New Roman Regular" w:cs="Times New Roman Regular"/>
                <w:sz w:val="20"/>
                <w:szCs w:val="20"/>
                <w:lang w:val="en-US" w:eastAsia="zh-CN"/>
              </w:rPr>
            </w:pPr>
            <w:r>
              <w:rPr>
                <w:rFonts w:hint="default" w:ascii="Times New Roman Regular" w:hAnsi="Times New Roman Regular" w:cs="Times New Roman Regular"/>
                <w:sz w:val="20"/>
                <w:szCs w:val="20"/>
              </w:rPr>
              <w:t>Bone metastases of the multi-segmental vertebral body, ilium, and other sites</w:t>
            </w:r>
            <w:r>
              <w:rPr>
                <w:rFonts w:hint="default" w:ascii="Times New Roman Regular" w:hAnsi="Times New Roman Regular" w:cs="Times New Roman Regular"/>
                <w:sz w:val="20"/>
                <w:szCs w:val="20"/>
                <w:lang w:val="en-US" w:eastAsia="zh-CN"/>
              </w:rPr>
              <w:t>;</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before="0" w:beforeLines="100" w:after="0" w:afterLines="100"/>
              <w:ind w:left="635" w:leftChars="100" w:right="210" w:rightChars="100" w:hanging="425" w:firstLineChars="0"/>
              <w:jc w:val="both"/>
              <w:textAlignment w:val="baseline"/>
              <w:rPr>
                <w:rFonts w:hint="default" w:ascii="Times New Roman Regular" w:hAnsi="Times New Roman Regular" w:cs="Times New Roman Regular"/>
                <w:sz w:val="20"/>
                <w:szCs w:val="20"/>
                <w:lang w:val="en-US" w:eastAsia="zh-CN"/>
              </w:rPr>
            </w:pPr>
            <w:r>
              <w:rPr>
                <w:rFonts w:hint="default" w:ascii="Times New Roman Regular" w:hAnsi="Times New Roman Regular" w:cs="Times New Roman Regular"/>
                <w:sz w:val="20"/>
                <w:szCs w:val="20"/>
              </w:rPr>
              <w:t>Patients with the tendency to exhibit a complete obstruction under endoscopy that requires interventional therapy or surgery for relief of the obstruction</w:t>
            </w:r>
            <w:r>
              <w:rPr>
                <w:rFonts w:hint="default" w:ascii="Times New Roman Regular" w:hAnsi="Times New Roman Regular" w:cs="Times New Roman Regular"/>
                <w:sz w:val="20"/>
                <w:szCs w:val="20"/>
                <w:lang w:val="en-US" w:eastAsia="zh-CN"/>
              </w:rPr>
              <w:t>;</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before="0" w:beforeLines="100" w:after="0" w:afterLines="100"/>
              <w:ind w:left="635" w:leftChars="100" w:right="210" w:rightChars="100" w:hanging="425" w:firstLineChars="0"/>
              <w:jc w:val="both"/>
              <w:textAlignment w:val="baseline"/>
              <w:rPr>
                <w:rFonts w:hint="default" w:ascii="Times New Roman Regular" w:hAnsi="Times New Roman Regular" w:cs="Times New Roman Regular"/>
                <w:sz w:val="20"/>
                <w:szCs w:val="20"/>
                <w:lang w:val="en-US" w:eastAsia="zh-CN"/>
              </w:rPr>
            </w:pPr>
            <w:r>
              <w:rPr>
                <w:rFonts w:hint="default" w:ascii="Times New Roman Regular" w:hAnsi="Times New Roman Regular" w:cs="Times New Roman Regular"/>
                <w:sz w:val="20"/>
                <w:szCs w:val="20"/>
              </w:rPr>
              <w:t>Stent implanted in the esophagus or trachea</w:t>
            </w:r>
            <w:r>
              <w:rPr>
                <w:rFonts w:hint="default" w:ascii="Times New Roman Regular" w:hAnsi="Times New Roman Regular" w:cs="Times New Roman Regular"/>
                <w:sz w:val="20"/>
                <w:szCs w:val="20"/>
                <w:lang w:val="en-US" w:eastAsia="zh-CN"/>
              </w:rPr>
              <w:t>;</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before="0" w:beforeLines="100" w:after="0" w:afterLines="100"/>
              <w:ind w:left="635" w:leftChars="100" w:right="210" w:rightChars="100" w:hanging="425" w:firstLineChars="0"/>
              <w:jc w:val="both"/>
              <w:textAlignment w:val="baseline"/>
              <w:rPr>
                <w:rFonts w:hint="default" w:ascii="Times New Roman Regular" w:hAnsi="Times New Roman Regular" w:cs="Times New Roman Regular"/>
                <w:sz w:val="20"/>
                <w:szCs w:val="20"/>
                <w:lang w:val="en-US" w:eastAsia="zh-CN"/>
              </w:rPr>
            </w:pPr>
            <w:r>
              <w:rPr>
                <w:rFonts w:hint="default" w:ascii="Times New Roman Regular" w:hAnsi="Times New Roman Regular" w:cs="Times New Roman Regular"/>
                <w:sz w:val="20"/>
                <w:szCs w:val="20"/>
              </w:rPr>
              <w:t>High risk of hemorrhage or perforations due to tumor invasion in adjacent organs (aorta or trachea), or the presence of a fistula</w:t>
            </w:r>
            <w:r>
              <w:rPr>
                <w:rFonts w:hint="default" w:ascii="Times New Roman Regular" w:hAnsi="Times New Roman Regular" w:cs="Times New Roman Regular"/>
                <w:sz w:val="20"/>
                <w:szCs w:val="20"/>
                <w:lang w:val="en-US" w:eastAsia="zh-CN"/>
              </w:rPr>
              <w:t>;</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before="0" w:beforeLines="100" w:after="0" w:afterLines="100"/>
              <w:ind w:left="635" w:leftChars="100" w:right="210" w:rightChars="100" w:hanging="425" w:firstLineChars="0"/>
              <w:jc w:val="both"/>
              <w:textAlignment w:val="baseline"/>
              <w:rPr>
                <w:rFonts w:hint="default" w:ascii="Times New Roman Regular" w:hAnsi="Times New Roman Regular" w:cs="Times New Roman Regular"/>
                <w:sz w:val="20"/>
                <w:szCs w:val="20"/>
                <w:lang w:val="en-US" w:eastAsia="zh-CN"/>
              </w:rPr>
            </w:pPr>
            <w:r>
              <w:rPr>
                <w:rFonts w:hint="default" w:ascii="Times New Roman Regular" w:hAnsi="Times New Roman Regular" w:cs="Times New Roman Regular"/>
                <w:sz w:val="20"/>
                <w:szCs w:val="20"/>
              </w:rPr>
              <w:t>Known</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or</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suspected</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allergy</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or</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hypersensitivity</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to monoclonal antibodies, any ingredients of toripalimab, and the chemotherapeutic drugs paclitaxel or carboplatin</w:t>
            </w:r>
            <w:r>
              <w:rPr>
                <w:rFonts w:hint="default" w:ascii="Times New Roman Regular" w:hAnsi="Times New Roman Regular" w:cs="Times New Roman Regular"/>
                <w:sz w:val="20"/>
                <w:szCs w:val="20"/>
                <w:lang w:val="en-US" w:eastAsia="zh-CN"/>
              </w:rPr>
              <w:t>;</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before="0" w:beforeLines="100" w:after="0" w:afterLines="100"/>
              <w:ind w:left="635" w:leftChars="100" w:right="210" w:rightChars="100" w:hanging="425" w:firstLineChars="0"/>
              <w:jc w:val="both"/>
              <w:textAlignment w:val="baseline"/>
              <w:rPr>
                <w:rFonts w:hint="default" w:ascii="Times New Roman Regular" w:hAnsi="Times New Roman Regular" w:cs="Times New Roman Regular"/>
                <w:sz w:val="20"/>
                <w:szCs w:val="20"/>
                <w:lang w:val="en-US" w:eastAsia="zh-CN"/>
              </w:rPr>
            </w:pPr>
            <w:r>
              <w:rPr>
                <w:rFonts w:hint="default" w:ascii="Times New Roman Regular" w:hAnsi="Times New Roman Regular" w:cs="Times New Roman Regular"/>
                <w:sz w:val="20"/>
                <w:szCs w:val="20"/>
              </w:rPr>
              <w:t>History of or comorbid bleeding disease</w:t>
            </w:r>
            <w:r>
              <w:rPr>
                <w:rFonts w:hint="default" w:ascii="Times New Roman Regular" w:hAnsi="Times New Roman Regular" w:cs="Times New Roman Regular"/>
                <w:sz w:val="20"/>
                <w:szCs w:val="20"/>
                <w:lang w:val="en-US" w:eastAsia="zh-CN"/>
              </w:rPr>
              <w:t>;</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before="0" w:beforeLines="100" w:after="0" w:afterLines="100"/>
              <w:ind w:left="635" w:leftChars="10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Dsease of the hematopoietic or immune system, or cachexia</w:t>
            </w:r>
            <w:r>
              <w:rPr>
                <w:rFonts w:hint="default" w:ascii="Times New Roman Regular" w:hAnsi="Times New Roman Regular" w:cs="Times New Roman Regular"/>
                <w:sz w:val="20"/>
                <w:szCs w:val="20"/>
                <w:lang w:val="en-US" w:eastAsia="zh-CN"/>
              </w:rPr>
              <w:t>;</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before="0" w:beforeLines="100" w:after="0" w:afterLines="100"/>
              <w:ind w:left="635" w:leftChars="100" w:right="210" w:rightChars="100" w:hanging="425" w:firstLineChars="0"/>
              <w:jc w:val="both"/>
              <w:textAlignment w:val="baseline"/>
              <w:rPr>
                <w:rFonts w:hint="default" w:ascii="Times New Roman Regular" w:hAnsi="Times New Roman Regular" w:cs="Times New Roman Regular"/>
                <w:sz w:val="20"/>
                <w:szCs w:val="20"/>
                <w:lang w:val="en-US" w:eastAsia="zh-CN"/>
              </w:rPr>
            </w:pPr>
            <w:r>
              <w:rPr>
                <w:rFonts w:hint="default" w:ascii="Times New Roman Regular" w:hAnsi="Times New Roman Regular" w:cs="Times New Roman Regular"/>
                <w:sz w:val="20"/>
                <w:szCs w:val="20"/>
              </w:rPr>
              <w:t>Participation in another interventional clinical study at the same time</w:t>
            </w:r>
            <w:r>
              <w:rPr>
                <w:rFonts w:hint="default" w:ascii="Times New Roman Regular" w:hAnsi="Times New Roman Regular" w:cs="Times New Roman Regular"/>
                <w:sz w:val="20"/>
                <w:szCs w:val="20"/>
                <w:lang w:val="en-US" w:eastAsia="zh-CN"/>
              </w:rPr>
              <w:t>;</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before="0" w:beforeLines="100" w:after="0" w:afterLines="100"/>
              <w:ind w:left="635" w:leftChars="10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Female patients who are pregnant or lactating;</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before="0" w:beforeLines="100" w:after="0" w:afterLines="100"/>
              <w:ind w:left="635" w:leftChars="10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Inability</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to</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provide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informed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consent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due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 psychological, familial, social and other factors;</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before="0" w:beforeLines="100" w:after="0" w:afterLines="100"/>
              <w:ind w:left="635" w:leftChars="10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 history of malignancies other than esophageal cancer before enrollment, excluding non-melanoma skin cancer, in situ cervical cancer, or cured early prostate cancer;</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before="0" w:beforeLines="100" w:after="0" w:afterLines="100"/>
              <w:ind w:left="635" w:leftChars="10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Patients who cannot tolerate chemoradiotherapy due to severe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cardiac,</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lung,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liver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kidney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dysfunction,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 hematopoietic disease or cachexia;</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before="0" w:beforeLines="100" w:after="0" w:afterLines="100"/>
              <w:ind w:left="635" w:leftChars="10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 history of diabetes for more than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10 years and poorly controlled blood glucose levels;</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before="0" w:beforeLines="100" w:after="0" w:afterLines="100"/>
              <w:ind w:left="635" w:leftChars="10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Active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autoimmune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diseases,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history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 autoimmune diseases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(including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but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not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limited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these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diseases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 syndromes,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such</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colitis,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hepatitis,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hyperthyroidism),</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 history of immunodeficiency (including a positive HIV test result),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other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acquired or congenital immunodeficiency diseases,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history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organ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transplantation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allogeneic bone marrow transplantation;</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before="0" w:beforeLines="100" w:after="0" w:afterLines="100"/>
              <w:ind w:left="635" w:leftChars="10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 history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 interstitial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lung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disease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non-infectious pneumonia</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before="0" w:beforeLines="100" w:after="0" w:afterLines="100"/>
              <w:ind w:left="635" w:leftChars="10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Presence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active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hepatitis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(HBV</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DNA</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2000 IU/mL or 104 copies/mL), hepatitis C (positive for hepatitis C</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antibody,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 HCV-RNA</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levels higher than the lower limit of the assay);</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before="0" w:beforeLines="100" w:after="0" w:afterLines="100"/>
              <w:ind w:left="635" w:leftChars="10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Any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unstable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condition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condition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that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may compromise patients’ safety and compliance.</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130" w:hRule="atLeast"/>
        </w:trPr>
        <w:tc>
          <w:tcPr>
            <w:tcW w:w="2815"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ind w:left="210" w:leftChars="100" w:right="210" w:rightChars="100" w:firstLine="220" w:firstLineChars="100"/>
              <w:jc w:val="both"/>
              <w:textAlignment w:val="baseline"/>
              <w:rPr>
                <w:rFonts w:hint="default" w:ascii="Times New Roman Regular" w:hAnsi="Times New Roman Regular" w:cs="Times New Roman Regular"/>
                <w:b/>
                <w:bCs/>
                <w:sz w:val="22"/>
                <w:szCs w:val="22"/>
              </w:rPr>
            </w:pPr>
            <w:r>
              <w:rPr>
                <w:rFonts w:hint="default" w:ascii="Times New Roman Regular" w:hAnsi="Times New Roman Regular" w:cs="Times New Roman Regular"/>
                <w:b/>
                <w:bCs/>
                <w:sz w:val="22"/>
                <w:szCs w:val="22"/>
              </w:rPr>
              <w:t>Duration of Trial</w:t>
            </w:r>
          </w:p>
        </w:tc>
        <w:tc>
          <w:tcPr>
            <w:tcW w:w="5572"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ind w:left="210" w:leftChars="100" w:right="210" w:rightChars="100"/>
              <w:jc w:val="both"/>
              <w:textAlignment w:val="baseline"/>
              <w:rPr>
                <w:rFonts w:hint="default" w:ascii="Times New Roman Regular" w:hAnsi="Times New Roman Regular" w:eastAsia="宋体" w:cs="Times New Roman Regular"/>
                <w:sz w:val="20"/>
                <w:szCs w:val="20"/>
                <w:lang w:val="en-US" w:eastAsia="zh-CN"/>
              </w:rPr>
            </w:pPr>
            <w:r>
              <w:rPr>
                <w:rFonts w:hint="default" w:ascii="Times New Roman Regular" w:hAnsi="Times New Roman Regular" w:cs="Times New Roman Regular"/>
                <w:sz w:val="20"/>
                <w:szCs w:val="20"/>
              </w:rPr>
              <w:t>Estimated enrollment time of the first subject：Ju</w:t>
            </w:r>
            <w:r>
              <w:rPr>
                <w:rFonts w:hint="default" w:ascii="Times New Roman Regular" w:hAnsi="Times New Roman Regular" w:eastAsia="宋体" w:cs="Times New Roman Regular"/>
                <w:sz w:val="20"/>
                <w:szCs w:val="20"/>
                <w:lang w:val="en-US" w:eastAsia="zh-CN"/>
              </w:rPr>
              <w:t>ne</w:t>
            </w:r>
            <w:r>
              <w:rPr>
                <w:rFonts w:hint="default" w:ascii="Times New Roman Regular" w:hAnsi="Times New Roman Regular" w:cs="Times New Roman Regular"/>
                <w:sz w:val="20"/>
                <w:szCs w:val="20"/>
              </w:rPr>
              <w:t xml:space="preserve"> 20</w:t>
            </w:r>
            <w:r>
              <w:rPr>
                <w:rFonts w:hint="default" w:ascii="Times New Roman Regular" w:hAnsi="Times New Roman Regular" w:eastAsia="宋体" w:cs="Times New Roman Regular"/>
                <w:sz w:val="20"/>
                <w:szCs w:val="20"/>
                <w:lang w:val="en-US" w:eastAsia="zh-CN"/>
              </w:rPr>
              <w:t>21</w:t>
            </w:r>
          </w:p>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ind w:right="210" w:rightChars="100" w:firstLine="200" w:firstLineChars="100"/>
              <w:jc w:val="both"/>
              <w:textAlignment w:val="baseline"/>
              <w:rPr>
                <w:rFonts w:hint="default" w:ascii="Times New Roman Regular" w:hAnsi="Times New Roman Regular" w:eastAsia="宋体" w:cs="Times New Roman Regular"/>
                <w:sz w:val="20"/>
                <w:szCs w:val="20"/>
                <w:lang w:val="en-US" w:eastAsia="zh-CN"/>
              </w:rPr>
            </w:pPr>
            <w:r>
              <w:rPr>
                <w:rFonts w:hint="default" w:ascii="Times New Roman Regular" w:hAnsi="Times New Roman Regular" w:cs="Times New Roman Regular"/>
                <w:sz w:val="20"/>
                <w:szCs w:val="20"/>
              </w:rPr>
              <w:t>Estimated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enrollment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time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last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subject：</w:t>
            </w:r>
            <w:r>
              <w:rPr>
                <w:rFonts w:hint="default" w:ascii="Times New Roman Regular" w:hAnsi="Times New Roman Regular" w:eastAsia="宋体" w:cs="Times New Roman Regular"/>
                <w:sz w:val="20"/>
                <w:szCs w:val="20"/>
                <w:lang w:val="en-US" w:eastAsia="zh-CN"/>
              </w:rPr>
              <w:t>June</w:t>
            </w:r>
            <w:r>
              <w:rPr>
                <w:rFonts w:hint="default" w:ascii="Times New Roman Regular" w:hAnsi="Times New Roman Regular" w:cs="Times New Roman Regular"/>
                <w:sz w:val="20"/>
                <w:szCs w:val="20"/>
              </w:rPr>
              <w:t xml:space="preserve"> 202</w:t>
            </w:r>
            <w:r>
              <w:rPr>
                <w:rFonts w:hint="default" w:ascii="Times New Roman Regular" w:hAnsi="Times New Roman Regular" w:eastAsia="宋体" w:cs="Times New Roman Regular"/>
                <w:sz w:val="20"/>
                <w:szCs w:val="20"/>
                <w:lang w:val="en-US" w:eastAsia="zh-CN"/>
              </w:rPr>
              <w:t>2</w:t>
            </w:r>
          </w:p>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ind w:left="210" w:leftChars="100" w:right="210" w:rightChars="100"/>
              <w:jc w:val="both"/>
              <w:textAlignment w:val="baseline"/>
              <w:rPr>
                <w:rFonts w:hint="default" w:ascii="Times New Roman Regular" w:hAnsi="Times New Roman Regular" w:eastAsia="宋体" w:cs="Times New Roman Regular"/>
                <w:sz w:val="20"/>
                <w:szCs w:val="20"/>
                <w:lang w:val="en-US" w:eastAsia="zh-CN"/>
              </w:rPr>
            </w:pPr>
            <w:r>
              <w:rPr>
                <w:rFonts w:hint="default" w:ascii="Times New Roman Regular" w:hAnsi="Times New Roman Regular" w:cs="Times New Roman Regular"/>
                <w:sz w:val="20"/>
                <w:szCs w:val="20"/>
              </w:rPr>
              <w:t xml:space="preserve">Estimated end time of the study: </w:t>
            </w:r>
            <w:r>
              <w:rPr>
                <w:rFonts w:hint="default" w:ascii="Times New Roman Regular" w:hAnsi="Times New Roman Regular" w:eastAsia="宋体" w:cs="Times New Roman Regular"/>
                <w:sz w:val="20"/>
                <w:szCs w:val="20"/>
                <w:lang w:val="en-US" w:eastAsia="zh-CN"/>
              </w:rPr>
              <w:t>June</w:t>
            </w:r>
            <w:r>
              <w:rPr>
                <w:rFonts w:hint="default" w:ascii="Times New Roman Regular" w:hAnsi="Times New Roman Regular" w:cs="Times New Roman Regular"/>
                <w:sz w:val="20"/>
                <w:szCs w:val="20"/>
              </w:rPr>
              <w:t xml:space="preserve"> 202</w:t>
            </w:r>
            <w:r>
              <w:rPr>
                <w:rFonts w:hint="default" w:ascii="Times New Roman Regular" w:hAnsi="Times New Roman Regular" w:eastAsia="宋体" w:cs="Times New Roman Regular"/>
                <w:sz w:val="20"/>
                <w:szCs w:val="20"/>
                <w:lang w:val="en-US" w:eastAsia="zh-CN"/>
              </w:rPr>
              <w:t>3</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130" w:hRule="atLeast"/>
        </w:trPr>
        <w:tc>
          <w:tcPr>
            <w:tcW w:w="2815"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ind w:left="210" w:leftChars="100" w:right="210" w:rightChars="100"/>
              <w:jc w:val="both"/>
              <w:textAlignment w:val="baseline"/>
              <w:rPr>
                <w:rFonts w:hint="default" w:ascii="Times New Roman Regular" w:hAnsi="Times New Roman Regular" w:eastAsia="Arial" w:cs="Times New Roman Regular"/>
                <w:b/>
                <w:bCs/>
                <w:snapToGrid w:val="0"/>
                <w:color w:val="000000"/>
                <w:kern w:val="0"/>
                <w:sz w:val="22"/>
                <w:szCs w:val="22"/>
                <w:lang w:val="en-US" w:eastAsia="en-US" w:bidi="ar-SA"/>
              </w:rPr>
            </w:pPr>
            <w:r>
              <w:rPr>
                <w:rFonts w:hint="default" w:ascii="Times New Roman Regular" w:hAnsi="Times New Roman Regular" w:cs="Times New Roman Regular"/>
                <w:b/>
                <w:bCs/>
                <w:sz w:val="22"/>
                <w:szCs w:val="22"/>
              </w:rPr>
              <w:t>Therapeutic Regimen</w:t>
            </w:r>
          </w:p>
        </w:tc>
        <w:tc>
          <w:tcPr>
            <w:tcW w:w="5572" w:type="dxa"/>
            <w:tcBorders>
              <w:top w:val="single" w:color="000000" w:sz="2" w:space="0"/>
              <w:bottom w:val="single" w:color="000000" w:sz="2" w:space="0"/>
            </w:tcBorders>
            <w:vAlign w:val="center"/>
          </w:tcPr>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beforeLines="100" w:after="0" w:afterLines="100"/>
              <w:ind w:left="210" w:leftChars="100" w:right="210" w:rightChars="100"/>
              <w:jc w:val="both"/>
              <w:textAlignment w:val="baseline"/>
              <w:rPr>
                <w:rFonts w:hint="default" w:ascii="Times New Roman Regular" w:hAnsi="Times New Roman Regular" w:eastAsia="宋体" w:cs="Times New Roman Regular"/>
                <w:b/>
                <w:bCs/>
                <w:sz w:val="20"/>
                <w:szCs w:val="20"/>
                <w:lang w:val="en-US" w:eastAsia="zh-CN"/>
              </w:rPr>
            </w:pPr>
            <w:r>
              <w:rPr>
                <w:rFonts w:hint="default" w:ascii="Times New Roman Regular" w:hAnsi="Times New Roman Regular" w:eastAsia="宋体" w:cs="Times New Roman Regular"/>
                <w:b/>
                <w:bCs/>
                <w:sz w:val="20"/>
                <w:szCs w:val="20"/>
                <w:lang w:val="en-US" w:eastAsia="zh-CN"/>
              </w:rPr>
              <w:t>Induction</w:t>
            </w:r>
            <w:r>
              <w:rPr>
                <w:rFonts w:hint="default" w:ascii="Times New Roman Regular" w:hAnsi="Times New Roman Regular" w:cs="Times New Roman Regular"/>
                <w:b/>
                <w:bCs/>
                <w:sz w:val="20"/>
                <w:szCs w:val="20"/>
              </w:rPr>
              <w:t xml:space="preserve"> chemotherapy + Immunotherapy</w:t>
            </w:r>
            <w:r>
              <w:rPr>
                <w:rFonts w:hint="default" w:ascii="Times New Roman Regular" w:hAnsi="Times New Roman Regular" w:eastAsia="宋体" w:cs="Times New Roman Regular"/>
                <w:b/>
                <w:bCs/>
                <w:sz w:val="20"/>
                <w:szCs w:val="20"/>
                <w:lang w:val="en-US" w:eastAsia="zh-CN"/>
              </w:rPr>
              <w:t>:</w:t>
            </w:r>
          </w:p>
          <w:p>
            <w:pPr>
              <w:keepNext w:val="0"/>
              <w:keepLines w:val="0"/>
              <w:pageBreakBefore w:val="0"/>
              <w:widowControl/>
              <w:numPr>
                <w:ilvl w:val="0"/>
                <w:numId w:val="6"/>
              </w:numPr>
              <w:kinsoku w:val="0"/>
              <w:wordWrap/>
              <w:overflowPunct/>
              <w:topLinePunct w:val="0"/>
              <w:autoSpaceDE w:val="0"/>
              <w:autoSpaceDN w:val="0"/>
              <w:bidi w:val="0"/>
              <w:adjustRightInd w:val="0"/>
              <w:snapToGrid w:val="0"/>
              <w:spacing w:before="0" w:beforeLines="100" w:after="0" w:afterLines="100"/>
              <w:ind w:left="630" w:leftChars="100" w:right="210" w:rightChars="100" w:hanging="420" w:firstLineChars="0"/>
              <w:jc w:val="both"/>
              <w:textAlignment w:val="baseline"/>
              <w:rPr>
                <w:rFonts w:hint="default" w:ascii="Times New Roman Regular" w:hAnsi="Times New Roman Regular" w:eastAsia="宋体" w:cs="Times New Roman Regular"/>
                <w:bCs/>
                <w:sz w:val="20"/>
                <w:szCs w:val="20"/>
                <w:lang w:val="en-US" w:eastAsia="zh-CN"/>
              </w:rPr>
            </w:pPr>
            <w:r>
              <w:rPr>
                <w:rFonts w:hint="default" w:ascii="Times New Roman Regular" w:hAnsi="Times New Roman Regular" w:cs="Times New Roman Regular"/>
                <w:sz w:val="20"/>
                <w:szCs w:val="20"/>
              </w:rPr>
              <w:t xml:space="preserve">Paclitaxel: </w:t>
            </w:r>
            <w:r>
              <w:rPr>
                <w:rFonts w:hint="default" w:ascii="Times New Roman Regular" w:hAnsi="Times New Roman Regular" w:eastAsia="宋体" w:cs="Times New Roman Regular"/>
                <w:sz w:val="20"/>
                <w:szCs w:val="20"/>
                <w:lang w:val="en-US" w:eastAsia="zh-CN"/>
              </w:rPr>
              <w:t>135-175</w:t>
            </w:r>
            <w:r>
              <w:rPr>
                <w:rFonts w:hint="default" w:ascii="Times New Roman Regular" w:hAnsi="Times New Roman Regular" w:cs="Times New Roman Regular"/>
                <w:sz w:val="20"/>
                <w:szCs w:val="20"/>
              </w:rPr>
              <w:t xml:space="preserve"> mg/m2, ivdrip, d</w:t>
            </w:r>
            <w:r>
              <w:rPr>
                <w:rFonts w:hint="default" w:ascii="Times New Roman Regular" w:hAnsi="Times New Roman Regular" w:eastAsia="宋体" w:cs="Times New Roman Regular"/>
                <w:sz w:val="20"/>
                <w:szCs w:val="20"/>
                <w:lang w:val="en-US" w:eastAsia="zh-CN"/>
              </w:rPr>
              <w:t xml:space="preserve">1, </w:t>
            </w:r>
            <w:r>
              <w:rPr>
                <w:rFonts w:hint="default" w:ascii="Times New Roman Regular" w:hAnsi="Times New Roman Regular" w:cs="Times New Roman Regular"/>
                <w:sz w:val="20"/>
                <w:szCs w:val="20"/>
              </w:rPr>
              <w:t>+</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eastAsia="宋体" w:cs="Times New Roman Regular"/>
                <w:bCs/>
                <w:sz w:val="20"/>
                <w:szCs w:val="20"/>
                <w:lang w:val="en-US" w:eastAsia="zh-CN"/>
              </w:rPr>
              <w:t>C</w:t>
            </w:r>
            <w:r>
              <w:rPr>
                <w:rFonts w:hint="default" w:ascii="Times New Roman Regular" w:hAnsi="Times New Roman Regular" w:cs="Times New Roman Regular"/>
                <w:bCs/>
                <w:sz w:val="20"/>
                <w:szCs w:val="20"/>
              </w:rPr>
              <w:t>arboplatin</w:t>
            </w:r>
            <w:r>
              <w:rPr>
                <w:rFonts w:hint="default" w:ascii="Times New Roman Regular" w:hAnsi="Times New Roman Regular" w:eastAsia="宋体" w:cs="Times New Roman Regular"/>
                <w:bCs/>
                <w:sz w:val="20"/>
                <w:szCs w:val="20"/>
                <w:lang w:val="en-US" w:eastAsia="zh-CN"/>
              </w:rPr>
              <w:t xml:space="preserve">: </w:t>
            </w:r>
            <w:r>
              <w:rPr>
                <w:rFonts w:hint="default" w:ascii="Times New Roman Regular" w:hAnsi="Times New Roman Regular" w:cs="Times New Roman Regular"/>
                <w:bCs/>
                <w:sz w:val="20"/>
                <w:szCs w:val="20"/>
              </w:rPr>
              <w:t>area under the curve [AUC] = 4–6,</w:t>
            </w:r>
            <w:r>
              <w:rPr>
                <w:rFonts w:hint="default" w:ascii="Times New Roman Regular" w:hAnsi="Times New Roman Regular" w:eastAsia="宋体" w:cs="Times New Roman Regular"/>
                <w:bCs/>
                <w:sz w:val="20"/>
                <w:szCs w:val="20"/>
                <w:lang w:val="en-US" w:eastAsia="zh-CN"/>
              </w:rPr>
              <w:t xml:space="preserve"> </w:t>
            </w:r>
            <w:r>
              <w:rPr>
                <w:rFonts w:hint="default" w:ascii="Times New Roman Regular" w:hAnsi="Times New Roman Regular" w:cs="Times New Roman Regular"/>
                <w:sz w:val="20"/>
                <w:szCs w:val="20"/>
              </w:rPr>
              <w:t>ivdrip, d1</w:t>
            </w:r>
            <w:r>
              <w:rPr>
                <w:rFonts w:hint="default" w:ascii="Times New Roman Regular" w:hAnsi="Times New Roman Regular" w:eastAsia="宋体" w:cs="Times New Roman Regular"/>
                <w:sz w:val="20"/>
                <w:szCs w:val="20"/>
                <w:lang w:val="en-US" w:eastAsia="zh-CN"/>
              </w:rPr>
              <w:t>, every 3 weeks, total 2 cycles</w:t>
            </w:r>
          </w:p>
          <w:p>
            <w:pPr>
              <w:keepNext w:val="0"/>
              <w:keepLines w:val="0"/>
              <w:pageBreakBefore w:val="0"/>
              <w:widowControl/>
              <w:numPr>
                <w:ilvl w:val="0"/>
                <w:numId w:val="6"/>
              </w:numPr>
              <w:kinsoku w:val="0"/>
              <w:wordWrap/>
              <w:overflowPunct/>
              <w:topLinePunct w:val="0"/>
              <w:autoSpaceDE w:val="0"/>
              <w:autoSpaceDN w:val="0"/>
              <w:bidi w:val="0"/>
              <w:adjustRightInd w:val="0"/>
              <w:snapToGrid w:val="0"/>
              <w:spacing w:before="0" w:beforeLines="100" w:after="0" w:afterLines="100"/>
              <w:ind w:left="630" w:leftChars="100" w:right="210" w:rightChars="100" w:hanging="420" w:firstLineChars="0"/>
              <w:jc w:val="both"/>
              <w:textAlignment w:val="baseline"/>
              <w:rPr>
                <w:rFonts w:hint="default" w:ascii="Times New Roman Regular" w:hAnsi="Times New Roman Regular" w:eastAsia="宋体" w:cs="Times New Roman Regular"/>
                <w:sz w:val="20"/>
                <w:szCs w:val="20"/>
                <w:lang w:val="en-US" w:eastAsia="zh-CN"/>
              </w:rPr>
            </w:pPr>
            <w:r>
              <w:rPr>
                <w:rFonts w:hint="default" w:ascii="Times New Roman Regular" w:hAnsi="Times New Roman Regular" w:cs="Times New Roman Regular"/>
                <w:sz w:val="20"/>
                <w:szCs w:val="20"/>
              </w:rPr>
              <w:t>Toripalimab: 240 mg, ivdrip, d</w:t>
            </w:r>
            <w:r>
              <w:rPr>
                <w:rFonts w:hint="default" w:ascii="Times New Roman Regular" w:hAnsi="Times New Roman Regular" w:eastAsia="宋体" w:cs="Times New Roman Regular"/>
                <w:sz w:val="20"/>
                <w:szCs w:val="20"/>
                <w:lang w:val="en-US" w:eastAsia="zh-CN"/>
              </w:rPr>
              <w:t>1, every 3 weeks, total 2 cycles</w:t>
            </w:r>
          </w:p>
          <w:p>
            <w:pPr>
              <w:pStyle w:val="11"/>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before="0" w:beforeLines="100" w:beforeAutospacing="0" w:after="0" w:afterLines="100" w:afterAutospacing="0"/>
              <w:ind w:left="210" w:leftChars="100" w:right="210" w:rightChars="100"/>
              <w:jc w:val="both"/>
              <w:textAlignment w:val="baseline"/>
              <w:rPr>
                <w:rFonts w:hint="default" w:ascii="Times New Roman Regular" w:hAnsi="Times New Roman Regular" w:eastAsia="Arial" w:cs="Times New Roman Regular"/>
                <w:b/>
                <w:bCs/>
                <w:snapToGrid w:val="0"/>
                <w:color w:val="000000"/>
                <w:kern w:val="0"/>
                <w:sz w:val="20"/>
                <w:szCs w:val="20"/>
                <w:lang w:val="en-US" w:eastAsia="en-US" w:bidi="ar-SA"/>
              </w:rPr>
            </w:pPr>
            <w:r>
              <w:rPr>
                <w:rFonts w:hint="default" w:ascii="Times New Roman Regular" w:hAnsi="Times New Roman Regular" w:eastAsia="Arial" w:cs="Times New Roman Regular"/>
                <w:b/>
                <w:bCs/>
                <w:snapToGrid w:val="0"/>
                <w:color w:val="000000"/>
                <w:kern w:val="0"/>
                <w:sz w:val="20"/>
                <w:szCs w:val="20"/>
                <w:lang w:val="en-US" w:eastAsia="en-US" w:bidi="ar-SA"/>
              </w:rPr>
              <w:t>Concurrent radiochemotherapy combined with immunotherapy:</w:t>
            </w:r>
          </w:p>
          <w:p>
            <w:pPr>
              <w:keepNext w:val="0"/>
              <w:keepLines w:val="0"/>
              <w:pageBreakBefore w:val="0"/>
              <w:widowControl/>
              <w:numPr>
                <w:ilvl w:val="0"/>
                <w:numId w:val="6"/>
              </w:numPr>
              <w:kinsoku w:val="0"/>
              <w:wordWrap/>
              <w:overflowPunct/>
              <w:topLinePunct w:val="0"/>
              <w:autoSpaceDE w:val="0"/>
              <w:autoSpaceDN w:val="0"/>
              <w:bidi w:val="0"/>
              <w:adjustRightInd w:val="0"/>
              <w:snapToGrid w:val="0"/>
              <w:spacing w:before="0" w:beforeLines="100" w:after="0" w:afterLines="100"/>
              <w:ind w:left="630" w:leftChars="100" w:right="210" w:rightChars="100" w:hanging="420" w:firstLineChars="0"/>
              <w:jc w:val="both"/>
              <w:textAlignment w:val="baseline"/>
              <w:rPr>
                <w:rFonts w:hint="default" w:ascii="Times New Roman Regular" w:hAnsi="Times New Roman Regular" w:eastAsia="宋体" w:cs="Times New Roman Regular"/>
                <w:bCs/>
                <w:sz w:val="20"/>
                <w:szCs w:val="20"/>
                <w:lang w:val="en-US" w:eastAsia="zh-CN"/>
              </w:rPr>
            </w:pPr>
            <w:r>
              <w:rPr>
                <w:rFonts w:hint="default" w:ascii="Times New Roman Regular" w:hAnsi="Times New Roman Regular" w:cs="Times New Roman Regular"/>
                <w:sz w:val="20"/>
                <w:szCs w:val="20"/>
              </w:rPr>
              <w:t xml:space="preserve">Paclitaxel: </w:t>
            </w:r>
            <w:r>
              <w:rPr>
                <w:rFonts w:hint="default" w:ascii="Times New Roman Regular" w:hAnsi="Times New Roman Regular" w:eastAsia="宋体" w:cs="Times New Roman Regular"/>
                <w:sz w:val="20"/>
                <w:szCs w:val="20"/>
                <w:lang w:val="en-US" w:eastAsia="zh-CN"/>
              </w:rPr>
              <w:t>135-175</w:t>
            </w:r>
            <w:r>
              <w:rPr>
                <w:rFonts w:hint="default" w:ascii="Times New Roman Regular" w:hAnsi="Times New Roman Regular" w:cs="Times New Roman Regular"/>
                <w:sz w:val="20"/>
                <w:szCs w:val="20"/>
              </w:rPr>
              <w:t xml:space="preserve"> mg/m2, ivdrip, d</w:t>
            </w:r>
            <w:r>
              <w:rPr>
                <w:rFonts w:hint="default" w:ascii="Times New Roman Regular" w:hAnsi="Times New Roman Regular" w:eastAsia="宋体" w:cs="Times New Roman Regular"/>
                <w:sz w:val="20"/>
                <w:szCs w:val="20"/>
                <w:lang w:val="en-US" w:eastAsia="zh-CN"/>
              </w:rPr>
              <w:t xml:space="preserve">1, </w:t>
            </w:r>
            <w:r>
              <w:rPr>
                <w:rFonts w:hint="default" w:ascii="Times New Roman Regular" w:hAnsi="Times New Roman Regular" w:cs="Times New Roman Regular"/>
                <w:sz w:val="20"/>
                <w:szCs w:val="20"/>
              </w:rPr>
              <w:t>+</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eastAsia="宋体" w:cs="Times New Roman Regular"/>
                <w:bCs/>
                <w:sz w:val="20"/>
                <w:szCs w:val="20"/>
                <w:lang w:val="en-US" w:eastAsia="zh-CN"/>
              </w:rPr>
              <w:t>C</w:t>
            </w:r>
            <w:r>
              <w:rPr>
                <w:rFonts w:hint="default" w:ascii="Times New Roman Regular" w:hAnsi="Times New Roman Regular" w:cs="Times New Roman Regular"/>
                <w:bCs/>
                <w:sz w:val="20"/>
                <w:szCs w:val="20"/>
              </w:rPr>
              <w:t>arboplatin</w:t>
            </w:r>
            <w:r>
              <w:rPr>
                <w:rFonts w:hint="default" w:ascii="Times New Roman Regular" w:hAnsi="Times New Roman Regular" w:eastAsia="宋体" w:cs="Times New Roman Regular"/>
                <w:bCs/>
                <w:sz w:val="20"/>
                <w:szCs w:val="20"/>
                <w:lang w:val="en-US" w:eastAsia="zh-CN"/>
              </w:rPr>
              <w:t xml:space="preserve">: </w:t>
            </w:r>
            <w:r>
              <w:rPr>
                <w:rFonts w:hint="default" w:ascii="Times New Roman Regular" w:hAnsi="Times New Roman Regular" w:cs="Times New Roman Regular"/>
                <w:bCs/>
                <w:sz w:val="20"/>
                <w:szCs w:val="20"/>
              </w:rPr>
              <w:t>area under the curve [AUC] = 4–6,</w:t>
            </w:r>
            <w:r>
              <w:rPr>
                <w:rFonts w:hint="default" w:ascii="Times New Roman Regular" w:hAnsi="Times New Roman Regular" w:eastAsia="宋体" w:cs="Times New Roman Regular"/>
                <w:bCs/>
                <w:sz w:val="20"/>
                <w:szCs w:val="20"/>
                <w:lang w:val="en-US" w:eastAsia="zh-CN"/>
              </w:rPr>
              <w:t xml:space="preserve"> </w:t>
            </w:r>
            <w:r>
              <w:rPr>
                <w:rFonts w:hint="default" w:ascii="Times New Roman Regular" w:hAnsi="Times New Roman Regular" w:cs="Times New Roman Regular"/>
                <w:sz w:val="20"/>
                <w:szCs w:val="20"/>
              </w:rPr>
              <w:t>ivdrip, d1</w:t>
            </w:r>
            <w:r>
              <w:rPr>
                <w:rFonts w:hint="default" w:ascii="Times New Roman Regular" w:hAnsi="Times New Roman Regular" w:eastAsia="宋体" w:cs="Times New Roman Regular"/>
                <w:sz w:val="20"/>
                <w:szCs w:val="20"/>
                <w:lang w:val="en-US" w:eastAsia="zh-CN"/>
              </w:rPr>
              <w:t>, every 3 weeks, total 2 cycles</w:t>
            </w:r>
          </w:p>
          <w:p>
            <w:pPr>
              <w:keepNext w:val="0"/>
              <w:keepLines w:val="0"/>
              <w:pageBreakBefore w:val="0"/>
              <w:widowControl/>
              <w:numPr>
                <w:ilvl w:val="0"/>
                <w:numId w:val="6"/>
              </w:numPr>
              <w:kinsoku w:val="0"/>
              <w:wordWrap/>
              <w:overflowPunct/>
              <w:topLinePunct w:val="0"/>
              <w:autoSpaceDE w:val="0"/>
              <w:autoSpaceDN w:val="0"/>
              <w:bidi w:val="0"/>
              <w:adjustRightInd w:val="0"/>
              <w:snapToGrid w:val="0"/>
              <w:spacing w:before="0" w:beforeLines="100" w:after="0" w:afterLines="100"/>
              <w:ind w:left="630" w:leftChars="100" w:right="210" w:rightChars="100" w:hanging="420" w:firstLineChars="0"/>
              <w:jc w:val="both"/>
              <w:textAlignment w:val="baseline"/>
              <w:rPr>
                <w:rFonts w:hint="default" w:ascii="Times New Roman Regular" w:hAnsi="Times New Roman Regular" w:eastAsia="宋体" w:cs="Times New Roman Regular"/>
                <w:sz w:val="20"/>
                <w:szCs w:val="20"/>
                <w:lang w:eastAsia="zh-CN"/>
              </w:rPr>
            </w:pPr>
            <w:r>
              <w:rPr>
                <w:rFonts w:hint="default" w:ascii="Times New Roman Regular" w:hAnsi="Times New Roman Regular" w:cs="Times New Roman Regular"/>
                <w:sz w:val="20"/>
                <w:szCs w:val="20"/>
              </w:rPr>
              <w:t>Toripalimab: 240 mg, ivdrip, d</w:t>
            </w:r>
            <w:r>
              <w:rPr>
                <w:rFonts w:hint="default" w:ascii="Times New Roman Regular" w:hAnsi="Times New Roman Regular" w:eastAsia="宋体" w:cs="Times New Roman Regular"/>
                <w:sz w:val="20"/>
                <w:szCs w:val="20"/>
                <w:lang w:val="en-US" w:eastAsia="zh-CN"/>
              </w:rPr>
              <w:t>1, every 3 weeks, total 2 cycles</w:t>
            </w:r>
          </w:p>
          <w:p>
            <w:pPr>
              <w:pStyle w:val="11"/>
              <w:keepNext w:val="0"/>
              <w:keepLines w:val="0"/>
              <w:pageBreakBefore w:val="0"/>
              <w:widowControl/>
              <w:numPr>
                <w:ilvl w:val="0"/>
                <w:numId w:val="6"/>
              </w:numPr>
              <w:suppressLineNumbers w:val="0"/>
              <w:kinsoku w:val="0"/>
              <w:wordWrap/>
              <w:overflowPunct/>
              <w:topLinePunct w:val="0"/>
              <w:autoSpaceDE w:val="0"/>
              <w:autoSpaceDN w:val="0"/>
              <w:bidi w:val="0"/>
              <w:adjustRightInd w:val="0"/>
              <w:snapToGrid w:val="0"/>
              <w:spacing w:before="0" w:beforeLines="100" w:beforeAutospacing="0" w:after="0" w:afterLines="100" w:afterAutospacing="0"/>
              <w:ind w:left="630" w:leftChars="100" w:right="210" w:rightChars="100" w:hanging="420" w:firstLineChars="0"/>
              <w:jc w:val="both"/>
              <w:textAlignment w:val="baseline"/>
              <w:rPr>
                <w:rFonts w:hint="default" w:ascii="Times New Roman Regular" w:hAnsi="Times New Roman Regular" w:eastAsia="Arial" w:cs="Times New Roman Regular"/>
                <w:snapToGrid w:val="0"/>
                <w:color w:val="000000"/>
                <w:kern w:val="0"/>
                <w:sz w:val="20"/>
                <w:szCs w:val="20"/>
                <w:lang w:val="en-US" w:eastAsia="en-US" w:bidi="ar-SA"/>
              </w:rPr>
            </w:pPr>
            <w:r>
              <w:rPr>
                <w:rFonts w:hint="default" w:ascii="Times New Roman Regular" w:hAnsi="Times New Roman Regular" w:eastAsia="宋体" w:cs="Times New Roman Regular"/>
                <w:snapToGrid w:val="0"/>
                <w:color w:val="000000"/>
                <w:kern w:val="0"/>
                <w:sz w:val="20"/>
                <w:szCs w:val="20"/>
                <w:lang w:val="en-US" w:eastAsia="zh-CN" w:bidi="ar-SA"/>
              </w:rPr>
              <w:t xml:space="preserve">Radiotherapy: </w:t>
            </w:r>
            <w:r>
              <w:rPr>
                <w:rFonts w:hint="default" w:ascii="Times New Roman Regular" w:hAnsi="Times New Roman Regular" w:eastAsia="Arial" w:cs="Times New Roman Regular"/>
                <w:snapToGrid w:val="0"/>
                <w:color w:val="000000"/>
                <w:kern w:val="0"/>
                <w:sz w:val="20"/>
                <w:szCs w:val="20"/>
                <w:lang w:val="en-US" w:eastAsia="en-US" w:bidi="ar-SA"/>
              </w:rPr>
              <w:t>IMRT and involved-field irradiation (IFl)</w:t>
            </w:r>
          </w:p>
          <w:p>
            <w:pPr>
              <w:pStyle w:val="11"/>
              <w:keepNext w:val="0"/>
              <w:keepLines w:val="0"/>
              <w:pageBreakBefore w:val="0"/>
              <w:widowControl/>
              <w:numPr>
                <w:ilvl w:val="0"/>
                <w:numId w:val="6"/>
              </w:numPr>
              <w:suppressLineNumbers w:val="0"/>
              <w:kinsoku w:val="0"/>
              <w:wordWrap/>
              <w:overflowPunct/>
              <w:topLinePunct w:val="0"/>
              <w:autoSpaceDE w:val="0"/>
              <w:autoSpaceDN w:val="0"/>
              <w:bidi w:val="0"/>
              <w:adjustRightInd w:val="0"/>
              <w:snapToGrid w:val="0"/>
              <w:spacing w:before="0" w:beforeLines="100" w:beforeAutospacing="0" w:after="0" w:afterLines="100" w:afterAutospacing="0"/>
              <w:ind w:left="630" w:leftChars="100" w:right="210" w:rightChars="100" w:hanging="420" w:firstLineChars="0"/>
              <w:jc w:val="both"/>
              <w:textAlignment w:val="baseline"/>
              <w:rPr>
                <w:rFonts w:hint="default" w:ascii="Times New Roman Regular" w:hAnsi="Times New Roman Regular" w:eastAsia="宋体" w:cs="Times New Roman Regular"/>
                <w:snapToGrid w:val="0"/>
                <w:color w:val="000000"/>
                <w:kern w:val="0"/>
                <w:sz w:val="20"/>
                <w:szCs w:val="20"/>
                <w:lang w:val="en-US" w:eastAsia="zh-CN" w:bidi="ar-SA"/>
              </w:rPr>
            </w:pPr>
            <w:r>
              <w:rPr>
                <w:rFonts w:hint="default" w:ascii="Times New Roman Regular" w:hAnsi="Times New Roman Regular" w:eastAsia="Arial" w:cs="Times New Roman Regular"/>
                <w:snapToGrid w:val="0"/>
                <w:color w:val="000000"/>
                <w:kern w:val="0"/>
                <w:sz w:val="20"/>
                <w:szCs w:val="20"/>
                <w:lang w:val="en-US" w:eastAsia="en-US" w:bidi="ar-SA"/>
              </w:rPr>
              <w:t>Target region</w:t>
            </w:r>
            <w:r>
              <w:rPr>
                <w:rFonts w:hint="default" w:ascii="Times New Roman Regular" w:hAnsi="Times New Roman Regular" w:eastAsia="宋体" w:cs="Times New Roman Regular"/>
                <w:snapToGrid w:val="0"/>
                <w:color w:val="000000"/>
                <w:kern w:val="0"/>
                <w:sz w:val="20"/>
                <w:szCs w:val="20"/>
                <w:lang w:val="en-US" w:eastAsia="zh-CN" w:bidi="ar-SA"/>
              </w:rPr>
              <w:t xml:space="preserve">: </w:t>
            </w:r>
            <w:r>
              <w:rPr>
                <w:rFonts w:hint="default" w:ascii="Times New Roman Regular" w:hAnsi="Times New Roman Regular" w:eastAsia="Arial" w:cs="Times New Roman Regular"/>
                <w:snapToGrid w:val="0"/>
                <w:color w:val="000000"/>
                <w:kern w:val="0"/>
                <w:sz w:val="20"/>
                <w:szCs w:val="20"/>
                <w:lang w:val="en-US" w:eastAsia="en-US" w:bidi="ar-SA"/>
              </w:rPr>
              <w:t xml:space="preserve">primary esophageal </w:t>
            </w:r>
            <w:r>
              <w:rPr>
                <w:rFonts w:hint="default" w:ascii="Times New Roman Regular" w:hAnsi="Times New Roman Regular" w:eastAsia="宋体" w:cs="Times New Roman Regular"/>
                <w:snapToGrid w:val="0"/>
                <w:color w:val="000000"/>
                <w:kern w:val="0"/>
                <w:sz w:val="20"/>
                <w:szCs w:val="20"/>
                <w:lang w:val="en-US" w:eastAsia="zh-CN" w:bidi="ar-SA"/>
              </w:rPr>
              <w:t>lesion</w:t>
            </w:r>
            <w:r>
              <w:rPr>
                <w:rFonts w:hint="default" w:ascii="Times New Roman Regular" w:hAnsi="Times New Roman Regular" w:eastAsia="Arial" w:cs="Times New Roman Regular"/>
                <w:snapToGrid w:val="0"/>
                <w:color w:val="000000"/>
                <w:kern w:val="0"/>
                <w:sz w:val="20"/>
                <w:szCs w:val="20"/>
                <w:lang w:val="en-US" w:eastAsia="en-US" w:bidi="ar-SA"/>
              </w:rPr>
              <w:t>,</w:t>
            </w:r>
            <w:r>
              <w:rPr>
                <w:rFonts w:hint="default" w:ascii="Times New Roman Regular" w:hAnsi="Times New Roman Regular" w:eastAsia="宋体" w:cs="Times New Roman Regular"/>
                <w:snapToGrid w:val="0"/>
                <w:color w:val="000000"/>
                <w:kern w:val="0"/>
                <w:sz w:val="20"/>
                <w:szCs w:val="20"/>
                <w:lang w:val="en-US" w:eastAsia="zh-CN" w:bidi="ar-SA"/>
              </w:rPr>
              <w:t xml:space="preserve"> </w:t>
            </w:r>
            <w:r>
              <w:rPr>
                <w:rFonts w:hint="default" w:ascii="Times New Roman Regular" w:hAnsi="Times New Roman Regular" w:eastAsia="Arial" w:cs="Times New Roman Regular"/>
                <w:snapToGrid w:val="0"/>
                <w:color w:val="000000"/>
                <w:kern w:val="0"/>
                <w:sz w:val="20"/>
                <w:szCs w:val="20"/>
                <w:lang w:val="en-US" w:eastAsia="en-US" w:bidi="ar-SA"/>
              </w:rPr>
              <w:t>(GTVp)-positive lymph nodes,</w:t>
            </w:r>
            <w:r>
              <w:rPr>
                <w:rFonts w:hint="default" w:ascii="Times New Roman Regular" w:hAnsi="Times New Roman Regular" w:eastAsia="宋体" w:cs="Times New Roman Regular"/>
                <w:snapToGrid w:val="0"/>
                <w:color w:val="000000"/>
                <w:kern w:val="0"/>
                <w:sz w:val="20"/>
                <w:szCs w:val="20"/>
                <w:lang w:val="en-US" w:eastAsia="zh-CN" w:bidi="ar-SA"/>
              </w:rPr>
              <w:t xml:space="preserve"> </w:t>
            </w:r>
            <w:r>
              <w:rPr>
                <w:rFonts w:hint="default" w:ascii="Times New Roman Regular" w:hAnsi="Times New Roman Regular" w:eastAsia="Arial" w:cs="Times New Roman Regular"/>
                <w:snapToGrid w:val="0"/>
                <w:color w:val="000000"/>
                <w:kern w:val="0"/>
                <w:sz w:val="20"/>
                <w:szCs w:val="20"/>
                <w:lang w:val="en-US" w:eastAsia="en-US" w:bidi="ar-SA"/>
              </w:rPr>
              <w:t>(GTVnd),</w:t>
            </w:r>
            <w:r>
              <w:rPr>
                <w:rFonts w:hint="default" w:ascii="Times New Roman Regular" w:hAnsi="Times New Roman Regular" w:eastAsia="宋体" w:cs="Times New Roman Regular"/>
                <w:snapToGrid w:val="0"/>
                <w:color w:val="000000"/>
                <w:kern w:val="0"/>
                <w:sz w:val="20"/>
                <w:szCs w:val="20"/>
                <w:lang w:val="en-US" w:eastAsia="zh-CN" w:bidi="ar-SA"/>
              </w:rPr>
              <w:t xml:space="preserve"> </w:t>
            </w:r>
            <w:r>
              <w:rPr>
                <w:rFonts w:hint="default" w:ascii="Times New Roman Regular" w:hAnsi="Times New Roman Regular" w:eastAsia="Arial" w:cs="Times New Roman Regular"/>
                <w:snapToGrid w:val="0"/>
                <w:color w:val="000000"/>
                <w:kern w:val="0"/>
                <w:sz w:val="20"/>
                <w:szCs w:val="20"/>
                <w:lang w:val="en-US" w:eastAsia="en-US" w:bidi="ar-SA"/>
              </w:rPr>
              <w:t xml:space="preserve">with a dose of </w:t>
            </w:r>
            <w:r>
              <w:rPr>
                <w:rFonts w:hint="default" w:ascii="Times New Roman Regular" w:hAnsi="Times New Roman Regular" w:eastAsia="宋体" w:cs="Times New Roman Regular"/>
                <w:snapToGrid w:val="0"/>
                <w:color w:val="000000"/>
                <w:kern w:val="0"/>
                <w:sz w:val="20"/>
                <w:szCs w:val="20"/>
                <w:lang w:val="en-US" w:eastAsia="zh-CN" w:bidi="ar-SA"/>
              </w:rPr>
              <w:t>45</w:t>
            </w:r>
            <w:r>
              <w:rPr>
                <w:rFonts w:hint="default" w:ascii="Times New Roman Regular" w:hAnsi="Times New Roman Regular" w:eastAsia="Arial" w:cs="Times New Roman Regular"/>
                <w:snapToGrid w:val="0"/>
                <w:color w:val="000000"/>
                <w:kern w:val="0"/>
                <w:sz w:val="20"/>
                <w:szCs w:val="20"/>
                <w:lang w:val="en-US" w:eastAsia="en-US" w:bidi="ar-SA"/>
              </w:rPr>
              <w:t>-50</w:t>
            </w:r>
            <w:r>
              <w:rPr>
                <w:rFonts w:hint="default" w:ascii="Times New Roman Regular" w:hAnsi="Times New Roman Regular" w:eastAsia="宋体" w:cs="Times New Roman Regular"/>
                <w:snapToGrid w:val="0"/>
                <w:color w:val="000000"/>
                <w:kern w:val="0"/>
                <w:sz w:val="20"/>
                <w:szCs w:val="20"/>
                <w:lang w:val="en-US" w:eastAsia="zh-CN" w:bidi="ar-SA"/>
              </w:rPr>
              <w:t>.4</w:t>
            </w:r>
            <w:r>
              <w:rPr>
                <w:rFonts w:hint="default" w:ascii="Times New Roman Regular" w:hAnsi="Times New Roman Regular" w:eastAsia="Arial" w:cs="Times New Roman Regular"/>
                <w:snapToGrid w:val="0"/>
                <w:color w:val="000000"/>
                <w:kern w:val="0"/>
                <w:sz w:val="20"/>
                <w:szCs w:val="20"/>
                <w:lang w:val="en-US" w:eastAsia="en-US" w:bidi="ar-SA"/>
              </w:rPr>
              <w:t xml:space="preserve"> Gy</w:t>
            </w:r>
            <w:r>
              <w:rPr>
                <w:rFonts w:hint="default" w:ascii="Times New Roman Regular" w:hAnsi="Times New Roman Regular" w:eastAsia="宋体" w:cs="Times New Roman Regular"/>
                <w:snapToGrid w:val="0"/>
                <w:color w:val="000000"/>
                <w:kern w:val="0"/>
                <w:sz w:val="20"/>
                <w:szCs w:val="20"/>
                <w:lang w:val="en-US" w:eastAsia="zh-CN" w:bidi="ar-SA"/>
              </w:rPr>
              <w:t>, 1.8-2.0Gy/F, 5</w:t>
            </w:r>
            <w:r>
              <w:rPr>
                <w:rFonts w:hint="default" w:ascii="Times New Roman Regular" w:hAnsi="Times New Roman Regular" w:eastAsia="Arial" w:cs="Times New Roman Regular"/>
                <w:snapToGrid w:val="0"/>
                <w:color w:val="000000"/>
                <w:kern w:val="0"/>
                <w:sz w:val="20"/>
                <w:szCs w:val="20"/>
                <w:lang w:val="en-US" w:eastAsia="en-US" w:bidi="ar-SA"/>
              </w:rPr>
              <w:t xml:space="preserve"> times a week</w:t>
            </w:r>
          </w:p>
          <w:p>
            <w:pPr>
              <w:pStyle w:val="11"/>
              <w:keepNext w:val="0"/>
              <w:keepLines w:val="0"/>
              <w:pageBreakBefore w:val="0"/>
              <w:widowControl/>
              <w:numPr>
                <w:ilvl w:val="0"/>
                <w:numId w:val="6"/>
              </w:numPr>
              <w:suppressLineNumbers w:val="0"/>
              <w:kinsoku w:val="0"/>
              <w:wordWrap/>
              <w:overflowPunct/>
              <w:topLinePunct w:val="0"/>
              <w:autoSpaceDE w:val="0"/>
              <w:autoSpaceDN w:val="0"/>
              <w:bidi w:val="0"/>
              <w:adjustRightInd w:val="0"/>
              <w:snapToGrid w:val="0"/>
              <w:spacing w:before="0" w:beforeLines="100" w:beforeAutospacing="0" w:after="0" w:afterLines="100" w:afterAutospacing="0"/>
              <w:ind w:left="630" w:leftChars="100" w:right="210" w:rightChars="100" w:hanging="420" w:firstLineChars="0"/>
              <w:jc w:val="both"/>
              <w:textAlignment w:val="baseline"/>
              <w:rPr>
                <w:rFonts w:hint="default" w:ascii="Times New Roman Regular" w:hAnsi="Times New Roman Regular" w:eastAsia="Arial" w:cs="Times New Roman Regular"/>
                <w:snapToGrid w:val="0"/>
                <w:color w:val="000000"/>
                <w:kern w:val="0"/>
                <w:sz w:val="20"/>
                <w:szCs w:val="20"/>
                <w:lang w:val="en-US" w:eastAsia="en-US" w:bidi="ar-SA"/>
              </w:rPr>
            </w:pPr>
            <w:r>
              <w:rPr>
                <w:rFonts w:hint="default" w:ascii="Times New Roman Regular" w:hAnsi="Times New Roman Regular" w:eastAsia="Arial" w:cs="Times New Roman Regular"/>
                <w:snapToGrid w:val="0"/>
                <w:color w:val="000000"/>
                <w:kern w:val="0"/>
                <w:sz w:val="20"/>
                <w:szCs w:val="20"/>
                <w:lang w:val="en-US" w:eastAsia="en-US" w:bidi="ar-SA"/>
              </w:rPr>
              <w:t>Oligometastatic lesion</w:t>
            </w:r>
            <w:r>
              <w:rPr>
                <w:rFonts w:hint="default" w:ascii="Times New Roman Regular" w:hAnsi="Times New Roman Regular" w:eastAsia="宋体" w:cs="Times New Roman Regular"/>
                <w:snapToGrid w:val="0"/>
                <w:color w:val="000000"/>
                <w:kern w:val="0"/>
                <w:sz w:val="20"/>
                <w:szCs w:val="20"/>
                <w:lang w:val="en-US" w:eastAsia="zh-CN" w:bidi="ar-SA"/>
              </w:rPr>
              <w:t xml:space="preserve"> </w:t>
            </w:r>
            <w:r>
              <w:rPr>
                <w:rFonts w:hint="default" w:ascii="Times New Roman Regular" w:hAnsi="Times New Roman Regular" w:eastAsia="Arial" w:cs="Times New Roman Regular"/>
                <w:snapToGrid w:val="0"/>
                <w:color w:val="000000"/>
                <w:kern w:val="0"/>
                <w:sz w:val="20"/>
                <w:szCs w:val="20"/>
                <w:lang w:val="en-US" w:eastAsia="en-US" w:bidi="ar-SA"/>
              </w:rPr>
              <w:t>(GTV-M)</w:t>
            </w:r>
            <w:r>
              <w:rPr>
                <w:rFonts w:hint="default" w:ascii="Times New Roman Regular" w:hAnsi="Times New Roman Regular" w:eastAsia="宋体" w:cs="Times New Roman Regular"/>
                <w:snapToGrid w:val="0"/>
                <w:color w:val="000000"/>
                <w:kern w:val="0"/>
                <w:sz w:val="20"/>
                <w:szCs w:val="20"/>
                <w:lang w:val="en-US" w:eastAsia="zh-CN" w:bidi="ar-SA"/>
              </w:rPr>
              <w:t xml:space="preserve">: with a dose of 30-40Gy, </w:t>
            </w:r>
            <w:r>
              <w:rPr>
                <w:rFonts w:hint="default" w:ascii="Times New Roman Regular" w:hAnsi="Times New Roman Regular" w:eastAsia="Arial" w:cs="Times New Roman Regular"/>
                <w:snapToGrid w:val="0"/>
                <w:color w:val="000000"/>
                <w:kern w:val="0"/>
                <w:sz w:val="20"/>
                <w:szCs w:val="20"/>
                <w:lang w:val="en-US" w:eastAsia="en-US" w:bidi="ar-SA"/>
              </w:rPr>
              <w:t>4-8 Gy/f</w:t>
            </w:r>
          </w:p>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ind w:left="210" w:leftChars="100" w:right="210" w:rightChars="100"/>
              <w:jc w:val="both"/>
              <w:textAlignment w:val="baseline"/>
              <w:rPr>
                <w:rFonts w:hint="default" w:ascii="Times New Roman Regular" w:hAnsi="Times New Roman Regular" w:cs="Times New Roman Regular"/>
                <w:b/>
                <w:bCs/>
                <w:sz w:val="20"/>
                <w:szCs w:val="20"/>
              </w:rPr>
            </w:pPr>
            <w:r>
              <w:rPr>
                <w:rFonts w:hint="default" w:ascii="Times New Roman Regular" w:hAnsi="Times New Roman Regular" w:cs="Times New Roman Regular"/>
                <w:b/>
                <w:bCs/>
                <w:sz w:val="20"/>
                <w:szCs w:val="20"/>
              </w:rPr>
              <w:t>Immunomaintenance therapy:</w:t>
            </w:r>
          </w:p>
          <w:p>
            <w:pPr>
              <w:keepNext w:val="0"/>
              <w:keepLines w:val="0"/>
              <w:pageBreakBefore w:val="0"/>
              <w:widowControl/>
              <w:numPr>
                <w:ilvl w:val="0"/>
                <w:numId w:val="6"/>
              </w:numPr>
              <w:kinsoku w:val="0"/>
              <w:wordWrap/>
              <w:overflowPunct/>
              <w:topLinePunct w:val="0"/>
              <w:autoSpaceDE w:val="0"/>
              <w:autoSpaceDN w:val="0"/>
              <w:bidi w:val="0"/>
              <w:adjustRightInd w:val="0"/>
              <w:snapToGrid w:val="0"/>
              <w:spacing w:before="0" w:beforeLines="100" w:after="0" w:afterLines="100"/>
              <w:ind w:left="630" w:leftChars="100" w:right="210" w:rightChars="100" w:hanging="420" w:firstLineChars="0"/>
              <w:jc w:val="both"/>
              <w:textAlignment w:val="baseline"/>
              <w:rPr>
                <w:rFonts w:hint="default" w:ascii="Times New Roman Regular" w:hAnsi="Times New Roman Regular" w:eastAsia="Arial" w:cs="Times New Roman Regular"/>
                <w:snapToGrid w:val="0"/>
                <w:color w:val="000000"/>
                <w:kern w:val="0"/>
                <w:sz w:val="20"/>
                <w:szCs w:val="20"/>
                <w:lang w:val="en-US" w:eastAsia="en-US" w:bidi="ar-SA"/>
              </w:rPr>
            </w:pPr>
            <w:r>
              <w:rPr>
                <w:rFonts w:hint="default" w:ascii="Times New Roman Regular" w:hAnsi="Times New Roman Regular" w:cs="Times New Roman Regular"/>
                <w:sz w:val="20"/>
                <w:szCs w:val="20"/>
              </w:rPr>
              <w:t>Toripalimab 240mg, ivdrip, repeated every 3 weeks for up</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1</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year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until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disease progression,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illness,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unacceptable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toxicity, investigator’s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decision,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patient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withdrawal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 consent</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114" w:hRule="atLeast"/>
        </w:trPr>
        <w:tc>
          <w:tcPr>
            <w:tcW w:w="2815" w:type="dxa"/>
            <w:vAlign w:val="center"/>
          </w:tcPr>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line="720" w:lineRule="auto"/>
              <w:ind w:right="210" w:rightChars="100" w:firstLine="220" w:firstLineChars="100"/>
              <w:jc w:val="both"/>
              <w:textAlignment w:val="baseline"/>
              <w:rPr>
                <w:rFonts w:hint="default" w:ascii="Times New Roman Regular" w:hAnsi="Times New Roman Regular" w:cs="Times New Roman Regular"/>
                <w:b/>
                <w:bCs/>
                <w:sz w:val="22"/>
                <w:szCs w:val="22"/>
              </w:rPr>
            </w:pPr>
            <w:r>
              <w:rPr>
                <w:rFonts w:hint="default" w:ascii="Times New Roman Regular" w:hAnsi="Times New Roman Regular" w:cs="Times New Roman Regular"/>
                <w:b/>
                <w:bCs/>
                <w:sz w:val="22"/>
                <w:szCs w:val="22"/>
              </w:rPr>
              <w:t>Sample Size</w:t>
            </w:r>
          </w:p>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line="720" w:lineRule="auto"/>
              <w:ind w:left="210" w:leftChars="100" w:right="210" w:rightChars="100"/>
              <w:jc w:val="both"/>
              <w:textAlignment w:val="baseline"/>
              <w:rPr>
                <w:rFonts w:hint="default" w:ascii="Times New Roman Regular" w:hAnsi="Times New Roman Regular" w:eastAsia="Arial" w:cs="Times New Roman Regular"/>
                <w:b/>
                <w:bCs/>
                <w:snapToGrid w:val="0"/>
                <w:color w:val="000000"/>
                <w:kern w:val="0"/>
                <w:sz w:val="22"/>
                <w:szCs w:val="22"/>
                <w:lang w:val="en-US" w:eastAsia="en-US" w:bidi="ar-SA"/>
              </w:rPr>
            </w:pPr>
            <w:r>
              <w:rPr>
                <w:rFonts w:hint="default" w:ascii="Times New Roman Regular" w:hAnsi="Times New Roman Regular" w:cs="Times New Roman Regular"/>
                <w:b/>
                <w:bCs/>
                <w:sz w:val="22"/>
                <w:szCs w:val="22"/>
              </w:rPr>
              <w:t>and</w:t>
            </w:r>
          </w:p>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line="720" w:lineRule="auto"/>
              <w:ind w:left="210" w:leftChars="100" w:right="210" w:rightChars="100"/>
              <w:jc w:val="both"/>
              <w:textAlignment w:val="baseline"/>
              <w:rPr>
                <w:rFonts w:hint="default" w:ascii="Times New Roman Regular" w:hAnsi="Times New Roman Regular" w:eastAsia="Arial" w:cs="Times New Roman Regular"/>
                <w:b/>
                <w:bCs/>
                <w:snapToGrid w:val="0"/>
                <w:color w:val="000000"/>
                <w:kern w:val="0"/>
                <w:sz w:val="22"/>
                <w:szCs w:val="22"/>
                <w:lang w:val="en-US" w:eastAsia="en-US" w:bidi="ar-SA"/>
              </w:rPr>
            </w:pPr>
            <w:r>
              <w:rPr>
                <w:rFonts w:hint="default" w:ascii="Times New Roman Regular" w:hAnsi="Times New Roman Regular" w:cs="Times New Roman Regular"/>
                <w:b/>
                <w:bCs/>
                <w:sz w:val="22"/>
                <w:szCs w:val="22"/>
              </w:rPr>
              <w:t>Statistical Methods</w:t>
            </w:r>
          </w:p>
        </w:tc>
        <w:tc>
          <w:tcPr>
            <w:tcW w:w="5572" w:type="dxa"/>
            <w:vAlign w:val="center"/>
          </w:tcPr>
          <w:p>
            <w:pPr>
              <w:keepNext w:val="0"/>
              <w:keepLines w:val="0"/>
              <w:pageBreakBefore w:val="0"/>
              <w:widowControl/>
              <w:numPr>
                <w:ilvl w:val="0"/>
                <w:numId w:val="6"/>
              </w:numPr>
              <w:kinsoku w:val="0"/>
              <w:wordWrap/>
              <w:overflowPunct/>
              <w:topLinePunct w:val="0"/>
              <w:autoSpaceDE w:val="0"/>
              <w:autoSpaceDN w:val="0"/>
              <w:bidi w:val="0"/>
              <w:adjustRightInd w:val="0"/>
              <w:snapToGrid w:val="0"/>
              <w:spacing w:before="0" w:beforeLines="100" w:after="0" w:afterLines="100"/>
              <w:ind w:left="630" w:leftChars="100" w:right="210" w:rightChars="100" w:hanging="420"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All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enrolled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patients will be included in the analysis regardless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whether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complete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treatment protocol. Data analyses will be performed according to the “Intention to treat” principle.</w:t>
            </w:r>
          </w:p>
          <w:p>
            <w:pPr>
              <w:keepNext w:val="0"/>
              <w:keepLines w:val="0"/>
              <w:pageBreakBefore w:val="0"/>
              <w:widowControl/>
              <w:numPr>
                <w:ilvl w:val="0"/>
                <w:numId w:val="6"/>
              </w:numPr>
              <w:kinsoku w:val="0"/>
              <w:wordWrap/>
              <w:overflowPunct/>
              <w:topLinePunct w:val="0"/>
              <w:autoSpaceDE w:val="0"/>
              <w:autoSpaceDN w:val="0"/>
              <w:bidi w:val="0"/>
              <w:adjustRightInd w:val="0"/>
              <w:snapToGrid w:val="0"/>
              <w:spacing w:before="0" w:beforeLines="100" w:after="0" w:afterLines="100"/>
              <w:ind w:left="630" w:leftChars="100" w:right="210" w:rightChars="100" w:hanging="420" w:firstLineChars="0"/>
              <w:jc w:val="both"/>
              <w:textAlignment w:val="baseline"/>
              <w:rPr>
                <w:rFonts w:hint="default" w:ascii="Times New Roman Regular" w:hAnsi="Times New Roman Regular" w:cs="Times New Roman Regular"/>
                <w:sz w:val="20"/>
                <w:szCs w:val="20"/>
              </w:rPr>
            </w:pPr>
            <w:bookmarkStart w:id="1" w:name="OLE_LINK1"/>
            <w:r>
              <w:rPr>
                <w:rFonts w:hint="default" w:ascii="Times New Roman Regular" w:hAnsi="Times New Roman Regular" w:cs="Times New Roman Regular"/>
                <w:sz w:val="20"/>
                <w:szCs w:val="20"/>
              </w:rPr>
              <w:t xml:space="preserve">The primary endpoint of this study is </w:t>
            </w:r>
            <w:r>
              <w:rPr>
                <w:rFonts w:hint="default" w:ascii="Times New Roman Regular" w:hAnsi="Times New Roman Regular" w:eastAsia="宋体" w:cs="Times New Roman Regular"/>
                <w:sz w:val="20"/>
                <w:szCs w:val="20"/>
                <w:lang w:val="en-US" w:eastAsia="zh-CN"/>
              </w:rPr>
              <w:t>PFS</w:t>
            </w:r>
            <w:r>
              <w:rPr>
                <w:rFonts w:hint="default" w:ascii="Times New Roman Regular" w:hAnsi="Times New Roman Regular" w:cs="Times New Roman Regular"/>
                <w:sz w:val="20"/>
                <w:szCs w:val="20"/>
              </w:rPr>
              <w:t>. Based on the literature, the m</w:t>
            </w:r>
            <w:r>
              <w:rPr>
                <w:rFonts w:hint="default" w:ascii="Times New Roman Regular" w:hAnsi="Times New Roman Regular" w:eastAsia="宋体" w:cs="Times New Roman Regular"/>
                <w:sz w:val="20"/>
                <w:szCs w:val="20"/>
                <w:lang w:val="en-US" w:eastAsia="zh-CN"/>
              </w:rPr>
              <w:t xml:space="preserve">edian </w:t>
            </w:r>
            <w:r>
              <w:rPr>
                <w:rFonts w:hint="default" w:ascii="Times New Roman Regular" w:hAnsi="Times New Roman Regular" w:cs="Times New Roman Regular"/>
                <w:sz w:val="20"/>
                <w:szCs w:val="20"/>
              </w:rPr>
              <w:t>PFS of  Pembrolizuma</w:t>
            </w:r>
            <w:r>
              <w:rPr>
                <w:rFonts w:hint="default" w:ascii="Times New Roman Regular" w:hAnsi="Times New Roman Regular" w:eastAsia="宋体" w:cs="Times New Roman Regular"/>
                <w:sz w:val="20"/>
                <w:szCs w:val="20"/>
                <w:lang w:val="en-US" w:eastAsia="zh-CN"/>
              </w:rPr>
              <w:t>b</w:t>
            </w:r>
            <w:r>
              <w:rPr>
                <w:rFonts w:hint="default" w:ascii="Times New Roman Regular" w:hAnsi="Times New Roman Regular" w:cs="Times New Roman Regular"/>
                <w:sz w:val="20"/>
                <w:szCs w:val="20"/>
              </w:rPr>
              <w:t xml:space="preserve"> combined with cisplatin and 5-fluorouracil as the first-line treatment of unresectable locally advanced or metastatic esophageal cancer was 6.3 months. Our preliminary work showed that the mPFS of toripalimab in combination with induction chemotherapy and subsequent chemoradiation in the treatment of primary stage IV ESCC was 12.0 months or more. We hypothesized that the m</w:t>
            </w:r>
            <w:r>
              <w:rPr>
                <w:rFonts w:hint="default" w:ascii="Times New Roman Regular" w:hAnsi="Times New Roman Regular" w:cs="Times New Roman Regular"/>
                <w:sz w:val="20"/>
                <w:szCs w:val="20"/>
                <w:lang w:val="en-US" w:eastAsia="zh-CN"/>
              </w:rPr>
              <w:t xml:space="preserve">edian </w:t>
            </w:r>
            <w:r>
              <w:rPr>
                <w:rFonts w:hint="default" w:ascii="Times New Roman Regular" w:hAnsi="Times New Roman Regular" w:cs="Times New Roman Regular"/>
                <w:sz w:val="20"/>
                <w:szCs w:val="20"/>
              </w:rPr>
              <w:t>PFS of our trial can reach 12 months. The type I error rate is 5%, and the power is 80%.</w:t>
            </w:r>
            <w:r>
              <w:rPr>
                <w:rFonts w:hint="eastAsia" w:ascii="Times New Roman Regular" w:hAnsi="Times New Roman Regular" w:eastAsia="宋体" w:cs="Times New Roman Regular"/>
                <w:sz w:val="20"/>
                <w:szCs w:val="20"/>
                <w:lang w:val="en-US" w:eastAsia="zh-CN"/>
              </w:rPr>
              <w:t xml:space="preserve"> </w:t>
            </w:r>
            <w:r>
              <w:rPr>
                <w:rFonts w:hint="eastAsia" w:ascii="Times New Roman Regular" w:hAnsi="Times New Roman Regular" w:cs="Times New Roman Regular"/>
                <w:sz w:val="20"/>
                <w:szCs w:val="20"/>
                <w:lang w:val="en-US" w:eastAsia="zh-CN"/>
              </w:rPr>
              <w:t>F</w:t>
            </w:r>
            <w:r>
              <w:rPr>
                <w:rFonts w:hint="eastAsia" w:ascii="Times New Roman Regular" w:hAnsi="Times New Roman Regular" w:cs="Times New Roman Regular"/>
                <w:sz w:val="20"/>
                <w:szCs w:val="20"/>
                <w:lang w:val="en-GB" w:eastAsia="zh-TW"/>
              </w:rPr>
              <w:t>ollow-up duration was calculated from enrollment to the date of the last follow-up.</w:t>
            </w:r>
            <w:r>
              <w:rPr>
                <w:rFonts w:hint="eastAsia" w:ascii="Times New Roman Regular" w:hAnsi="Times New Roman Regular" w:cs="Times New Roman Regular"/>
                <w:sz w:val="20"/>
                <w:szCs w:val="20"/>
                <w:lang w:val="en-US" w:eastAsia="zh-CN"/>
              </w:rPr>
              <w:t xml:space="preserve"> Assuming a uniform accrual accomplished over a period of about 12 months, </w:t>
            </w:r>
            <w:r>
              <w:rPr>
                <w:rFonts w:hint="eastAsia" w:ascii="Times New Roman Regular" w:hAnsi="Times New Roman Regular" w:cs="Times New Roman Regular"/>
                <w:sz w:val="20"/>
                <w:szCs w:val="20"/>
                <w:lang w:val="en-GB" w:eastAsia="zh-TW"/>
              </w:rPr>
              <w:t>with an additional 12 months of follow-up subsequent to the enrollment of the last patient</w:t>
            </w:r>
            <w:r>
              <w:rPr>
                <w:rFonts w:hint="eastAsia" w:ascii="Times New Roman Regular" w:hAnsi="Times New Roman Regular" w:cs="Times New Roman Regular"/>
                <w:sz w:val="20"/>
                <w:szCs w:val="20"/>
                <w:lang w:val="en-US" w:eastAsia="zh-CN"/>
              </w:rPr>
              <w:t>, t</w:t>
            </w:r>
            <w:r>
              <w:rPr>
                <w:rFonts w:hint="eastAsia" w:ascii="Times New Roman Regular" w:hAnsi="Times New Roman Regular" w:cs="Times New Roman Regular"/>
                <w:sz w:val="20"/>
                <w:szCs w:val="20"/>
                <w:lang w:val="en-GB" w:eastAsia="zh-TW"/>
              </w:rPr>
              <w:t xml:space="preserve">o observe 16 PFS events, a calculation determined that </w:t>
            </w:r>
            <w:r>
              <w:rPr>
                <w:rFonts w:hint="default" w:ascii="Times New Roman Regular" w:hAnsi="Times New Roman Regular" w:cs="Times New Roman Regular"/>
                <w:sz w:val="20"/>
                <w:szCs w:val="20"/>
              </w:rPr>
              <w:t>25 cases (or a minimum of 25 patients)</w:t>
            </w:r>
            <w:r>
              <w:rPr>
                <w:rFonts w:hint="eastAsia" w:ascii="Times New Roman Regular" w:hAnsi="Times New Roman Regular" w:eastAsia="宋体" w:cs="Times New Roman Regular"/>
                <w:sz w:val="20"/>
                <w:szCs w:val="20"/>
                <w:lang w:val="en-US" w:eastAsia="zh-CN"/>
              </w:rPr>
              <w:t xml:space="preserve"> </w:t>
            </w:r>
            <w:r>
              <w:rPr>
                <w:rFonts w:hint="eastAsia" w:ascii="Times New Roman Regular" w:hAnsi="Times New Roman Regular" w:cs="Times New Roman Regular"/>
                <w:sz w:val="20"/>
                <w:szCs w:val="20"/>
                <w:lang w:val="en-GB" w:eastAsia="zh-TW"/>
              </w:rPr>
              <w:t>were needed.</w:t>
            </w:r>
            <w:r>
              <w:rPr>
                <w:rFonts w:hint="eastAsia"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In consideration of a 20% drop-out rate, the final sample size is set at 3</w:t>
            </w:r>
            <w:r>
              <w:rPr>
                <w:rFonts w:hint="default" w:ascii="Times New Roman Regular" w:hAnsi="Times New Roman Regular" w:eastAsia="宋体" w:cs="Times New Roman Regular"/>
                <w:sz w:val="20"/>
                <w:szCs w:val="20"/>
                <w:lang w:val="en-US" w:eastAsia="zh-CN"/>
              </w:rPr>
              <w:t>2</w:t>
            </w:r>
            <w:r>
              <w:rPr>
                <w:rFonts w:hint="default" w:ascii="Times New Roman Regular" w:hAnsi="Times New Roman Regular" w:cs="Times New Roman Regular"/>
                <w:sz w:val="20"/>
                <w:szCs w:val="20"/>
              </w:rPr>
              <w:t xml:space="preserve"> cases.</w:t>
            </w:r>
            <w:bookmarkEnd w:id="1"/>
          </w:p>
          <w:p>
            <w:pPr>
              <w:keepNext w:val="0"/>
              <w:keepLines w:val="0"/>
              <w:pageBreakBefore w:val="0"/>
              <w:widowControl/>
              <w:numPr>
                <w:ilvl w:val="0"/>
                <w:numId w:val="6"/>
              </w:numPr>
              <w:kinsoku w:val="0"/>
              <w:wordWrap/>
              <w:overflowPunct/>
              <w:topLinePunct w:val="0"/>
              <w:autoSpaceDE w:val="0"/>
              <w:autoSpaceDN w:val="0"/>
              <w:bidi w:val="0"/>
              <w:adjustRightInd w:val="0"/>
              <w:snapToGrid w:val="0"/>
              <w:spacing w:before="0" w:beforeLines="100" w:after="0" w:afterLines="100"/>
              <w:ind w:left="630" w:leftChars="100" w:right="210" w:rightChars="100" w:hanging="420" w:firstLineChars="0"/>
              <w:jc w:val="both"/>
              <w:textAlignment w:val="baseline"/>
              <w:rPr>
                <w:rFonts w:hint="default" w:ascii="Times New Roman Regular" w:hAnsi="Times New Roman Regular" w:eastAsia="Arial" w:cs="Times New Roman Regular"/>
                <w:snapToGrid w:val="0"/>
                <w:color w:val="000000"/>
                <w:kern w:val="0"/>
                <w:sz w:val="20"/>
                <w:szCs w:val="20"/>
                <w:lang w:val="en-US" w:eastAsia="en-US" w:bidi="ar-SA"/>
              </w:rPr>
            </w:pPr>
            <w:r>
              <w:rPr>
                <w:rFonts w:hint="default" w:ascii="Times New Roman Regular" w:hAnsi="Times New Roman Regular" w:eastAsia="宋体" w:cs="Times New Roman Regular"/>
                <w:sz w:val="20"/>
                <w:szCs w:val="20"/>
                <w:lang w:val="en-US" w:eastAsia="zh-CN"/>
              </w:rPr>
              <w:t>ORR</w:t>
            </w:r>
            <w:r>
              <w:rPr>
                <w:rFonts w:hint="default" w:ascii="Times New Roman Regular" w:hAnsi="Times New Roman Regular" w:cs="Times New Roman Regular"/>
                <w:sz w:val="20"/>
                <w:szCs w:val="20"/>
              </w:rPr>
              <w:t xml:space="preserve">, </w:t>
            </w:r>
            <w:r>
              <w:rPr>
                <w:rFonts w:hint="default" w:ascii="Times New Roman Regular" w:hAnsi="Times New Roman Regular" w:eastAsia="宋体" w:cs="Times New Roman Regular"/>
                <w:sz w:val="20"/>
                <w:szCs w:val="20"/>
                <w:lang w:val="en-US" w:eastAsia="zh-CN"/>
              </w:rPr>
              <w:t xml:space="preserve">DCR, </w:t>
            </w:r>
            <w:r>
              <w:rPr>
                <w:rFonts w:hint="default" w:ascii="Times New Roman Regular" w:hAnsi="Times New Roman Regular" w:cs="Times New Roman Regular"/>
                <w:sz w:val="20"/>
                <w:szCs w:val="20"/>
              </w:rPr>
              <w:t>DOR,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 safety will be analyzed by descriptive</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methods.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PFS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will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calculated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by Kaplan-Meier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method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log-rank</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test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will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be performed.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P&lt;0.05</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considered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statistically significant</w:t>
            </w:r>
            <w:r>
              <w:rPr>
                <w:rFonts w:hint="default" w:ascii="Times New Roman Regular" w:hAnsi="Times New Roman Regular" w:eastAsia="宋体" w:cs="Times New Roman Regular"/>
                <w:sz w:val="20"/>
                <w:szCs w:val="20"/>
                <w:lang w:val="en-US" w:eastAsia="zh-CN"/>
              </w:rPr>
              <w:t>.</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840" w:hRule="atLeast"/>
        </w:trPr>
        <w:tc>
          <w:tcPr>
            <w:tcW w:w="0" w:type="auto"/>
            <w:vAlign w:val="center"/>
          </w:tcPr>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ind w:left="210" w:leftChars="100" w:right="210" w:rightChars="100"/>
              <w:jc w:val="both"/>
              <w:textAlignment w:val="baseline"/>
              <w:rPr>
                <w:rFonts w:hint="default" w:ascii="Times New Roman Regular" w:hAnsi="Times New Roman Regular" w:eastAsia="Arial" w:cs="Times New Roman Regular"/>
                <w:b/>
                <w:bCs/>
                <w:snapToGrid w:val="0"/>
                <w:color w:val="000000"/>
                <w:kern w:val="0"/>
                <w:sz w:val="22"/>
                <w:szCs w:val="22"/>
                <w:lang w:val="en-US" w:eastAsia="en-US" w:bidi="ar-SA"/>
              </w:rPr>
            </w:pPr>
            <w:r>
              <w:rPr>
                <w:rFonts w:hint="default" w:ascii="Times New Roman Regular" w:hAnsi="Times New Roman Regular" w:cs="Times New Roman Regular"/>
                <w:b/>
                <w:bCs/>
                <w:sz w:val="22"/>
                <w:szCs w:val="22"/>
              </w:rPr>
              <w:t>Version Number</w:t>
            </w:r>
          </w:p>
        </w:tc>
        <w:tc>
          <w:tcPr>
            <w:tcW w:w="0" w:type="auto"/>
            <w:vAlign w:val="center"/>
          </w:tcPr>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ind w:left="210" w:leftChars="100" w:right="210" w:rightChars="100"/>
              <w:jc w:val="both"/>
              <w:textAlignment w:val="baseline"/>
              <w:rPr>
                <w:rFonts w:hint="default" w:ascii="Times New Roman Regular" w:hAnsi="Times New Roman Regular" w:eastAsia="Arial" w:cs="Times New Roman Regular"/>
                <w:snapToGrid w:val="0"/>
                <w:color w:val="000000"/>
                <w:kern w:val="0"/>
                <w:sz w:val="20"/>
                <w:szCs w:val="20"/>
                <w:lang w:val="en-US" w:eastAsia="en-US" w:bidi="ar-SA"/>
              </w:rPr>
            </w:pPr>
            <w:r>
              <w:rPr>
                <w:rFonts w:hint="default" w:ascii="Times New Roman Regular" w:hAnsi="Times New Roman Regular" w:eastAsia="宋体" w:cs="Times New Roman Regular"/>
                <w:sz w:val="20"/>
                <w:szCs w:val="20"/>
                <w:lang w:val="en-US" w:eastAsia="zh-CN"/>
              </w:rPr>
              <w:t>2</w:t>
            </w:r>
            <w:r>
              <w:rPr>
                <w:rFonts w:hint="default" w:ascii="Times New Roman Regular" w:hAnsi="Times New Roman Regular" w:cs="Times New Roman Regular"/>
                <w:sz w:val="20"/>
                <w:szCs w:val="20"/>
              </w:rPr>
              <w:t>.0</w:t>
            </w:r>
          </w:p>
        </w:tc>
      </w:tr>
    </w:tbl>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jc w:val="both"/>
        <w:textAlignment w:val="baseline"/>
        <w:rPr>
          <w:rFonts w:hint="default" w:ascii="Times New Roman Regular" w:hAnsi="Times New Roman Regular" w:cs="Times New Roman Regular"/>
        </w:rPr>
        <w:sectPr>
          <w:footerReference r:id="rId6" w:type="default"/>
          <w:pgSz w:w="11907" w:h="16839"/>
          <w:pgMar w:top="1431" w:right="1785" w:bottom="1453" w:left="1692" w:header="0" w:footer="1230" w:gutter="0"/>
          <w:pgNumType w:fmt="numberInDash" w:start="1"/>
          <w:cols w:equalWidth="0" w:num="1">
            <w:col w:w="8429"/>
          </w:cols>
        </w:sectPr>
      </w:pPr>
    </w:p>
    <w:p>
      <w:pPr>
        <w:keepNext w:val="0"/>
        <w:keepLines w:val="0"/>
        <w:pageBreakBefore w:val="0"/>
        <w:widowControl/>
        <w:numPr>
          <w:ilvl w:val="0"/>
          <w:numId w:val="7"/>
        </w:numPr>
        <w:kinsoku w:val="0"/>
        <w:wordWrap/>
        <w:overflowPunct/>
        <w:topLinePunct w:val="0"/>
        <w:autoSpaceDE w:val="0"/>
        <w:autoSpaceDN w:val="0"/>
        <w:bidi w:val="0"/>
        <w:adjustRightInd w:val="0"/>
        <w:snapToGrid w:val="0"/>
        <w:spacing w:before="0" w:beforeLines="100" w:after="0" w:afterLines="100"/>
        <w:jc w:val="both"/>
        <w:textAlignment w:val="baseline"/>
        <w:outlineLvl w:val="0"/>
        <w:rPr>
          <w:rFonts w:hint="default" w:ascii="Times New Roman Regular" w:hAnsi="Times New Roman Regular" w:eastAsia="宋体" w:cs="Times New Roman Regular"/>
          <w:b/>
          <w:bCs/>
          <w:snapToGrid w:val="0"/>
          <w:color w:val="000000"/>
          <w:kern w:val="0"/>
          <w:sz w:val="28"/>
          <w:szCs w:val="28"/>
          <w:lang w:val="en-US" w:eastAsia="zh-CN" w:bidi="ar-SA"/>
        </w:rPr>
      </w:pPr>
      <w:bookmarkStart w:id="2" w:name="_Toc1873"/>
      <w:r>
        <w:rPr>
          <w:rFonts w:hint="default" w:ascii="Times New Roman Regular" w:hAnsi="Times New Roman Regular" w:eastAsia="宋体" w:cs="Times New Roman Regular"/>
          <w:b/>
          <w:bCs/>
          <w:snapToGrid w:val="0"/>
          <w:color w:val="000000"/>
          <w:kern w:val="0"/>
          <w:sz w:val="28"/>
          <w:szCs w:val="28"/>
          <w:lang w:val="en-US" w:eastAsia="zh-CN" w:bidi="ar-SA"/>
        </w:rPr>
        <w:t>Summary</w:t>
      </w:r>
      <w:bookmarkEnd w:id="2"/>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eastAsia="宋体" w:cs="Times New Roman Regular"/>
          <w:b/>
          <w:bCs/>
          <w:snapToGrid w:val="0"/>
          <w:color w:val="000000"/>
          <w:kern w:val="0"/>
          <w:sz w:val="20"/>
          <w:szCs w:val="20"/>
          <w:lang w:val="en-US" w:eastAsia="zh-CN" w:bidi="ar-SA"/>
        </w:rPr>
      </w:pPr>
      <w:r>
        <w:rPr>
          <w:rFonts w:hint="default" w:ascii="Times New Roman Regular" w:hAnsi="Times New Roman Regular" w:cs="Times New Roman Regular"/>
          <w:bCs/>
          <w:sz w:val="20"/>
          <w:szCs w:val="20"/>
        </w:rPr>
        <w:t>Immune checkpoint inhibitor therapy combined with chemotherapy is safe and effective in treating advanced esophageal carcinoma; however, some patients still experience tumor progression and/or metastasis. Whether the addition of radiotherapy to immunotherapy combined with chemotherapy improves the prognosis of patients with advanced/metastatic esophageal carcinoma needs to be investigated. In the present study, we developed a protocol for our clinical trial indicating that toripalimab combined with induction chemotherapy followed by chemoradiotherapy can safely prolong survival in patients with stage IV esophageal carcinoma. This open-label, single-arm, phase II trial will include patients with unresectable</w:t>
      </w:r>
      <w:r>
        <w:rPr>
          <w:rFonts w:hint="default" w:ascii="Times New Roman Regular" w:hAnsi="Times New Roman Regular" w:eastAsia="宋体" w:cs="Times New Roman Regular"/>
          <w:bCs/>
          <w:sz w:val="20"/>
          <w:szCs w:val="20"/>
          <w:lang w:val="en-US" w:eastAsia="zh-CN"/>
        </w:rPr>
        <w:t>, treatment-naive</w:t>
      </w:r>
      <w:r>
        <w:rPr>
          <w:rFonts w:hint="default" w:ascii="Times New Roman Regular" w:hAnsi="Times New Roman Regular" w:cs="Times New Roman Regular"/>
          <w:bCs/>
          <w:sz w:val="20"/>
          <w:szCs w:val="20"/>
        </w:rPr>
        <w:t xml:space="preserve"> stage IV esophageal squamous cell carcinoma who have not received prior systemic therapy. The patients will be treated with two cycles of toripalimab (240 mg, 1 day before chemotherapy, Q3W) combined with induction chemotherapy (paclitaxel, 135–175 mg/m2 + carboplatin, area under the curve = 4–6, day 1, intravenous, Q3W). Thereafter, they will undergo two cycles of the aforementioned treatment with concurrent radiotherapy (30–50 Gy in 15–25 fractions), followed by toripalimab (240 mg, day 1, Q3W) for 1 year. The primary outcome measure will be progression-free survival; the secondary outcome measures will include the objective response rate, disease control rate, duration of remission, 1- an</w:t>
      </w:r>
      <w:r>
        <w:rPr>
          <w:rFonts w:hint="default" w:ascii="Times New Roman Regular" w:hAnsi="Times New Roman Regular" w:cs="Times New Roman Regular"/>
          <w:bCs/>
          <w:sz w:val="20"/>
          <w:szCs w:val="20"/>
          <w:lang w:val="en-US" w:eastAsia="zh-CN"/>
        </w:rPr>
        <w:t>a</w:t>
      </w:r>
      <w:r>
        <w:rPr>
          <w:rFonts w:hint="default" w:ascii="Times New Roman Regular" w:hAnsi="Times New Roman Regular" w:cs="Times New Roman Regular"/>
          <w:bCs/>
          <w:sz w:val="20"/>
          <w:szCs w:val="20"/>
        </w:rPr>
        <w:t>d 2-year overall survival rates, safety and tolerability, and changes in health-related quality of life. The study protocol was approved by the Ethics Committee of Sichuan Cancer Hospital (SCCHEC-02-2021-021). The trial is underway in accordance with the Declaration of Helsinki.</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bCs/>
          <w:szCs w:val="24"/>
        </w:rPr>
      </w:pP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bCs/>
          <w:szCs w:val="24"/>
        </w:rPr>
      </w:pPr>
    </w:p>
    <w:p>
      <w:pPr>
        <w:rPr>
          <w:rFonts w:hint="default" w:ascii="Times New Roman Regular" w:hAnsi="Times New Roman Regular" w:eastAsia="宋体" w:cs="Times New Roman Regular"/>
          <w:b/>
          <w:bCs/>
          <w:snapToGrid w:val="0"/>
          <w:color w:val="000000"/>
          <w:kern w:val="0"/>
          <w:sz w:val="28"/>
          <w:szCs w:val="28"/>
          <w:lang w:val="en-US" w:eastAsia="zh-CN" w:bidi="ar-SA"/>
        </w:rPr>
      </w:pPr>
      <w:r>
        <w:rPr>
          <w:rFonts w:hint="default" w:ascii="Times New Roman Regular" w:hAnsi="Times New Roman Regular" w:cs="Times New Roman Regular"/>
          <w:bCs/>
          <w:szCs w:val="24"/>
        </w:rPr>
        <w:br w:type="page"/>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0"/>
        <w:rPr>
          <w:rFonts w:hint="default" w:ascii="Times New Roman Regular" w:hAnsi="Times New Roman Regular" w:cs="Times New Roman Regular"/>
          <w:b/>
          <w:bCs/>
          <w:sz w:val="28"/>
          <w:szCs w:val="28"/>
        </w:rPr>
      </w:pPr>
      <w:bookmarkStart w:id="3" w:name="_Toc878"/>
      <w:r>
        <w:rPr>
          <w:rFonts w:hint="default" w:ascii="Times New Roman Regular" w:hAnsi="Times New Roman Regular" w:cs="Times New Roman Regular"/>
          <w:b/>
          <w:bCs/>
          <w:sz w:val="28"/>
          <w:szCs w:val="28"/>
        </w:rPr>
        <w:t>3. Background</w:t>
      </w:r>
      <w:bookmarkEnd w:id="3"/>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bCs/>
          <w:sz w:val="20"/>
          <w:szCs w:val="20"/>
        </w:rPr>
      </w:pPr>
      <w:r>
        <w:rPr>
          <w:rFonts w:hint="default" w:ascii="Times New Roman Regular" w:hAnsi="Times New Roman Regular" w:cs="Times New Roman Regular"/>
          <w:bCs/>
          <w:sz w:val="20"/>
          <w:szCs w:val="20"/>
        </w:rPr>
        <w:t>Esophageal carcinoma is a potentially life-threatening malignant disease with a poor prognosis (1). Among the malignant tumors in China, the prevalence of esophageal carcinoma ranks sixth, and its mortality ranks fourth (2). Squamous cell carcinomas form a majority of esophageal cancers in China; most patients with these carcinomas are diagnosed at an advanced stage.</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bCs/>
          <w:sz w:val="20"/>
          <w:szCs w:val="20"/>
        </w:rPr>
      </w:pPr>
      <w:r>
        <w:rPr>
          <w:rFonts w:hint="default" w:ascii="Times New Roman Regular" w:hAnsi="Times New Roman Regular" w:cs="Times New Roman Regular"/>
          <w:bCs/>
          <w:sz w:val="20"/>
          <w:szCs w:val="20"/>
        </w:rPr>
        <w:t xml:space="preserve">For advanced esophageal cancer, immunotherapy combined with chemotherapy has become the standard treatment recommended by the guidelines. In the phase III trial of pabolizumab or placebo combined with first-line chemotherapy for advanced esophageal cancer (keynote-590) (3), the median overall survival (OS) in the immunotherapy combined with chemotherapy group was more than 12 months, and the efficacy exceeded that of the previous standard first-line chemotherapy. Another phase III clinical study (ESCORT-1ST) showed that carilizumab combined with chemotherapy can significantly prolong the median survival (mOS, 15.3 months vs. 12.0 months) and median progression free survival (mPFS, 6.9 months vs 5.6 months) of patients with advanced esophageal squamous cell carcinoma (ESCC) and has good safety (4). </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bCs/>
          <w:sz w:val="20"/>
          <w:szCs w:val="20"/>
        </w:rPr>
      </w:pPr>
      <w:r>
        <w:rPr>
          <w:rFonts w:hint="default" w:ascii="Times New Roman Regular" w:hAnsi="Times New Roman Regular" w:cs="Times New Roman Regular"/>
          <w:bCs/>
          <w:sz w:val="20"/>
          <w:szCs w:val="20"/>
        </w:rPr>
        <w:t xml:space="preserve">Despite the combination of immunotherapy and chemotherapy, the prognosis of advanced esophageal cancer is still unsatisfactory. Radiotherapy is a crucial treatment method for patients with advanced esophageal cancer. Theoretically, radiotherapy has a good local tumor control effect, and the improvement of the local control rate is helpful in alleviating symptoms and prolonging survival. Therefore, some studies have tried to add radiotherapy to the first-line treatment of advanced esophageal cancer. Suzuki et al. (5) treated 32 patients with stage IVB esophageal cancer with palliative radiotherapy at an external dose of 30–60 Gy. After treatment, dysphagia in 73% of patients was relieved. </w:t>
      </w:r>
      <w:r>
        <w:rPr>
          <w:rFonts w:hint="default" w:ascii="Times New Roman Regular" w:hAnsi="Times New Roman Regular" w:cs="Times New Roman Regular"/>
          <w:sz w:val="20"/>
          <w:szCs w:val="20"/>
        </w:rPr>
        <w:fldChar w:fldCharType="begin"/>
      </w:r>
      <w:r>
        <w:rPr>
          <w:rFonts w:hint="default" w:ascii="Times New Roman Regular" w:hAnsi="Times New Roman Regular" w:cs="Times New Roman Regular"/>
          <w:sz w:val="20"/>
          <w:szCs w:val="20"/>
        </w:rPr>
        <w:instrText xml:space="preserve"> HYPERLINK "https://www.thegreenjournal.com/article/S0167-8140(20)30817-3/fulltext" \o "Correspondence information about the author Jie Li" </w:instrText>
      </w:r>
      <w:r>
        <w:rPr>
          <w:rFonts w:hint="default" w:ascii="Times New Roman Regular" w:hAnsi="Times New Roman Regular" w:cs="Times New Roman Regular"/>
          <w:sz w:val="20"/>
          <w:szCs w:val="20"/>
        </w:rPr>
        <w:fldChar w:fldCharType="separate"/>
      </w:r>
      <w:r>
        <w:rPr>
          <w:rStyle w:val="15"/>
          <w:rFonts w:hint="default" w:ascii="Times New Roman Regular" w:hAnsi="Times New Roman Regular" w:cs="Times New Roman Regular"/>
          <w:bCs/>
          <w:sz w:val="20"/>
          <w:szCs w:val="20"/>
        </w:rPr>
        <w:t>Li</w:t>
      </w:r>
      <w:r>
        <w:rPr>
          <w:rStyle w:val="15"/>
          <w:rFonts w:hint="default" w:ascii="Times New Roman Regular" w:hAnsi="Times New Roman Regular" w:cs="Times New Roman Regular"/>
          <w:bCs/>
          <w:sz w:val="20"/>
          <w:szCs w:val="20"/>
        </w:rPr>
        <w:fldChar w:fldCharType="end"/>
      </w:r>
      <w:r>
        <w:rPr>
          <w:rFonts w:hint="default" w:ascii="Times New Roman Regular" w:hAnsi="Times New Roman Regular" w:cs="Times New Roman Regular"/>
          <w:bCs/>
          <w:sz w:val="20"/>
          <w:szCs w:val="20"/>
        </w:rPr>
        <w:t xml:space="preserve"> et al. (6) conducted a retrospective study of 82 patients with heterochronic, oligometastatic esophageal cancer; patients were divided into radiotherapy and non-radiotherapy groups. The median OS of the radiotherapy group (RT) and non-radiotherapy group (NRT) were 14 months and 7 months, respectively. Multivariate analysis showed that treatment mode (RT vs NRT) was an independent prognostic factor for patients with oligometastatic esophageal cancer. In these studies, radiotherapy only was used for local palliative treatment. Whether radiotherapy can achieve a better therapeutic effect in combination with immunotherapy and chemotherapy is an urgent research topic (7-9) However, there are no reports on the combination of radiation with chemoimmotherapy in advanced esophageal cancer.</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bCs/>
          <w:sz w:val="20"/>
          <w:szCs w:val="20"/>
        </w:rPr>
      </w:pPr>
      <w:r>
        <w:rPr>
          <w:rFonts w:hint="default" w:ascii="Times New Roman Regular" w:hAnsi="Times New Roman Regular" w:cs="Times New Roman Regular"/>
          <w:bCs/>
          <w:sz w:val="20"/>
          <w:szCs w:val="20"/>
        </w:rPr>
        <w:t xml:space="preserve">Although radiotherapy combined with chemotherapy may have benefits, its mechanism of action raises safety concerns because radiotherapy- and immunotherapy-related toxic and side effects might overlap. In addition, the optimal target range, dose fraction schemes, total radiation dose, and timing of incorporation of radiation into the treatment region are unknown. To address this question, we will conduct a single-arm phase II study involving 30 patients with unresectable advanced ESCC. Patients will initially receive a combination of programmed cell death protein 1 (PD-1) inhibitor (toripalimab) therapy and induction chemotherapy, followed by immunotherapy and concurrent chemoradiotherapy (cCRT); eventually, they will be treated with toripalimab as maintenance therapy. Through this trial, we aim to provide preliminary evidence regarding the feasibility of this combination regimen as a first-line treatment option for patients with advanced ESCC. </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bCs/>
          <w:sz w:val="20"/>
          <w:szCs w:val="20"/>
        </w:rPr>
      </w:pPr>
      <w:r>
        <w:rPr>
          <w:rFonts w:hint="default" w:ascii="Times New Roman Regular" w:hAnsi="Times New Roman Regular" w:cs="Times New Roman Regular"/>
          <w:bCs/>
          <w:sz w:val="20"/>
          <w:szCs w:val="20"/>
        </w:rPr>
        <w:t xml:space="preserve">The main objective of this study is to evaluate the </w:t>
      </w:r>
      <w:r>
        <w:rPr>
          <w:rFonts w:hint="default" w:ascii="Times New Roman Regular" w:hAnsi="Times New Roman Regular" w:cs="Times New Roman Regular"/>
          <w:sz w:val="20"/>
          <w:szCs w:val="20"/>
        </w:rPr>
        <w:t xml:space="preserve">efficacy and safety of triple therapy involving toripalimab in combination with induction chemotherapy followed by chemoradiation in patients with </w:t>
      </w:r>
      <w:r>
        <w:rPr>
          <w:rFonts w:hint="default" w:ascii="Times New Roman Regular" w:hAnsi="Times New Roman Regular" w:eastAsia="宋体" w:cs="Times New Roman Regular"/>
          <w:sz w:val="20"/>
          <w:szCs w:val="20"/>
          <w:lang w:val="en-US" w:eastAsia="zh-CN"/>
        </w:rPr>
        <w:t xml:space="preserve">unresectable, treatment-naive, </w:t>
      </w:r>
      <w:r>
        <w:rPr>
          <w:rFonts w:hint="default" w:ascii="Times New Roman Regular" w:hAnsi="Times New Roman Regular" w:cs="Times New Roman Regular"/>
          <w:sz w:val="20"/>
          <w:szCs w:val="20"/>
        </w:rPr>
        <w:t xml:space="preserve">primary stage IV </w:t>
      </w:r>
      <w:r>
        <w:rPr>
          <w:rFonts w:hint="default" w:ascii="Times New Roman Regular" w:hAnsi="Times New Roman Regular" w:cs="Times New Roman Regular"/>
          <w:bCs/>
          <w:sz w:val="20"/>
          <w:szCs w:val="20"/>
        </w:rPr>
        <w:t>ESCC</w:t>
      </w:r>
      <w:r>
        <w:rPr>
          <w:rFonts w:hint="default" w:ascii="Times New Roman Regular" w:hAnsi="Times New Roman Regular" w:cs="Times New Roman Regular"/>
          <w:sz w:val="20"/>
          <w:szCs w:val="20"/>
        </w:rPr>
        <w:t>.</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0"/>
        <w:rPr>
          <w:rFonts w:hint="default" w:ascii="Times New Roman Regular" w:hAnsi="Times New Roman Regular" w:cs="Times New Roman Regular"/>
          <w:b/>
          <w:bCs/>
          <w:sz w:val="28"/>
          <w:szCs w:val="28"/>
        </w:rPr>
      </w:pPr>
      <w:bookmarkStart w:id="4" w:name="_Toc10476"/>
      <w:r>
        <w:rPr>
          <w:rFonts w:hint="default" w:ascii="Times New Roman Regular" w:hAnsi="Times New Roman Regular" w:cs="Times New Roman Regular"/>
          <w:b/>
          <w:bCs/>
          <w:sz w:val="28"/>
          <w:szCs w:val="28"/>
        </w:rPr>
        <w:t>4. Objective</w:t>
      </w:r>
      <w:bookmarkEnd w:id="4"/>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bCs/>
          <w:sz w:val="20"/>
          <w:szCs w:val="20"/>
        </w:rPr>
        <w:t xml:space="preserve">To evaluate the </w:t>
      </w:r>
      <w:r>
        <w:rPr>
          <w:rFonts w:hint="default" w:ascii="Times New Roman Regular" w:hAnsi="Times New Roman Regular" w:cs="Times New Roman Regular"/>
          <w:sz w:val="20"/>
          <w:szCs w:val="20"/>
        </w:rPr>
        <w:t>efficacy</w:t>
      </w:r>
      <w:r>
        <w:rPr>
          <w:rFonts w:hint="default" w:ascii="Times New Roman Regular" w:hAnsi="Times New Roman Regular" w:eastAsia="宋体" w:cs="Times New Roman Regular"/>
          <w:sz w:val="20"/>
          <w:szCs w:val="20"/>
          <w:lang w:val="en-US" w:eastAsia="zh-CN"/>
        </w:rPr>
        <w:t>,</w:t>
      </w:r>
      <w:r>
        <w:rPr>
          <w:rFonts w:hint="default" w:ascii="Times New Roman Regular" w:hAnsi="Times New Roman Regular" w:cs="Times New Roman Regular"/>
          <w:sz w:val="20"/>
          <w:szCs w:val="20"/>
        </w:rPr>
        <w:t xml:space="preserve"> safety</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and potential biomarkers of triple therapy involving toripalimab in combination with induction chemotherapy followed by chemoradi</w:t>
      </w:r>
      <w:r>
        <w:rPr>
          <w:rFonts w:hint="default" w:ascii="Times New Roman Regular" w:hAnsi="Times New Roman Regular" w:eastAsia="宋体" w:cs="Times New Roman Regular"/>
          <w:sz w:val="20"/>
          <w:szCs w:val="20"/>
          <w:lang w:val="en-US" w:eastAsia="zh-CN"/>
        </w:rPr>
        <w:t>ation</w:t>
      </w:r>
      <w:r>
        <w:rPr>
          <w:rFonts w:hint="default" w:ascii="Times New Roman Regular" w:hAnsi="Times New Roman Regular" w:cs="Times New Roman Regular"/>
          <w:sz w:val="20"/>
          <w:szCs w:val="20"/>
        </w:rPr>
        <w:t xml:space="preserve"> in patients with </w:t>
      </w:r>
      <w:r>
        <w:rPr>
          <w:rFonts w:hint="default" w:ascii="Times New Roman Regular" w:hAnsi="Times New Roman Regular" w:eastAsia="宋体" w:cs="Times New Roman Regular"/>
          <w:sz w:val="20"/>
          <w:szCs w:val="20"/>
          <w:lang w:val="en-US" w:eastAsia="zh-CN"/>
        </w:rPr>
        <w:t xml:space="preserve">unresectable, treatment-naive, </w:t>
      </w:r>
      <w:r>
        <w:rPr>
          <w:rFonts w:hint="default" w:ascii="Times New Roman Regular" w:hAnsi="Times New Roman Regular" w:cs="Times New Roman Regular"/>
          <w:sz w:val="20"/>
          <w:szCs w:val="20"/>
        </w:rPr>
        <w:t xml:space="preserve">primary stage IV </w:t>
      </w:r>
      <w:r>
        <w:rPr>
          <w:rFonts w:hint="default" w:ascii="Times New Roman Regular" w:hAnsi="Times New Roman Regular" w:cs="Times New Roman Regular"/>
          <w:bCs/>
          <w:sz w:val="20"/>
          <w:szCs w:val="20"/>
        </w:rPr>
        <w:t>ESCC</w:t>
      </w:r>
      <w:r>
        <w:rPr>
          <w:rFonts w:hint="default" w:ascii="Times New Roman Regular" w:hAnsi="Times New Roman Regular" w:cs="Times New Roman Regular"/>
          <w:sz w:val="20"/>
          <w:szCs w:val="20"/>
        </w:rPr>
        <w:t>.</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0"/>
        <w:rPr>
          <w:rFonts w:hint="default" w:ascii="Times New Roman Regular" w:hAnsi="Times New Roman Regular" w:cs="Times New Roman Regular"/>
          <w:b/>
          <w:bCs/>
          <w:sz w:val="28"/>
          <w:szCs w:val="28"/>
        </w:rPr>
      </w:pPr>
      <w:bookmarkStart w:id="5" w:name="_Toc5089"/>
      <w:r>
        <w:rPr>
          <w:rFonts w:hint="default" w:ascii="Times New Roman Regular" w:hAnsi="Times New Roman Regular" w:cs="Times New Roman Regular"/>
          <w:b/>
          <w:bCs/>
          <w:sz w:val="28"/>
          <w:szCs w:val="28"/>
        </w:rPr>
        <w:t>5. Plan</w:t>
      </w:r>
      <w:bookmarkEnd w:id="5"/>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1"/>
        <w:rPr>
          <w:rFonts w:hint="default" w:ascii="Times New Roman Regular" w:hAnsi="Times New Roman Regular" w:cs="Times New Roman Regular"/>
          <w:b/>
          <w:bCs/>
          <w:sz w:val="24"/>
          <w:szCs w:val="24"/>
        </w:rPr>
      </w:pPr>
      <w:bookmarkStart w:id="6" w:name="_Toc1507"/>
      <w:r>
        <w:rPr>
          <w:rFonts w:hint="default" w:ascii="Times New Roman Regular" w:hAnsi="Times New Roman Regular" w:cs="Times New Roman Regular"/>
          <w:b/>
          <w:bCs/>
          <w:sz w:val="24"/>
          <w:szCs w:val="24"/>
        </w:rPr>
        <w:t>5.1 Patient Selection</w:t>
      </w:r>
      <w:bookmarkEnd w:id="6"/>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b/>
          <w:bCs/>
          <w:sz w:val="22"/>
          <w:szCs w:val="22"/>
        </w:rPr>
      </w:pPr>
      <w:bookmarkStart w:id="7" w:name="_Toc1962"/>
      <w:r>
        <w:rPr>
          <w:rFonts w:hint="default" w:ascii="Times New Roman Regular" w:hAnsi="Times New Roman Regular" w:cs="Times New Roman Regular"/>
          <w:b/>
          <w:bCs/>
          <w:sz w:val="22"/>
          <w:szCs w:val="22"/>
        </w:rPr>
        <w:t>5.1.1 Inclusion criteria</w:t>
      </w:r>
      <w:bookmarkEnd w:id="7"/>
    </w:p>
    <w:p>
      <w:pPr>
        <w:keepNext w:val="0"/>
        <w:keepLines w:val="0"/>
        <w:pageBreakBefore w:val="0"/>
        <w:widowControl/>
        <w:numPr>
          <w:ilvl w:val="0"/>
          <w:numId w:val="8"/>
        </w:numPr>
        <w:suppressLineNumbers w:val="0"/>
        <w:kinsoku w:val="0"/>
        <w:wordWrap/>
        <w:overflowPunct/>
        <w:topLinePunct w:val="0"/>
        <w:autoSpaceDE w:val="0"/>
        <w:autoSpaceDN w:val="0"/>
        <w:bidi w:val="0"/>
        <w:adjustRightInd w:val="0"/>
        <w:snapToGrid w:val="0"/>
        <w:spacing w:before="100" w:after="100" w:line="360" w:lineRule="exact"/>
        <w:ind w:left="425" w:leftChars="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lang w:val="en-US" w:eastAsia="zh-CN"/>
        </w:rPr>
        <w:t>Pathologically confirmed unresectable, treatment-naive stage IV esophageal squamous cell carcinoma, suitable for cCRT (T1b-4b, N3, M0, or TanyNanyM1 with oligometastases as per AJCC 8th edition). Oligometastases are defined as ≤5 metastatic lesions and ≤3 metastatic organs</w:t>
      </w:r>
      <w:r>
        <w:rPr>
          <w:rFonts w:hint="default" w:ascii="Times New Roman Regular" w:hAnsi="Times New Roman Regular" w:cs="Times New Roman Regular"/>
          <w:sz w:val="20"/>
          <w:szCs w:val="20"/>
        </w:rPr>
        <w:t>;</w:t>
      </w:r>
    </w:p>
    <w:p>
      <w:pPr>
        <w:keepNext w:val="0"/>
        <w:keepLines w:val="0"/>
        <w:pageBreakBefore w:val="0"/>
        <w:widowControl/>
        <w:numPr>
          <w:ilvl w:val="0"/>
          <w:numId w:val="8"/>
        </w:numPr>
        <w:kinsoku w:val="0"/>
        <w:wordWrap/>
        <w:overflowPunct/>
        <w:topLinePunct w:val="0"/>
        <w:autoSpaceDE w:val="0"/>
        <w:autoSpaceDN w:val="0"/>
        <w:bidi w:val="0"/>
        <w:adjustRightInd w:val="0"/>
        <w:snapToGrid w:val="0"/>
        <w:spacing w:before="100" w:after="100" w:line="360" w:lineRule="exact"/>
        <w:ind w:left="425" w:leftChars="0" w:right="210" w:rightChars="100" w:hanging="425" w:firstLineChars="0"/>
        <w:jc w:val="both"/>
        <w:textAlignment w:val="baseline"/>
        <w:outlineLvl w:val="9"/>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No prior cancer therapy;</w:t>
      </w:r>
    </w:p>
    <w:p>
      <w:pPr>
        <w:keepNext w:val="0"/>
        <w:keepLines w:val="0"/>
        <w:pageBreakBefore w:val="0"/>
        <w:widowControl/>
        <w:numPr>
          <w:ilvl w:val="0"/>
          <w:numId w:val="8"/>
        </w:numPr>
        <w:kinsoku w:val="0"/>
        <w:wordWrap/>
        <w:overflowPunct/>
        <w:topLinePunct w:val="0"/>
        <w:autoSpaceDE w:val="0"/>
        <w:autoSpaceDN w:val="0"/>
        <w:bidi w:val="0"/>
        <w:adjustRightInd w:val="0"/>
        <w:snapToGrid w:val="0"/>
        <w:spacing w:before="100" w:after="100" w:line="360" w:lineRule="exact"/>
        <w:ind w:left="425" w:leftChars="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Estimated life expectancy &gt;6 months;</w:t>
      </w:r>
    </w:p>
    <w:p>
      <w:pPr>
        <w:keepNext w:val="0"/>
        <w:keepLines w:val="0"/>
        <w:pageBreakBefore w:val="0"/>
        <w:widowControl/>
        <w:numPr>
          <w:ilvl w:val="0"/>
          <w:numId w:val="8"/>
        </w:numPr>
        <w:kinsoku w:val="0"/>
        <w:wordWrap/>
        <w:overflowPunct/>
        <w:topLinePunct w:val="0"/>
        <w:autoSpaceDE w:val="0"/>
        <w:autoSpaceDN w:val="0"/>
        <w:bidi w:val="0"/>
        <w:adjustRightInd w:val="0"/>
        <w:snapToGrid w:val="0"/>
        <w:spacing w:before="100" w:after="100" w:line="360" w:lineRule="exact"/>
        <w:ind w:left="425" w:leftChars="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Age at diagnosis being 18-7</w:t>
      </w:r>
      <w:r>
        <w:rPr>
          <w:rFonts w:hint="default" w:ascii="Times New Roman Regular" w:hAnsi="Times New Roman Regular" w:cs="Times New Roman Regular"/>
          <w:sz w:val="20"/>
          <w:szCs w:val="20"/>
          <w:lang w:val="en-US" w:eastAsia="zh-CN"/>
        </w:rPr>
        <w:t>5</w:t>
      </w:r>
      <w:r>
        <w:rPr>
          <w:rFonts w:hint="default" w:ascii="Times New Roman Regular" w:hAnsi="Times New Roman Regular" w:cs="Times New Roman Regular"/>
          <w:sz w:val="20"/>
          <w:szCs w:val="20"/>
        </w:rPr>
        <w:t xml:space="preserve"> years;</w:t>
      </w:r>
    </w:p>
    <w:p>
      <w:pPr>
        <w:keepNext w:val="0"/>
        <w:keepLines w:val="0"/>
        <w:pageBreakBefore w:val="0"/>
        <w:widowControl/>
        <w:numPr>
          <w:ilvl w:val="0"/>
          <w:numId w:val="8"/>
        </w:numPr>
        <w:kinsoku w:val="0"/>
        <w:wordWrap/>
        <w:overflowPunct/>
        <w:topLinePunct w:val="0"/>
        <w:autoSpaceDE w:val="0"/>
        <w:autoSpaceDN w:val="0"/>
        <w:bidi w:val="0"/>
        <w:adjustRightInd w:val="0"/>
        <w:snapToGrid w:val="0"/>
        <w:spacing w:before="100" w:after="100" w:line="360" w:lineRule="exact"/>
        <w:ind w:left="425" w:leftChars="0" w:right="210" w:rightChars="100" w:hanging="425" w:firstLineChars="0"/>
        <w:jc w:val="both"/>
        <w:textAlignment w:val="baseline"/>
        <w:rPr>
          <w:rFonts w:hint="default" w:ascii="Times New Roman Regular" w:hAnsi="Times New Roman Regular" w:eastAsia="宋体" w:cs="Times New Roman Regular"/>
          <w:sz w:val="20"/>
          <w:szCs w:val="20"/>
          <w:lang w:val="en-US" w:eastAsia="zh-CN"/>
        </w:rPr>
      </w:pPr>
      <w:r>
        <w:rPr>
          <w:rFonts w:hint="default" w:ascii="Times New Roman Regular" w:hAnsi="Times New Roman Regular" w:cs="Times New Roman Regular"/>
          <w:sz w:val="20"/>
          <w:szCs w:val="20"/>
        </w:rPr>
        <w:t>At least 1 measurable lesion according to RECIST v1.1</w:t>
      </w:r>
      <w:r>
        <w:rPr>
          <w:rFonts w:hint="default" w:ascii="Times New Roman Regular" w:hAnsi="Times New Roman Regular" w:eastAsia="宋体" w:cs="Times New Roman Regular"/>
          <w:sz w:val="20"/>
          <w:szCs w:val="20"/>
          <w:lang w:val="en-US" w:eastAsia="zh-CN"/>
        </w:rPr>
        <w:t>;</w:t>
      </w:r>
    </w:p>
    <w:p>
      <w:pPr>
        <w:keepNext w:val="0"/>
        <w:keepLines w:val="0"/>
        <w:pageBreakBefore w:val="0"/>
        <w:widowControl/>
        <w:numPr>
          <w:ilvl w:val="0"/>
          <w:numId w:val="8"/>
        </w:numPr>
        <w:kinsoku w:val="0"/>
        <w:wordWrap/>
        <w:overflowPunct/>
        <w:topLinePunct w:val="0"/>
        <w:autoSpaceDE w:val="0"/>
        <w:autoSpaceDN w:val="0"/>
        <w:bidi w:val="0"/>
        <w:adjustRightInd w:val="0"/>
        <w:snapToGrid w:val="0"/>
        <w:spacing w:before="100" w:after="100" w:line="360" w:lineRule="exact"/>
        <w:ind w:left="425" w:leftChars="0" w:right="210" w:rightChars="100" w:hanging="425" w:firstLineChars="0"/>
        <w:jc w:val="both"/>
        <w:textAlignment w:val="baseline"/>
        <w:rPr>
          <w:rFonts w:hint="default" w:ascii="Times New Roman Regular" w:hAnsi="Times New Roman Regular" w:eastAsia="宋体" w:cs="Times New Roman Regular"/>
          <w:sz w:val="20"/>
          <w:szCs w:val="20"/>
          <w:lang w:val="en-US" w:eastAsia="zh-CN"/>
        </w:rPr>
      </w:pP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function 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important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organs meets 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following requirements:a.white blood cell count (WBC) ≥ 4.0×109/L, absolute neutrophil count (ANC) ≥ 1.5×109/L; b. platelets ≥ 100×109/L;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hemoglobin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9g/dL;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serum</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albumin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 2.8g/dL;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total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bilirubin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1.5×ULN,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ALT,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AST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and/or AKP</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2.5×ULN;</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f.</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serum</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creatinine</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1.5×ULN</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or creatinine clearance rate &gt;60 mL/min;</w:t>
      </w:r>
      <w:r>
        <w:rPr>
          <w:rFonts w:hint="default" w:ascii="Times New Roman Regular" w:hAnsi="Times New Roman Regular" w:cs="Times New Roman Regular"/>
          <w:sz w:val="20"/>
          <w:szCs w:val="20"/>
          <w:lang w:val="en-US" w:eastAsia="zh-CN"/>
        </w:rPr>
        <w:t xml:space="preserve"> g. </w:t>
      </w:r>
      <w:r>
        <w:rPr>
          <w:rFonts w:hint="default" w:ascii="Times New Roman Regular" w:hAnsi="Times New Roman Regular" w:cs="Times New Roman Regular"/>
          <w:sz w:val="20"/>
          <w:szCs w:val="20"/>
        </w:rPr>
        <w:t>normal thyroid function</w:t>
      </w:r>
      <w:r>
        <w:rPr>
          <w:rFonts w:hint="default" w:ascii="Times New Roman Regular" w:hAnsi="Times New Roman Regular" w:eastAsia="宋体" w:cs="Times New Roman Regular"/>
          <w:sz w:val="20"/>
          <w:szCs w:val="20"/>
          <w:lang w:val="en-US" w:eastAsia="zh-CN"/>
        </w:rPr>
        <w:t>;</w:t>
      </w:r>
    </w:p>
    <w:p>
      <w:pPr>
        <w:keepNext w:val="0"/>
        <w:keepLines w:val="0"/>
        <w:pageBreakBefore w:val="0"/>
        <w:widowControl/>
        <w:numPr>
          <w:ilvl w:val="0"/>
          <w:numId w:val="8"/>
        </w:numPr>
        <w:kinsoku w:val="0"/>
        <w:wordWrap/>
        <w:overflowPunct/>
        <w:topLinePunct w:val="0"/>
        <w:autoSpaceDE w:val="0"/>
        <w:autoSpaceDN w:val="0"/>
        <w:bidi w:val="0"/>
        <w:adjustRightInd w:val="0"/>
        <w:snapToGrid w:val="0"/>
        <w:spacing w:before="100" w:after="100" w:line="360" w:lineRule="exact"/>
        <w:ind w:left="425" w:leftChars="0" w:right="210" w:rightChars="100" w:hanging="425" w:firstLineChars="0"/>
        <w:jc w:val="both"/>
        <w:textAlignment w:val="baseline"/>
        <w:outlineLvl w:val="9"/>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 xml:space="preserve">PS score </w:t>
      </w:r>
      <w:r>
        <w:rPr>
          <w:rFonts w:hint="default" w:ascii="Times New Roman Regular" w:hAnsi="Times New Roman Regular" w:eastAsia="宋体" w:cs="Times New Roman Regular"/>
          <w:sz w:val="20"/>
          <w:szCs w:val="20"/>
          <w:lang w:val="en-US" w:eastAsia="zh-CN"/>
        </w:rPr>
        <w:t>0-1</w:t>
      </w:r>
      <w:r>
        <w:rPr>
          <w:rFonts w:hint="default" w:ascii="Times New Roman Regular" w:hAnsi="Times New Roman Regular" w:cs="Times New Roman Regular"/>
          <w:sz w:val="20"/>
          <w:szCs w:val="20"/>
        </w:rPr>
        <w:t>;</w:t>
      </w:r>
    </w:p>
    <w:p>
      <w:pPr>
        <w:keepNext w:val="0"/>
        <w:keepLines w:val="0"/>
        <w:pageBreakBefore w:val="0"/>
        <w:widowControl/>
        <w:numPr>
          <w:ilvl w:val="0"/>
          <w:numId w:val="8"/>
        </w:numPr>
        <w:kinsoku w:val="0"/>
        <w:wordWrap/>
        <w:overflowPunct/>
        <w:topLinePunct w:val="0"/>
        <w:autoSpaceDE w:val="0"/>
        <w:autoSpaceDN w:val="0"/>
        <w:bidi w:val="0"/>
        <w:adjustRightInd w:val="0"/>
        <w:snapToGrid w:val="0"/>
        <w:spacing w:before="100" w:after="100" w:line="360" w:lineRule="exact"/>
        <w:ind w:left="425" w:leftChars="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Ability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understand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study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sign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informed consent.</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b/>
          <w:bCs/>
          <w:sz w:val="22"/>
          <w:szCs w:val="22"/>
        </w:rPr>
      </w:pPr>
      <w:bookmarkStart w:id="8" w:name="_Toc27042"/>
      <w:r>
        <w:rPr>
          <w:rFonts w:hint="default" w:ascii="Times New Roman Regular" w:hAnsi="Times New Roman Regular" w:cs="Times New Roman Regular"/>
          <w:b/>
          <w:bCs/>
          <w:sz w:val="22"/>
          <w:szCs w:val="22"/>
        </w:rPr>
        <w:t>5.1.2 Exclusion criteria</w:t>
      </w:r>
      <w:bookmarkEnd w:id="8"/>
    </w:p>
    <w:p>
      <w:pPr>
        <w:keepNext w:val="0"/>
        <w:keepLines w:val="0"/>
        <w:pageBreakBefore w:val="0"/>
        <w:widowControl/>
        <w:numPr>
          <w:ilvl w:val="0"/>
          <w:numId w:val="9"/>
        </w:numPr>
        <w:kinsoku w:val="0"/>
        <w:wordWrap/>
        <w:overflowPunct/>
        <w:topLinePunct w:val="0"/>
        <w:autoSpaceDE w:val="0"/>
        <w:autoSpaceDN w:val="0"/>
        <w:bidi w:val="0"/>
        <w:adjustRightInd w:val="0"/>
        <w:snapToGrid w:val="0"/>
        <w:spacing w:before="100" w:after="100" w:line="360" w:lineRule="exact"/>
        <w:ind w:left="425" w:leftChars="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Patients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who</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have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been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treated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previously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with anti-tumor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therapy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(including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chemotherapy,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radiotherapy, surgery, immunotherapy, etc.);</w:t>
      </w:r>
    </w:p>
    <w:p>
      <w:pPr>
        <w:keepNext w:val="0"/>
        <w:keepLines w:val="0"/>
        <w:pageBreakBefore w:val="0"/>
        <w:widowControl/>
        <w:numPr>
          <w:ilvl w:val="0"/>
          <w:numId w:val="9"/>
        </w:numPr>
        <w:kinsoku w:val="0"/>
        <w:wordWrap/>
        <w:overflowPunct/>
        <w:topLinePunct w:val="0"/>
        <w:autoSpaceDE w:val="0"/>
        <w:autoSpaceDN w:val="0"/>
        <w:bidi w:val="0"/>
        <w:adjustRightInd w:val="0"/>
        <w:snapToGrid w:val="0"/>
        <w:spacing w:before="100" w:after="100" w:line="360" w:lineRule="exact"/>
        <w:ind w:left="425" w:leftChars="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Active or untreated CNS metastases, as determined using CT or MRI during screening and prior radiographic assessments;</w:t>
      </w:r>
    </w:p>
    <w:p>
      <w:pPr>
        <w:keepNext w:val="0"/>
        <w:keepLines w:val="0"/>
        <w:pageBreakBefore w:val="0"/>
        <w:widowControl/>
        <w:numPr>
          <w:ilvl w:val="0"/>
          <w:numId w:val="9"/>
        </w:numPr>
        <w:kinsoku w:val="0"/>
        <w:wordWrap/>
        <w:overflowPunct/>
        <w:topLinePunct w:val="0"/>
        <w:autoSpaceDE w:val="0"/>
        <w:autoSpaceDN w:val="0"/>
        <w:bidi w:val="0"/>
        <w:adjustRightInd w:val="0"/>
        <w:snapToGrid w:val="0"/>
        <w:spacing w:before="100" w:after="100" w:line="360" w:lineRule="exact"/>
        <w:ind w:left="425" w:leftChars="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Uncontrolled cancer-related pain</w:t>
      </w:r>
      <w:r>
        <w:rPr>
          <w:rFonts w:hint="default" w:ascii="Times New Roman Regular" w:hAnsi="Times New Roman Regular" w:cs="Times New Roman Regular"/>
          <w:sz w:val="20"/>
          <w:szCs w:val="20"/>
          <w:lang w:val="en-US" w:eastAsia="zh-CN"/>
        </w:rPr>
        <w:t>;</w:t>
      </w:r>
    </w:p>
    <w:p>
      <w:pPr>
        <w:keepNext w:val="0"/>
        <w:keepLines w:val="0"/>
        <w:pageBreakBefore w:val="0"/>
        <w:widowControl/>
        <w:numPr>
          <w:ilvl w:val="0"/>
          <w:numId w:val="9"/>
        </w:numPr>
        <w:kinsoku w:val="0"/>
        <w:wordWrap/>
        <w:overflowPunct/>
        <w:topLinePunct w:val="0"/>
        <w:autoSpaceDE w:val="0"/>
        <w:autoSpaceDN w:val="0"/>
        <w:bidi w:val="0"/>
        <w:adjustRightInd w:val="0"/>
        <w:snapToGrid w:val="0"/>
        <w:spacing w:before="100" w:after="100" w:line="360" w:lineRule="exact"/>
        <w:ind w:left="425" w:leftChars="0" w:right="210" w:rightChars="100" w:hanging="425" w:firstLineChars="0"/>
        <w:jc w:val="both"/>
        <w:textAlignment w:val="baseline"/>
        <w:rPr>
          <w:rFonts w:hint="default" w:ascii="Times New Roman Regular" w:hAnsi="Times New Roman Regular" w:cs="Times New Roman Regular"/>
          <w:sz w:val="20"/>
          <w:szCs w:val="20"/>
          <w:lang w:val="en-US" w:eastAsia="zh-CN"/>
        </w:rPr>
      </w:pPr>
      <w:r>
        <w:rPr>
          <w:rFonts w:hint="default" w:ascii="Times New Roman Regular" w:hAnsi="Times New Roman Regular" w:cs="Times New Roman Regular"/>
          <w:sz w:val="20"/>
          <w:szCs w:val="20"/>
        </w:rPr>
        <w:t>Uncontrolled pleural effusion, pericardial effusion, or ascites requiring recurrent drainage procedures (once monthly or more frequently)</w:t>
      </w:r>
      <w:r>
        <w:rPr>
          <w:rFonts w:hint="default" w:ascii="Times New Roman Regular" w:hAnsi="Times New Roman Regular" w:cs="Times New Roman Regular"/>
          <w:sz w:val="20"/>
          <w:szCs w:val="20"/>
          <w:lang w:val="en-US" w:eastAsia="zh-CN"/>
        </w:rPr>
        <w:t>;</w:t>
      </w:r>
    </w:p>
    <w:p>
      <w:pPr>
        <w:keepNext w:val="0"/>
        <w:keepLines w:val="0"/>
        <w:pageBreakBefore w:val="0"/>
        <w:widowControl/>
        <w:numPr>
          <w:ilvl w:val="0"/>
          <w:numId w:val="9"/>
        </w:numPr>
        <w:kinsoku w:val="0"/>
        <w:wordWrap/>
        <w:overflowPunct/>
        <w:topLinePunct w:val="0"/>
        <w:autoSpaceDE w:val="0"/>
        <w:autoSpaceDN w:val="0"/>
        <w:bidi w:val="0"/>
        <w:adjustRightInd w:val="0"/>
        <w:snapToGrid w:val="0"/>
        <w:spacing w:before="100" w:after="100" w:line="360" w:lineRule="exact"/>
        <w:ind w:left="425" w:leftChars="0" w:right="210" w:rightChars="100" w:hanging="425" w:firstLineChars="0"/>
        <w:jc w:val="both"/>
        <w:textAlignment w:val="baseline"/>
        <w:rPr>
          <w:rFonts w:hint="default" w:ascii="Times New Roman Regular" w:hAnsi="Times New Roman Regular" w:cs="Times New Roman Regular"/>
          <w:sz w:val="20"/>
          <w:szCs w:val="20"/>
          <w:lang w:val="en-US" w:eastAsia="zh-CN"/>
        </w:rPr>
      </w:pPr>
      <w:r>
        <w:rPr>
          <w:rFonts w:hint="default" w:ascii="Times New Roman Regular" w:hAnsi="Times New Roman Regular" w:cs="Times New Roman Regular"/>
          <w:sz w:val="20"/>
          <w:szCs w:val="20"/>
        </w:rPr>
        <w:t>Uncontrolled or symptomatic hypercalcemia</w:t>
      </w:r>
      <w:r>
        <w:rPr>
          <w:rFonts w:hint="default" w:ascii="Times New Roman Regular" w:hAnsi="Times New Roman Regular" w:cs="Times New Roman Regular"/>
          <w:sz w:val="20"/>
          <w:szCs w:val="20"/>
          <w:lang w:val="en-US" w:eastAsia="zh-CN"/>
        </w:rPr>
        <w:t>;</w:t>
      </w:r>
    </w:p>
    <w:p>
      <w:pPr>
        <w:keepNext w:val="0"/>
        <w:keepLines w:val="0"/>
        <w:pageBreakBefore w:val="0"/>
        <w:widowControl/>
        <w:numPr>
          <w:ilvl w:val="0"/>
          <w:numId w:val="9"/>
        </w:numPr>
        <w:kinsoku w:val="0"/>
        <w:wordWrap/>
        <w:overflowPunct/>
        <w:topLinePunct w:val="0"/>
        <w:autoSpaceDE w:val="0"/>
        <w:autoSpaceDN w:val="0"/>
        <w:bidi w:val="0"/>
        <w:adjustRightInd w:val="0"/>
        <w:snapToGrid w:val="0"/>
        <w:spacing w:before="100" w:after="100" w:line="360" w:lineRule="exact"/>
        <w:ind w:left="425" w:leftChars="0" w:right="210" w:rightChars="100" w:hanging="425" w:firstLineChars="0"/>
        <w:jc w:val="both"/>
        <w:textAlignment w:val="baseline"/>
        <w:rPr>
          <w:rFonts w:hint="default" w:ascii="Times New Roman Regular" w:hAnsi="Times New Roman Regular" w:cs="Times New Roman Regular"/>
          <w:sz w:val="20"/>
          <w:szCs w:val="20"/>
          <w:lang w:val="en-US" w:eastAsia="zh-CN"/>
        </w:rPr>
      </w:pPr>
      <w:r>
        <w:rPr>
          <w:rFonts w:hint="default" w:ascii="Times New Roman Regular" w:hAnsi="Times New Roman Regular" w:cs="Times New Roman Regular"/>
          <w:sz w:val="20"/>
          <w:szCs w:val="20"/>
        </w:rPr>
        <w:t>Bone metastases of the multi-segmental vertebral body, ilium, and other sites</w:t>
      </w:r>
      <w:r>
        <w:rPr>
          <w:rFonts w:hint="default" w:ascii="Times New Roman Regular" w:hAnsi="Times New Roman Regular" w:cs="Times New Roman Regular"/>
          <w:sz w:val="20"/>
          <w:szCs w:val="20"/>
          <w:lang w:val="en-US" w:eastAsia="zh-CN"/>
        </w:rPr>
        <w:t>;</w:t>
      </w:r>
    </w:p>
    <w:p>
      <w:pPr>
        <w:keepNext w:val="0"/>
        <w:keepLines w:val="0"/>
        <w:pageBreakBefore w:val="0"/>
        <w:widowControl/>
        <w:numPr>
          <w:ilvl w:val="0"/>
          <w:numId w:val="9"/>
        </w:numPr>
        <w:kinsoku w:val="0"/>
        <w:wordWrap/>
        <w:overflowPunct/>
        <w:topLinePunct w:val="0"/>
        <w:autoSpaceDE w:val="0"/>
        <w:autoSpaceDN w:val="0"/>
        <w:bidi w:val="0"/>
        <w:adjustRightInd w:val="0"/>
        <w:snapToGrid w:val="0"/>
        <w:spacing w:before="100" w:after="100" w:line="360" w:lineRule="exact"/>
        <w:ind w:left="425" w:leftChars="0" w:right="210" w:rightChars="100" w:hanging="425" w:firstLineChars="0"/>
        <w:jc w:val="both"/>
        <w:textAlignment w:val="baseline"/>
        <w:rPr>
          <w:rFonts w:hint="default" w:ascii="Times New Roman Regular" w:hAnsi="Times New Roman Regular" w:cs="Times New Roman Regular"/>
          <w:sz w:val="20"/>
          <w:szCs w:val="20"/>
          <w:lang w:val="en-US" w:eastAsia="zh-CN"/>
        </w:rPr>
      </w:pPr>
      <w:r>
        <w:rPr>
          <w:rFonts w:hint="default" w:ascii="Times New Roman Regular" w:hAnsi="Times New Roman Regular" w:cs="Times New Roman Regular"/>
          <w:sz w:val="20"/>
          <w:szCs w:val="20"/>
        </w:rPr>
        <w:t>Patients with the tendency to exhibit a complete obstruction under endoscopy that requires interventional therapy or surgery for relief of the obstruction</w:t>
      </w:r>
      <w:r>
        <w:rPr>
          <w:rFonts w:hint="default" w:ascii="Times New Roman Regular" w:hAnsi="Times New Roman Regular" w:cs="Times New Roman Regular"/>
          <w:sz w:val="20"/>
          <w:szCs w:val="20"/>
          <w:lang w:val="en-US" w:eastAsia="zh-CN"/>
        </w:rPr>
        <w:t>;</w:t>
      </w:r>
    </w:p>
    <w:p>
      <w:pPr>
        <w:keepNext w:val="0"/>
        <w:keepLines w:val="0"/>
        <w:pageBreakBefore w:val="0"/>
        <w:widowControl/>
        <w:numPr>
          <w:ilvl w:val="0"/>
          <w:numId w:val="9"/>
        </w:numPr>
        <w:kinsoku w:val="0"/>
        <w:wordWrap/>
        <w:overflowPunct/>
        <w:topLinePunct w:val="0"/>
        <w:autoSpaceDE w:val="0"/>
        <w:autoSpaceDN w:val="0"/>
        <w:bidi w:val="0"/>
        <w:adjustRightInd w:val="0"/>
        <w:snapToGrid w:val="0"/>
        <w:spacing w:before="100" w:after="100" w:line="360" w:lineRule="exact"/>
        <w:ind w:left="425" w:leftChars="0" w:right="210" w:rightChars="100" w:hanging="425" w:firstLineChars="0"/>
        <w:jc w:val="both"/>
        <w:textAlignment w:val="baseline"/>
        <w:rPr>
          <w:rFonts w:hint="default" w:ascii="Times New Roman Regular" w:hAnsi="Times New Roman Regular" w:cs="Times New Roman Regular"/>
          <w:sz w:val="20"/>
          <w:szCs w:val="20"/>
          <w:lang w:val="en-US" w:eastAsia="zh-CN"/>
        </w:rPr>
      </w:pPr>
      <w:r>
        <w:rPr>
          <w:rFonts w:hint="default" w:ascii="Times New Roman Regular" w:hAnsi="Times New Roman Regular" w:cs="Times New Roman Regular"/>
          <w:sz w:val="20"/>
          <w:szCs w:val="20"/>
        </w:rPr>
        <w:t>Stent implanted in the esophagus or trachea</w:t>
      </w:r>
      <w:r>
        <w:rPr>
          <w:rFonts w:hint="default" w:ascii="Times New Roman Regular" w:hAnsi="Times New Roman Regular" w:cs="Times New Roman Regular"/>
          <w:sz w:val="20"/>
          <w:szCs w:val="20"/>
          <w:lang w:val="en-US" w:eastAsia="zh-CN"/>
        </w:rPr>
        <w:t>;</w:t>
      </w:r>
    </w:p>
    <w:p>
      <w:pPr>
        <w:keepNext w:val="0"/>
        <w:keepLines w:val="0"/>
        <w:pageBreakBefore w:val="0"/>
        <w:widowControl/>
        <w:numPr>
          <w:ilvl w:val="0"/>
          <w:numId w:val="9"/>
        </w:numPr>
        <w:kinsoku w:val="0"/>
        <w:wordWrap/>
        <w:overflowPunct/>
        <w:topLinePunct w:val="0"/>
        <w:autoSpaceDE w:val="0"/>
        <w:autoSpaceDN w:val="0"/>
        <w:bidi w:val="0"/>
        <w:adjustRightInd w:val="0"/>
        <w:snapToGrid w:val="0"/>
        <w:spacing w:before="100" w:after="100" w:line="360" w:lineRule="exact"/>
        <w:ind w:left="425" w:leftChars="0" w:right="210" w:rightChars="100" w:hanging="425" w:firstLineChars="0"/>
        <w:jc w:val="both"/>
        <w:textAlignment w:val="baseline"/>
        <w:rPr>
          <w:rFonts w:hint="default" w:ascii="Times New Roman Regular" w:hAnsi="Times New Roman Regular" w:cs="Times New Roman Regular"/>
          <w:sz w:val="20"/>
          <w:szCs w:val="20"/>
          <w:lang w:val="en-US" w:eastAsia="zh-CN"/>
        </w:rPr>
      </w:pPr>
      <w:r>
        <w:rPr>
          <w:rFonts w:hint="default" w:ascii="Times New Roman Regular" w:hAnsi="Times New Roman Regular" w:cs="Times New Roman Regular"/>
          <w:sz w:val="20"/>
          <w:szCs w:val="20"/>
        </w:rPr>
        <w:t>High risk of hemorrhage or perforations due to tumor invasion in adjacent organs (aorta or trachea), or the presence of a fistula</w:t>
      </w:r>
      <w:r>
        <w:rPr>
          <w:rFonts w:hint="default" w:ascii="Times New Roman Regular" w:hAnsi="Times New Roman Regular" w:cs="Times New Roman Regular"/>
          <w:sz w:val="20"/>
          <w:szCs w:val="20"/>
          <w:lang w:val="en-US" w:eastAsia="zh-CN"/>
        </w:rPr>
        <w:t>;</w:t>
      </w:r>
    </w:p>
    <w:p>
      <w:pPr>
        <w:keepNext w:val="0"/>
        <w:keepLines w:val="0"/>
        <w:pageBreakBefore w:val="0"/>
        <w:widowControl/>
        <w:numPr>
          <w:ilvl w:val="0"/>
          <w:numId w:val="9"/>
        </w:numPr>
        <w:kinsoku w:val="0"/>
        <w:wordWrap/>
        <w:overflowPunct/>
        <w:topLinePunct w:val="0"/>
        <w:autoSpaceDE w:val="0"/>
        <w:autoSpaceDN w:val="0"/>
        <w:bidi w:val="0"/>
        <w:adjustRightInd w:val="0"/>
        <w:snapToGrid w:val="0"/>
        <w:spacing w:before="100" w:after="100" w:line="360" w:lineRule="exact"/>
        <w:ind w:left="425" w:leftChars="0" w:right="210" w:rightChars="100" w:hanging="425" w:firstLineChars="0"/>
        <w:jc w:val="both"/>
        <w:textAlignment w:val="baseline"/>
        <w:rPr>
          <w:rFonts w:hint="default" w:ascii="Times New Roman Regular" w:hAnsi="Times New Roman Regular" w:cs="Times New Roman Regular"/>
          <w:sz w:val="20"/>
          <w:szCs w:val="20"/>
          <w:lang w:val="en-US" w:eastAsia="zh-CN"/>
        </w:rPr>
      </w:pPr>
      <w:r>
        <w:rPr>
          <w:rFonts w:hint="default" w:ascii="Times New Roman Regular" w:hAnsi="Times New Roman Regular" w:cs="Times New Roman Regular"/>
          <w:sz w:val="20"/>
          <w:szCs w:val="20"/>
        </w:rPr>
        <w:t>Known</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or</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suspected</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allergy</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or</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hypersensitivity</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to monoclonal antibodies, any ingredients of toripalimab, and the chemotherapeutic drugs paclitaxel or carboplatin</w:t>
      </w:r>
      <w:r>
        <w:rPr>
          <w:rFonts w:hint="default" w:ascii="Times New Roman Regular" w:hAnsi="Times New Roman Regular" w:cs="Times New Roman Regular"/>
          <w:sz w:val="20"/>
          <w:szCs w:val="20"/>
          <w:lang w:val="en-US" w:eastAsia="zh-CN"/>
        </w:rPr>
        <w:t>;</w:t>
      </w:r>
    </w:p>
    <w:p>
      <w:pPr>
        <w:keepNext w:val="0"/>
        <w:keepLines w:val="0"/>
        <w:pageBreakBefore w:val="0"/>
        <w:widowControl/>
        <w:numPr>
          <w:ilvl w:val="0"/>
          <w:numId w:val="9"/>
        </w:numPr>
        <w:kinsoku w:val="0"/>
        <w:wordWrap/>
        <w:overflowPunct/>
        <w:topLinePunct w:val="0"/>
        <w:autoSpaceDE w:val="0"/>
        <w:autoSpaceDN w:val="0"/>
        <w:bidi w:val="0"/>
        <w:adjustRightInd w:val="0"/>
        <w:snapToGrid w:val="0"/>
        <w:spacing w:before="100" w:after="100" w:line="360" w:lineRule="exact"/>
        <w:ind w:left="425" w:leftChars="0" w:right="210" w:rightChars="100" w:hanging="425" w:firstLineChars="0"/>
        <w:jc w:val="both"/>
        <w:textAlignment w:val="baseline"/>
        <w:rPr>
          <w:rFonts w:hint="default" w:ascii="Times New Roman Regular" w:hAnsi="Times New Roman Regular" w:cs="Times New Roman Regular"/>
          <w:sz w:val="20"/>
          <w:szCs w:val="20"/>
          <w:lang w:val="en-US" w:eastAsia="zh-CN"/>
        </w:rPr>
      </w:pPr>
      <w:r>
        <w:rPr>
          <w:rFonts w:hint="default" w:ascii="Times New Roman Regular" w:hAnsi="Times New Roman Regular" w:cs="Times New Roman Regular"/>
          <w:sz w:val="20"/>
          <w:szCs w:val="20"/>
        </w:rPr>
        <w:t>History of or comorbid bleeding disease</w:t>
      </w:r>
      <w:r>
        <w:rPr>
          <w:rFonts w:hint="default" w:ascii="Times New Roman Regular" w:hAnsi="Times New Roman Regular" w:cs="Times New Roman Regular"/>
          <w:sz w:val="20"/>
          <w:szCs w:val="20"/>
          <w:lang w:val="en-US" w:eastAsia="zh-CN"/>
        </w:rPr>
        <w:t>;</w:t>
      </w:r>
    </w:p>
    <w:p>
      <w:pPr>
        <w:keepNext w:val="0"/>
        <w:keepLines w:val="0"/>
        <w:pageBreakBefore w:val="0"/>
        <w:widowControl/>
        <w:numPr>
          <w:ilvl w:val="0"/>
          <w:numId w:val="9"/>
        </w:numPr>
        <w:kinsoku w:val="0"/>
        <w:wordWrap/>
        <w:overflowPunct/>
        <w:topLinePunct w:val="0"/>
        <w:autoSpaceDE w:val="0"/>
        <w:autoSpaceDN w:val="0"/>
        <w:bidi w:val="0"/>
        <w:adjustRightInd w:val="0"/>
        <w:snapToGrid w:val="0"/>
        <w:spacing w:before="100" w:after="100" w:line="360" w:lineRule="exact"/>
        <w:ind w:left="425" w:leftChars="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Dsease of the hematopoietic or immune system, or cachexia</w:t>
      </w:r>
      <w:r>
        <w:rPr>
          <w:rFonts w:hint="default" w:ascii="Times New Roman Regular" w:hAnsi="Times New Roman Regular" w:cs="Times New Roman Regular"/>
          <w:sz w:val="20"/>
          <w:szCs w:val="20"/>
          <w:lang w:val="en-US" w:eastAsia="zh-CN"/>
        </w:rPr>
        <w:t>;</w:t>
      </w:r>
    </w:p>
    <w:p>
      <w:pPr>
        <w:keepNext w:val="0"/>
        <w:keepLines w:val="0"/>
        <w:pageBreakBefore w:val="0"/>
        <w:widowControl/>
        <w:numPr>
          <w:ilvl w:val="0"/>
          <w:numId w:val="9"/>
        </w:numPr>
        <w:kinsoku w:val="0"/>
        <w:wordWrap/>
        <w:overflowPunct/>
        <w:topLinePunct w:val="0"/>
        <w:autoSpaceDE w:val="0"/>
        <w:autoSpaceDN w:val="0"/>
        <w:bidi w:val="0"/>
        <w:adjustRightInd w:val="0"/>
        <w:snapToGrid w:val="0"/>
        <w:spacing w:before="100" w:after="100" w:line="360" w:lineRule="exact"/>
        <w:ind w:left="425" w:leftChars="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lang w:val="en-US" w:eastAsia="zh-CN"/>
        </w:rPr>
        <w:t xml:space="preserve">Severe malnutrition (PG-SGA ≥ 9), and the </w:t>
      </w:r>
      <w:r>
        <w:rPr>
          <w:rFonts w:hint="default" w:ascii="Times New Roman Regular" w:hAnsi="Times New Roman Regular" w:cs="Times New Roman Regular"/>
          <w:sz w:val="20"/>
          <w:szCs w:val="20"/>
        </w:rPr>
        <w:t>nutritional status fails to improve despite 1 to 2 weeks of intensive nutritional intervention</w:t>
      </w:r>
      <w:r>
        <w:rPr>
          <w:rFonts w:hint="default" w:ascii="Times New Roman Regular" w:hAnsi="Times New Roman Regular" w:eastAsia="宋体" w:cs="Times New Roman Regular"/>
          <w:sz w:val="20"/>
          <w:szCs w:val="20"/>
          <w:lang w:val="en-US" w:eastAsia="zh-CN"/>
        </w:rPr>
        <w:t>.</w:t>
      </w:r>
    </w:p>
    <w:p>
      <w:pPr>
        <w:keepNext w:val="0"/>
        <w:keepLines w:val="0"/>
        <w:pageBreakBefore w:val="0"/>
        <w:widowControl/>
        <w:numPr>
          <w:ilvl w:val="0"/>
          <w:numId w:val="9"/>
        </w:numPr>
        <w:kinsoku w:val="0"/>
        <w:wordWrap/>
        <w:overflowPunct/>
        <w:topLinePunct w:val="0"/>
        <w:autoSpaceDE w:val="0"/>
        <w:autoSpaceDN w:val="0"/>
        <w:bidi w:val="0"/>
        <w:adjustRightInd w:val="0"/>
        <w:snapToGrid w:val="0"/>
        <w:spacing w:before="100" w:after="100" w:line="360" w:lineRule="exact"/>
        <w:ind w:left="425" w:leftChars="0" w:right="210" w:rightChars="100" w:hanging="425" w:firstLineChars="0"/>
        <w:jc w:val="both"/>
        <w:textAlignment w:val="baseline"/>
        <w:rPr>
          <w:rFonts w:hint="default" w:ascii="Times New Roman Regular" w:hAnsi="Times New Roman Regular" w:cs="Times New Roman Regular"/>
          <w:sz w:val="20"/>
          <w:szCs w:val="20"/>
          <w:lang w:val="en-US" w:eastAsia="zh-CN"/>
        </w:rPr>
      </w:pPr>
      <w:r>
        <w:rPr>
          <w:rFonts w:hint="default" w:ascii="Times New Roman Regular" w:hAnsi="Times New Roman Regular" w:cs="Times New Roman Regular"/>
          <w:sz w:val="20"/>
          <w:szCs w:val="20"/>
        </w:rPr>
        <w:t>Participation in another interventional clinical study at the same time</w:t>
      </w:r>
      <w:r>
        <w:rPr>
          <w:rFonts w:hint="default" w:ascii="Times New Roman Regular" w:hAnsi="Times New Roman Regular" w:cs="Times New Roman Regular"/>
          <w:sz w:val="20"/>
          <w:szCs w:val="20"/>
          <w:lang w:val="en-US" w:eastAsia="zh-CN"/>
        </w:rPr>
        <w:t>;</w:t>
      </w:r>
    </w:p>
    <w:p>
      <w:pPr>
        <w:keepNext w:val="0"/>
        <w:keepLines w:val="0"/>
        <w:pageBreakBefore w:val="0"/>
        <w:widowControl/>
        <w:numPr>
          <w:ilvl w:val="0"/>
          <w:numId w:val="9"/>
        </w:numPr>
        <w:kinsoku w:val="0"/>
        <w:wordWrap/>
        <w:overflowPunct/>
        <w:topLinePunct w:val="0"/>
        <w:autoSpaceDE w:val="0"/>
        <w:autoSpaceDN w:val="0"/>
        <w:bidi w:val="0"/>
        <w:adjustRightInd w:val="0"/>
        <w:snapToGrid w:val="0"/>
        <w:spacing w:before="100" w:after="100" w:line="360" w:lineRule="exact"/>
        <w:ind w:left="425" w:leftChars="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Female patients who are pregnant or lactating;</w:t>
      </w:r>
    </w:p>
    <w:p>
      <w:pPr>
        <w:keepNext w:val="0"/>
        <w:keepLines w:val="0"/>
        <w:pageBreakBefore w:val="0"/>
        <w:widowControl/>
        <w:numPr>
          <w:ilvl w:val="0"/>
          <w:numId w:val="9"/>
        </w:numPr>
        <w:kinsoku w:val="0"/>
        <w:wordWrap/>
        <w:overflowPunct/>
        <w:topLinePunct w:val="0"/>
        <w:autoSpaceDE w:val="0"/>
        <w:autoSpaceDN w:val="0"/>
        <w:bidi w:val="0"/>
        <w:adjustRightInd w:val="0"/>
        <w:snapToGrid w:val="0"/>
        <w:spacing w:before="100" w:after="100" w:line="360" w:lineRule="exact"/>
        <w:ind w:left="425" w:leftChars="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Inability</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to</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provide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informed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consent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due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 psychological, familial, social and other factors;</w:t>
      </w:r>
    </w:p>
    <w:p>
      <w:pPr>
        <w:keepNext w:val="0"/>
        <w:keepLines w:val="0"/>
        <w:pageBreakBefore w:val="0"/>
        <w:widowControl/>
        <w:numPr>
          <w:ilvl w:val="0"/>
          <w:numId w:val="9"/>
        </w:numPr>
        <w:kinsoku w:val="0"/>
        <w:wordWrap/>
        <w:overflowPunct/>
        <w:topLinePunct w:val="0"/>
        <w:autoSpaceDE w:val="0"/>
        <w:autoSpaceDN w:val="0"/>
        <w:bidi w:val="0"/>
        <w:adjustRightInd w:val="0"/>
        <w:snapToGrid w:val="0"/>
        <w:spacing w:before="100" w:after="100" w:line="360" w:lineRule="exact"/>
        <w:ind w:left="425" w:leftChars="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 history of malignancies other than esophageal cancer before enrollment, excluding non-melanoma skin cancer, in situ cervical cancer, or cured early prostate cancer;</w:t>
      </w:r>
    </w:p>
    <w:p>
      <w:pPr>
        <w:keepNext w:val="0"/>
        <w:keepLines w:val="0"/>
        <w:pageBreakBefore w:val="0"/>
        <w:widowControl/>
        <w:numPr>
          <w:ilvl w:val="0"/>
          <w:numId w:val="9"/>
        </w:numPr>
        <w:kinsoku w:val="0"/>
        <w:wordWrap/>
        <w:overflowPunct/>
        <w:topLinePunct w:val="0"/>
        <w:autoSpaceDE w:val="0"/>
        <w:autoSpaceDN w:val="0"/>
        <w:bidi w:val="0"/>
        <w:adjustRightInd w:val="0"/>
        <w:snapToGrid w:val="0"/>
        <w:spacing w:before="100" w:after="100" w:line="360" w:lineRule="exact"/>
        <w:ind w:left="425" w:leftChars="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Patients who cannot tolerate chemoradiotherapy due to severe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cardiac,</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lung,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liver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kidney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dysfunction,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 hematopoietic disease or cachexia;</w:t>
      </w:r>
    </w:p>
    <w:p>
      <w:pPr>
        <w:keepNext w:val="0"/>
        <w:keepLines w:val="0"/>
        <w:pageBreakBefore w:val="0"/>
        <w:widowControl/>
        <w:numPr>
          <w:ilvl w:val="0"/>
          <w:numId w:val="9"/>
        </w:numPr>
        <w:kinsoku w:val="0"/>
        <w:wordWrap/>
        <w:overflowPunct/>
        <w:topLinePunct w:val="0"/>
        <w:autoSpaceDE w:val="0"/>
        <w:autoSpaceDN w:val="0"/>
        <w:bidi w:val="0"/>
        <w:adjustRightInd w:val="0"/>
        <w:snapToGrid w:val="0"/>
        <w:spacing w:before="100" w:after="100" w:line="360" w:lineRule="exact"/>
        <w:ind w:left="425" w:leftChars="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 history of diabetes for more than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10 years and poorly controlled blood glucose levels;</w:t>
      </w:r>
    </w:p>
    <w:p>
      <w:pPr>
        <w:keepNext w:val="0"/>
        <w:keepLines w:val="0"/>
        <w:pageBreakBefore w:val="0"/>
        <w:widowControl/>
        <w:numPr>
          <w:ilvl w:val="0"/>
          <w:numId w:val="9"/>
        </w:numPr>
        <w:kinsoku w:val="0"/>
        <w:wordWrap/>
        <w:overflowPunct/>
        <w:topLinePunct w:val="0"/>
        <w:autoSpaceDE w:val="0"/>
        <w:autoSpaceDN w:val="0"/>
        <w:bidi w:val="0"/>
        <w:adjustRightInd w:val="0"/>
        <w:snapToGrid w:val="0"/>
        <w:spacing w:before="100" w:after="100" w:line="360" w:lineRule="exact"/>
        <w:ind w:left="425" w:leftChars="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Active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autoimmune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diseases,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history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 autoimmune diseases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(including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but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not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limited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these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diseases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 syndromes,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such</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colitis,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hepatitis,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hyperthyroidism),</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 history of immunodeficiency (including a positive HIV test result),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other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acquired or congenital immunodeficiency diseases,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history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organ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transplantation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allogeneic bone marrow transplantation;</w:t>
      </w:r>
    </w:p>
    <w:p>
      <w:pPr>
        <w:keepNext w:val="0"/>
        <w:keepLines w:val="0"/>
        <w:pageBreakBefore w:val="0"/>
        <w:widowControl/>
        <w:numPr>
          <w:ilvl w:val="0"/>
          <w:numId w:val="9"/>
        </w:numPr>
        <w:kinsoku w:val="0"/>
        <w:wordWrap/>
        <w:overflowPunct/>
        <w:topLinePunct w:val="0"/>
        <w:autoSpaceDE w:val="0"/>
        <w:autoSpaceDN w:val="0"/>
        <w:bidi w:val="0"/>
        <w:adjustRightInd w:val="0"/>
        <w:snapToGrid w:val="0"/>
        <w:spacing w:before="100" w:after="100" w:line="360" w:lineRule="exact"/>
        <w:ind w:left="425" w:leftChars="0" w:right="210" w:rightChars="10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 history</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of interstitial</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lung</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disease</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or</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non-infectious pneumonia</w:t>
      </w:r>
    </w:p>
    <w:p>
      <w:pPr>
        <w:keepNext w:val="0"/>
        <w:keepLines w:val="0"/>
        <w:pageBreakBefore w:val="0"/>
        <w:widowControl/>
        <w:numPr>
          <w:ilvl w:val="0"/>
          <w:numId w:val="9"/>
        </w:numPr>
        <w:kinsoku w:val="0"/>
        <w:wordWrap/>
        <w:overflowPunct/>
        <w:topLinePunct w:val="0"/>
        <w:autoSpaceDE w:val="0"/>
        <w:autoSpaceDN w:val="0"/>
        <w:bidi w:val="0"/>
        <w:adjustRightInd w:val="0"/>
        <w:snapToGrid w:val="0"/>
        <w:spacing w:before="100" w:after="100" w:line="360" w:lineRule="exact"/>
        <w:ind w:left="425" w:leftChars="0" w:right="210" w:rightChars="100" w:hanging="425" w:firstLineChars="0"/>
        <w:jc w:val="both"/>
        <w:textAlignment w:val="baseline"/>
        <w:rPr>
          <w:rFonts w:hint="default" w:ascii="Times New Roman Regular" w:hAnsi="Times New Roman Regular" w:cs="Times New Roman Regular"/>
          <w:sz w:val="20"/>
          <w:szCs w:val="20"/>
          <w:lang w:val="en-US" w:eastAsia="zh-CN"/>
        </w:rPr>
      </w:pPr>
      <w:r>
        <w:rPr>
          <w:rFonts w:hint="default" w:ascii="Times New Roman Regular" w:hAnsi="Times New Roman Regular" w:cs="Times New Roman Regular"/>
          <w:sz w:val="20"/>
          <w:szCs w:val="20"/>
        </w:rPr>
        <w:t>Presence</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of</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active</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hepatitis</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B</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(HBV</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DNA</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2000 IU/mL or 104 copies/mL), hepatitis C (positive for hepatitis C</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antibody,</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and HCV-RNA</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levels higher than the lower limit of the assay);</w:t>
      </w:r>
    </w:p>
    <w:p>
      <w:pPr>
        <w:keepNext w:val="0"/>
        <w:keepLines w:val="0"/>
        <w:pageBreakBefore w:val="0"/>
        <w:widowControl/>
        <w:numPr>
          <w:ilvl w:val="0"/>
          <w:numId w:val="9"/>
        </w:numPr>
        <w:kinsoku w:val="0"/>
        <w:wordWrap/>
        <w:overflowPunct/>
        <w:topLinePunct w:val="0"/>
        <w:autoSpaceDE w:val="0"/>
        <w:autoSpaceDN w:val="0"/>
        <w:bidi w:val="0"/>
        <w:adjustRightInd w:val="0"/>
        <w:snapToGrid w:val="0"/>
        <w:spacing w:before="100" w:after="100" w:line="360" w:lineRule="exact"/>
        <w:ind w:left="425" w:leftChars="0" w:right="210" w:rightChars="100" w:hanging="425" w:firstLineChars="0"/>
        <w:jc w:val="both"/>
        <w:textAlignment w:val="baseline"/>
        <w:rPr>
          <w:rFonts w:hint="default" w:ascii="Times New Roman Regular" w:hAnsi="Times New Roman Regular" w:cs="Times New Roman Regular"/>
          <w:sz w:val="20"/>
          <w:szCs w:val="20"/>
          <w:lang w:val="en-US" w:eastAsia="zh-CN"/>
        </w:rPr>
      </w:pPr>
      <w:r>
        <w:rPr>
          <w:rFonts w:hint="default" w:ascii="Times New Roman Regular" w:hAnsi="Times New Roman Regular" w:cs="Times New Roman Regular"/>
          <w:sz w:val="20"/>
          <w:szCs w:val="20"/>
        </w:rPr>
        <w:t>Any</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unstable</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condition</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or</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condition</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that</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may compromise patients’ safety and compliance</w:t>
      </w:r>
      <w:r>
        <w:rPr>
          <w:rFonts w:hint="default" w:ascii="Times New Roman Regular" w:hAnsi="Times New Roman Regular" w:eastAsia="宋体" w:cs="Times New Roman Regular"/>
          <w:sz w:val="20"/>
          <w:szCs w:val="20"/>
          <w:lang w:val="en-US" w:eastAsia="zh-CN"/>
        </w:rPr>
        <w:t>.</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b/>
          <w:bCs/>
          <w:sz w:val="20"/>
          <w:szCs w:val="20"/>
        </w:rPr>
      </w:pPr>
      <w:bookmarkStart w:id="9" w:name="_Toc452"/>
      <w:r>
        <w:rPr>
          <w:rFonts w:hint="default" w:ascii="Times New Roman Regular" w:hAnsi="Times New Roman Regular" w:cs="Times New Roman Regular"/>
          <w:b/>
          <w:bCs/>
          <w:sz w:val="20"/>
          <w:szCs w:val="20"/>
        </w:rPr>
        <w:t>5.1.3 Withdrawal criteria</w:t>
      </w:r>
      <w:bookmarkEnd w:id="9"/>
    </w:p>
    <w:p>
      <w:pPr>
        <w:keepNext w:val="0"/>
        <w:keepLines w:val="0"/>
        <w:pageBreakBefore w:val="0"/>
        <w:widowControl/>
        <w:numPr>
          <w:ilvl w:val="0"/>
          <w:numId w:val="10"/>
        </w:numPr>
        <w:kinsoku w:val="0"/>
        <w:wordWrap/>
        <w:overflowPunct/>
        <w:topLinePunct w:val="0"/>
        <w:autoSpaceDE w:val="0"/>
        <w:autoSpaceDN w:val="0"/>
        <w:bidi w:val="0"/>
        <w:adjustRightInd w:val="0"/>
        <w:snapToGrid w:val="0"/>
        <w:spacing w:before="100" w:after="100" w:line="360" w:lineRule="exact"/>
        <w:ind w:left="425" w:leftChars="0" w:hanging="425" w:firstLineChars="0"/>
        <w:jc w:val="both"/>
        <w:textAlignment w:val="baseline"/>
        <w:rPr>
          <w:rFonts w:hint="default" w:ascii="Times New Roman Regular" w:hAnsi="Times New Roman Regular" w:cs="Times New Roman Regular"/>
          <w:sz w:val="20"/>
          <w:szCs w:val="20"/>
          <w:lang w:val="en-US" w:eastAsia="zh-CN"/>
        </w:rPr>
      </w:pPr>
      <w:r>
        <w:rPr>
          <w:rFonts w:hint="default" w:ascii="Times New Roman Regular" w:hAnsi="Times New Roman Regular" w:cs="Times New Roman Regular"/>
          <w:sz w:val="20"/>
          <w:szCs w:val="20"/>
          <w:lang w:val="en-US" w:eastAsia="zh-CN"/>
        </w:rPr>
        <w:t xml:space="preserve">patients with disease progression, according to Response Evaluation Criteria In Solid Tumors (RECIST) 1.1; </w:t>
      </w:r>
    </w:p>
    <w:p>
      <w:pPr>
        <w:keepNext w:val="0"/>
        <w:keepLines w:val="0"/>
        <w:pageBreakBefore w:val="0"/>
        <w:widowControl/>
        <w:numPr>
          <w:ilvl w:val="0"/>
          <w:numId w:val="10"/>
        </w:numPr>
        <w:kinsoku w:val="0"/>
        <w:wordWrap/>
        <w:overflowPunct/>
        <w:topLinePunct w:val="0"/>
        <w:autoSpaceDE w:val="0"/>
        <w:autoSpaceDN w:val="0"/>
        <w:bidi w:val="0"/>
        <w:adjustRightInd w:val="0"/>
        <w:snapToGrid w:val="0"/>
        <w:spacing w:before="100" w:after="100" w:line="360" w:lineRule="exact"/>
        <w:ind w:left="425" w:leftChars="0" w:hanging="425" w:firstLineChars="0"/>
        <w:jc w:val="both"/>
        <w:textAlignment w:val="baseline"/>
        <w:rPr>
          <w:rFonts w:hint="default" w:ascii="Times New Roman Regular" w:hAnsi="Times New Roman Regular" w:cs="Times New Roman Regular"/>
          <w:sz w:val="20"/>
          <w:szCs w:val="20"/>
          <w:lang w:val="en-US" w:eastAsia="zh-CN"/>
        </w:rPr>
      </w:pPr>
      <w:r>
        <w:rPr>
          <w:rFonts w:hint="default" w:ascii="Times New Roman Regular" w:hAnsi="Times New Roman Regular" w:cs="Times New Roman Regular"/>
          <w:sz w:val="20"/>
          <w:szCs w:val="20"/>
          <w:lang w:val="en-US" w:eastAsia="zh-CN"/>
        </w:rPr>
        <w:t xml:space="preserve">patients who experience any unacceptable treatment-related adverse events and cannot continue the study after being evaluated by the study physician; </w:t>
      </w:r>
    </w:p>
    <w:p>
      <w:pPr>
        <w:keepNext w:val="0"/>
        <w:keepLines w:val="0"/>
        <w:pageBreakBefore w:val="0"/>
        <w:widowControl/>
        <w:numPr>
          <w:ilvl w:val="0"/>
          <w:numId w:val="10"/>
        </w:numPr>
        <w:kinsoku w:val="0"/>
        <w:wordWrap/>
        <w:overflowPunct/>
        <w:topLinePunct w:val="0"/>
        <w:autoSpaceDE w:val="0"/>
        <w:autoSpaceDN w:val="0"/>
        <w:bidi w:val="0"/>
        <w:adjustRightInd w:val="0"/>
        <w:snapToGrid w:val="0"/>
        <w:spacing w:before="100" w:after="100" w:line="360" w:lineRule="exact"/>
        <w:ind w:left="425" w:leftChars="0" w:hanging="425" w:firstLineChars="0"/>
        <w:jc w:val="both"/>
        <w:textAlignment w:val="baseline"/>
        <w:rPr>
          <w:rFonts w:hint="default" w:ascii="Times New Roman Regular" w:hAnsi="Times New Roman Regular" w:cs="Times New Roman Regular"/>
          <w:sz w:val="20"/>
          <w:szCs w:val="20"/>
          <w:lang w:val="en-US" w:eastAsia="zh-CN"/>
        </w:rPr>
      </w:pPr>
      <w:r>
        <w:rPr>
          <w:rFonts w:hint="default" w:ascii="Times New Roman Regular" w:hAnsi="Times New Roman Regular" w:cs="Times New Roman Regular"/>
          <w:sz w:val="20"/>
          <w:szCs w:val="20"/>
          <w:lang w:val="en-US" w:eastAsia="zh-CN"/>
        </w:rPr>
        <w:t xml:space="preserve">patients that may significantly affect the evaluation of clinical status, for example if they are non-compliant with the research plan, received other treatment, etc.; </w:t>
      </w:r>
    </w:p>
    <w:p>
      <w:pPr>
        <w:keepNext w:val="0"/>
        <w:keepLines w:val="0"/>
        <w:pageBreakBefore w:val="0"/>
        <w:widowControl/>
        <w:numPr>
          <w:ilvl w:val="0"/>
          <w:numId w:val="10"/>
        </w:numPr>
        <w:kinsoku w:val="0"/>
        <w:wordWrap/>
        <w:overflowPunct/>
        <w:topLinePunct w:val="0"/>
        <w:autoSpaceDE w:val="0"/>
        <w:autoSpaceDN w:val="0"/>
        <w:bidi w:val="0"/>
        <w:adjustRightInd w:val="0"/>
        <w:snapToGrid w:val="0"/>
        <w:spacing w:before="100" w:after="100" w:line="360" w:lineRule="exact"/>
        <w:ind w:left="425" w:leftChars="0" w:hanging="425" w:firstLineChars="0"/>
        <w:jc w:val="both"/>
        <w:textAlignment w:val="baseline"/>
        <w:rPr>
          <w:rFonts w:hint="default" w:ascii="Times New Roman Regular" w:hAnsi="Times New Roman Regular" w:cs="Times New Roman Regular"/>
          <w:sz w:val="20"/>
          <w:szCs w:val="20"/>
          <w:lang w:val="en-US" w:eastAsia="zh-CN"/>
        </w:rPr>
      </w:pPr>
      <w:r>
        <w:rPr>
          <w:rFonts w:hint="default" w:ascii="Times New Roman Regular" w:hAnsi="Times New Roman Regular" w:cs="Times New Roman Regular"/>
          <w:sz w:val="20"/>
          <w:szCs w:val="20"/>
          <w:lang w:val="en-US" w:eastAsia="zh-CN"/>
        </w:rPr>
        <w:t xml:space="preserve">patients with diseases requiring interruption of treprizumab treatment, such as an allergy, sudden onset of other diseases, and accidents and injuries not related to the disease; </w:t>
      </w:r>
    </w:p>
    <w:p>
      <w:pPr>
        <w:keepNext w:val="0"/>
        <w:keepLines w:val="0"/>
        <w:pageBreakBefore w:val="0"/>
        <w:widowControl/>
        <w:numPr>
          <w:ilvl w:val="0"/>
          <w:numId w:val="10"/>
        </w:numPr>
        <w:kinsoku w:val="0"/>
        <w:wordWrap/>
        <w:overflowPunct/>
        <w:topLinePunct w:val="0"/>
        <w:autoSpaceDE w:val="0"/>
        <w:autoSpaceDN w:val="0"/>
        <w:bidi w:val="0"/>
        <w:adjustRightInd w:val="0"/>
        <w:snapToGrid w:val="0"/>
        <w:spacing w:before="100" w:after="100" w:line="360" w:lineRule="exact"/>
        <w:ind w:left="425" w:leftChars="0" w:hanging="425"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lang w:val="en-US" w:eastAsia="zh-CN"/>
        </w:rPr>
        <w:t>patients exercising their right to withdraw from the trial at any time and for any reason.</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b/>
          <w:bCs/>
          <w:sz w:val="22"/>
          <w:szCs w:val="22"/>
        </w:rPr>
      </w:pPr>
      <w:bookmarkStart w:id="10" w:name="_Toc25453"/>
      <w:r>
        <w:rPr>
          <w:rFonts w:hint="default" w:ascii="Times New Roman Regular" w:hAnsi="Times New Roman Regular" w:cs="Times New Roman Regular"/>
          <w:b/>
          <w:bCs/>
          <w:sz w:val="22"/>
          <w:szCs w:val="22"/>
        </w:rPr>
        <w:t>5.1.4 Eliminate criteria</w:t>
      </w:r>
      <w:bookmarkEnd w:id="10"/>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1)</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Violation of the requirements of the research protocol;</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2)</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Poor quality of data recording, incomplete and inaccurate data.</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1"/>
        <w:rPr>
          <w:rFonts w:hint="default" w:ascii="Times New Roman Regular" w:hAnsi="Times New Roman Regular" w:cs="Times New Roman Regular"/>
          <w:b/>
          <w:bCs/>
          <w:sz w:val="22"/>
          <w:szCs w:val="22"/>
        </w:rPr>
      </w:pPr>
      <w:bookmarkStart w:id="11" w:name="_Toc21431"/>
      <w:r>
        <w:rPr>
          <w:rFonts w:hint="default" w:ascii="Times New Roman Regular" w:hAnsi="Times New Roman Regular" w:cs="Times New Roman Regular"/>
          <w:b/>
          <w:bCs/>
          <w:sz w:val="22"/>
          <w:szCs w:val="22"/>
        </w:rPr>
        <w:t>5.2 Examinations and screening of patients</w:t>
      </w:r>
      <w:bookmarkEnd w:id="11"/>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b/>
          <w:bCs/>
          <w:sz w:val="22"/>
          <w:szCs w:val="22"/>
        </w:rPr>
      </w:pPr>
      <w:bookmarkStart w:id="12" w:name="_Toc18617"/>
      <w:r>
        <w:rPr>
          <w:rFonts w:hint="default" w:ascii="Times New Roman Regular" w:hAnsi="Times New Roman Regular" w:cs="Times New Roman Regular"/>
          <w:b/>
          <w:bCs/>
          <w:sz w:val="22"/>
          <w:szCs w:val="22"/>
        </w:rPr>
        <w:t>5.2.1 Examinations</w:t>
      </w:r>
      <w:bookmarkEnd w:id="12"/>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1)</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Complete medical history and</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systemic</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physical</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examinations</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(symptoms, signs,</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body</w:t>
      </w:r>
      <w:r>
        <w:rPr>
          <w:rFonts w:hint="default" w:ascii="Times New Roman Regular" w:hAnsi="Times New Roman Regular" w:cs="Times New Roman Regular"/>
          <w:sz w:val="20"/>
          <w:szCs w:val="20"/>
          <w:lang w:val="en-US" w:eastAsia="zh-CN"/>
        </w:rPr>
        <w:t xml:space="preserve"> </w:t>
      </w:r>
      <w:r>
        <w:rPr>
          <w:rFonts w:hint="default" w:ascii="Times New Roman Regular" w:hAnsi="Times New Roman Regular" w:cs="Times New Roman Regular"/>
          <w:sz w:val="20"/>
          <w:szCs w:val="20"/>
        </w:rPr>
        <w:t>weight</w:t>
      </w:r>
      <w:r>
        <w:rPr>
          <w:rFonts w:hint="default" w:ascii="Times New Roman Regular" w:hAnsi="Times New Roman Regular" w:cs="Times New Roman Regular"/>
          <w:sz w:val="20"/>
          <w:szCs w:val="20"/>
          <w:lang w:val="en-US" w:eastAsia="zh-CN"/>
        </w:rPr>
        <w:t xml:space="preserve"> </w:t>
      </w:r>
      <w:r>
        <w:rPr>
          <w:rFonts w:hint="default" w:ascii="Times New Roman Regular" w:hAnsi="Times New Roman Regular" w:cs="Times New Roman Regular"/>
          <w:sz w:val="20"/>
          <w:szCs w:val="20"/>
        </w:rPr>
        <w:t>loss and function</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score).</w:t>
      </w:r>
      <w:r>
        <w:rPr>
          <w:rFonts w:hint="default" w:ascii="Times New Roman Regular" w:hAnsi="Times New Roman Regular" w:cs="Times New Roman Regular"/>
          <w:sz w:val="20"/>
          <w:szCs w:val="20"/>
        </w:rPr>
        <w:drawing>
          <wp:inline distT="0" distB="0" distL="0" distR="0">
            <wp:extent cx="58420" cy="179705"/>
            <wp:effectExtent l="0" t="0" r="5080" b="10795"/>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58635" cy="179831"/>
                    </a:xfrm>
                    <a:prstGeom prst="rect">
                      <a:avLst/>
                    </a:prstGeom>
                  </pic:spPr>
                </pic:pic>
              </a:graphicData>
            </a:graphic>
          </wp:inline>
        </w:drawing>
      </w:r>
      <w:r>
        <w:rPr>
          <w:rFonts w:hint="default" w:ascii="Times New Roman Regular" w:hAnsi="Times New Roman Regular" w:cs="Times New Roman Regular"/>
          <w:sz w:val="20"/>
          <w:szCs w:val="20"/>
        </w:rPr>
        <w:t>It is</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generally</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required to be</w:t>
      </w:r>
      <w:r>
        <w:rPr>
          <w:rFonts w:hint="default" w:ascii="Times New Roman Regular" w:hAnsi="Times New Roman Regular" w:cs="Times New Roman Regular"/>
          <w:sz w:val="20"/>
          <w:szCs w:val="20"/>
          <w:lang w:val="en-US" w:eastAsia="zh-CN"/>
        </w:rPr>
        <w:t xml:space="preserve"> </w:t>
      </w:r>
      <w:r>
        <w:rPr>
          <w:rFonts w:hint="default" w:ascii="Times New Roman Regular" w:hAnsi="Times New Roman Regular" w:cs="Times New Roman Regular"/>
          <w:sz w:val="20"/>
          <w:szCs w:val="20"/>
        </w:rPr>
        <w:t>completed within 7-1</w:t>
      </w:r>
      <w:r>
        <w:rPr>
          <w:rFonts w:hint="default" w:ascii="Times New Roman Regular" w:hAnsi="Times New Roman Regular" w:cs="Times New Roman Regular"/>
          <w:sz w:val="20"/>
          <w:szCs w:val="20"/>
          <w:lang w:val="en-US" w:eastAsia="zh-CN"/>
        </w:rPr>
        <w:t>4</w:t>
      </w:r>
      <w:r>
        <w:rPr>
          <w:rFonts w:hint="default" w:ascii="Times New Roman Regular" w:hAnsi="Times New Roman Regular" w:cs="Times New Roman Regular"/>
          <w:sz w:val="20"/>
          <w:szCs w:val="20"/>
        </w:rPr>
        <w:t xml:space="preserve"> days before</w:t>
      </w:r>
      <w:r>
        <w:rPr>
          <w:rFonts w:hint="default" w:ascii="Times New Roman Regular" w:hAnsi="Times New Roman Regular" w:cs="Times New Roman Regular"/>
          <w:sz w:val="20"/>
          <w:szCs w:val="20"/>
          <w:lang w:val="en-US" w:eastAsia="zh-CN"/>
        </w:rPr>
        <w:t xml:space="preserve"> </w:t>
      </w:r>
      <w:r>
        <w:rPr>
          <w:rFonts w:hint="default" w:ascii="Times New Roman Regular" w:hAnsi="Times New Roman Regular" w:cs="Times New Roman Regular"/>
          <w:sz w:val="20"/>
          <w:szCs w:val="20"/>
        </w:rPr>
        <w:t>recruitment.</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9"/>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2)</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Pre-treatment examinations:</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Blood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routine,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blood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type,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urine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routine,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stool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routine,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biochemical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routine, CB4, thyroid</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function, plasma cortisol;</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Hepatitis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virus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examination.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HBsAg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positive,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HBV-RNA</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should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be</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tested; If HCV-Ab is positive, HCV-RNA should be tested;</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Electrocardiogram;</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Ultrasonic cardiogram (UCG);</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Lung function tests;</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Histopathological/cytological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diagnosis: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pathological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examination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will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be</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done based on the tissues from endoscopic biopsy;</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Esophageal barium swallowing;</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Chest and abdominal CT (with contrast);</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Esophagogastroduodenoscopy (EGD), with endoscopic ultrasound (EUS);</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Cervical ultrasonography;</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Electronic bronchoscopy or endobronchial ultrasound if necessary, to confirm the involvement of trachea and/or bronchus;</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Positron emission tomography–computed tomography (PET-CT);</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Quality of life questionnaire;</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Nutritional risk screening.</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b/>
          <w:bCs/>
          <w:sz w:val="22"/>
          <w:szCs w:val="22"/>
        </w:rPr>
      </w:pPr>
      <w:bookmarkStart w:id="13" w:name="_Toc18181"/>
      <w:r>
        <w:rPr>
          <w:rFonts w:hint="default" w:ascii="Times New Roman Regular" w:hAnsi="Times New Roman Regular" w:cs="Times New Roman Regular"/>
          <w:b/>
          <w:bCs/>
          <w:sz w:val="22"/>
          <w:szCs w:val="22"/>
        </w:rPr>
        <w:t>5.2.2 Screening of patients</w:t>
      </w:r>
      <w:bookmarkEnd w:id="13"/>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outlineLvl w:val="9"/>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Patients will be screened within 2 weeks prior to treatment commencement to assess their tolerance to the treatment.  Comprehensive information on potentially eligible patients will be collected and recorded during this period.   The screening process will include obtaining written informed consent, collection of demographic information and medical history, physical examination, evaluation of ECOG PS score and vital signs, clinical testing (chemistry, hematology, and coagulation), examination of liver and kidney function, and cardiac analyses.  Tumor information will be obtained via imaging evaluation [computed tomography (CT) or magnetic resonance imaging (MRI)], fibroscopy, esophagoscopy, or positron emission tomography/CT.   Eventually, the inclusion and exclusion criteria will be reviewed to make a final judgment regarding each patient’s eligibility.</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1"/>
        <w:rPr>
          <w:rFonts w:hint="default" w:ascii="Times New Roman Regular" w:hAnsi="Times New Roman Regular" w:cs="Times New Roman Regular"/>
          <w:b/>
          <w:bCs/>
          <w:sz w:val="22"/>
          <w:szCs w:val="22"/>
        </w:rPr>
      </w:pPr>
      <w:bookmarkStart w:id="14" w:name="_Toc26455"/>
      <w:r>
        <w:rPr>
          <w:rFonts w:hint="default" w:ascii="Times New Roman Regular" w:hAnsi="Times New Roman Regular" w:cs="Times New Roman Regular"/>
          <w:b/>
          <w:bCs/>
          <w:sz w:val="22"/>
          <w:szCs w:val="22"/>
        </w:rPr>
        <w:t>5.3 Treatment Plan</w:t>
      </w:r>
      <w:bookmarkEnd w:id="14"/>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b/>
          <w:bCs/>
          <w:sz w:val="22"/>
          <w:szCs w:val="22"/>
        </w:rPr>
      </w:pPr>
      <w:bookmarkStart w:id="15" w:name="_Toc23341"/>
      <w:r>
        <w:rPr>
          <w:rFonts w:hint="default" w:ascii="Times New Roman Regular" w:hAnsi="Times New Roman Regular" w:cs="Times New Roman Regular"/>
          <w:b/>
          <w:bCs/>
          <w:sz w:val="22"/>
          <w:szCs w:val="22"/>
        </w:rPr>
        <w:t>5.3.1 Overall Design</w:t>
      </w:r>
      <w:bookmarkEnd w:id="15"/>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 xml:space="preserve">This study, a prospective, single-center, single-arm, phase-II clinical trial, intends to enroll </w:t>
      </w:r>
      <w:r>
        <w:rPr>
          <w:rFonts w:hint="default" w:ascii="Times New Roman Regular" w:hAnsi="Times New Roman Regular" w:eastAsia="宋体" w:cs="Times New Roman Regular"/>
          <w:sz w:val="20"/>
          <w:szCs w:val="20"/>
          <w:lang w:val="en-US" w:eastAsia="zh-CN"/>
        </w:rPr>
        <w:t xml:space="preserve">at least </w:t>
      </w:r>
      <w:r>
        <w:rPr>
          <w:rFonts w:hint="default" w:ascii="Times New Roman Regular" w:hAnsi="Times New Roman Regular" w:cs="Times New Roman Regular"/>
          <w:sz w:val="20"/>
          <w:szCs w:val="20"/>
        </w:rPr>
        <w:t>32 patients with unresectable, treatment-naive</w:t>
      </w:r>
      <w:r>
        <w:rPr>
          <w:rFonts w:hint="default" w:ascii="Times New Roman Regular" w:hAnsi="Times New Roman Regular" w:eastAsia="宋体" w:cs="Times New Roman Regular"/>
          <w:sz w:val="20"/>
          <w:szCs w:val="20"/>
          <w:lang w:val="en-US" w:eastAsia="zh-CN"/>
        </w:rPr>
        <w:t>, primary stage IV</w:t>
      </w:r>
      <w:r>
        <w:rPr>
          <w:rFonts w:hint="default" w:ascii="Times New Roman Regular" w:hAnsi="Times New Roman Regular" w:cs="Times New Roman Regular"/>
          <w:sz w:val="20"/>
          <w:szCs w:val="20"/>
        </w:rPr>
        <w:t xml:space="preserve"> esophageal squamous cell carcinoma (ESCC). Patients with primary N3 and M1 oligometastases are eligible. PD-1 antibody (toripalimab) and paclitaxel/carboplatin chemotherapy will be administered concurrently with radiotherapy. After the completion of chemoradiotherapy (CRT), PD-1 antibody monotherapy will continue until disease progression or the absence of clinical benefits, with the maximum duration of treatment being one year.</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b/>
          <w:bCs/>
          <w:sz w:val="22"/>
          <w:szCs w:val="22"/>
        </w:rPr>
      </w:pPr>
      <w:bookmarkStart w:id="16" w:name="_Toc19962"/>
      <w:r>
        <w:rPr>
          <w:rFonts w:hint="default" w:ascii="Times New Roman Regular" w:hAnsi="Times New Roman Regular" w:cs="Times New Roman Regular"/>
          <w:b/>
          <w:bCs/>
          <w:sz w:val="22"/>
          <w:szCs w:val="22"/>
        </w:rPr>
        <w:t>5.3.2 Therapeutic Regimen</w:t>
      </w:r>
      <w:bookmarkEnd w:id="16"/>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 xml:space="preserve">1) </w:t>
      </w:r>
      <w:r>
        <w:rPr>
          <w:rFonts w:hint="default" w:ascii="Times New Roman Regular" w:hAnsi="Times New Roman Regular" w:eastAsia="宋体" w:cs="Times New Roman Regular"/>
          <w:sz w:val="20"/>
          <w:szCs w:val="20"/>
          <w:lang w:val="en-US" w:eastAsia="zh-CN"/>
        </w:rPr>
        <w:t>After completi</w:t>
      </w:r>
      <w:r>
        <w:rPr>
          <w:rFonts w:hint="default" w:ascii="Times New Roman Regular" w:hAnsi="Times New Roman Regular" w:cs="Times New Roman Regular"/>
          <w:sz w:val="20"/>
          <w:szCs w:val="20"/>
          <w:lang w:val="en-US" w:eastAsia="zh-CN"/>
        </w:rPr>
        <w:t xml:space="preserve">ng two cycles of induction </w:t>
      </w:r>
      <w:r>
        <w:rPr>
          <w:rFonts w:hint="default" w:ascii="Times New Roman Regular" w:hAnsi="Times New Roman Regular" w:cs="Times New Roman Regular"/>
          <w:sz w:val="20"/>
          <w:szCs w:val="20"/>
        </w:rPr>
        <w:t>Chemo</w:t>
      </w:r>
      <w:r>
        <w:rPr>
          <w:rFonts w:hint="default" w:ascii="Times New Roman Regular" w:hAnsi="Times New Roman Regular" w:cs="Times New Roman Regular"/>
          <w:sz w:val="20"/>
          <w:szCs w:val="20"/>
          <w:lang w:val="en-US" w:eastAsia="zh-CN"/>
        </w:rPr>
        <w:t>immuno</w:t>
      </w:r>
      <w:r>
        <w:rPr>
          <w:rFonts w:hint="default" w:ascii="Times New Roman Regular" w:hAnsi="Times New Roman Regular" w:cs="Times New Roman Regular"/>
          <w:sz w:val="20"/>
          <w:szCs w:val="20"/>
        </w:rPr>
        <w:t>therap</w:t>
      </w:r>
      <w:r>
        <w:rPr>
          <w:rFonts w:hint="default" w:ascii="Times New Roman Regular" w:hAnsi="Times New Roman Regular" w:cs="Times New Roman Regular"/>
          <w:sz w:val="20"/>
          <w:szCs w:val="20"/>
          <w:lang w:val="en-US" w:eastAsia="zh-CN"/>
        </w:rPr>
        <w:t xml:space="preserve">y, </w:t>
      </w:r>
      <w:r>
        <w:rPr>
          <w:rFonts w:hint="default" w:ascii="Times New Roman Regular" w:hAnsi="Times New Roman Regular" w:cs="Times New Roman Regular"/>
          <w:sz w:val="20"/>
          <w:szCs w:val="20"/>
        </w:rPr>
        <w:t>radiotherapy is initiated at the start of the third cycle of systemic treatment.</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2) The dosing window is ±3 days from the planned dosing date (based on the first</w:t>
      </w:r>
      <w:r>
        <w:rPr>
          <w:rFonts w:hint="default" w:ascii="Times New Roman Regular" w:hAnsi="Times New Roman Regular" w:cs="Times New Roman Regular"/>
          <w:sz w:val="20"/>
          <w:szCs w:val="20"/>
        </w:rPr>
        <w:drawing>
          <wp:inline distT="0" distB="0" distL="0" distR="0">
            <wp:extent cx="0" cy="17970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11"/>
                    <a:stretch>
                      <a:fillRect/>
                    </a:stretch>
                  </pic:blipFill>
                  <pic:spPr>
                    <a:xfrm>
                      <a:off x="0" y="0"/>
                      <a:ext cx="0" cy="179832"/>
                    </a:xfrm>
                    <a:prstGeom prst="rect">
                      <a:avLst/>
                    </a:prstGeom>
                  </pic:spPr>
                </pic:pic>
              </a:graphicData>
            </a:graphic>
          </wp:inline>
        </w:drawing>
      </w:r>
      <w:r>
        <w:rPr>
          <w:rFonts w:hint="default" w:ascii="Times New Roman Regular" w:hAnsi="Times New Roman Regular" w:cs="Times New Roman Regular"/>
          <w:sz w:val="20"/>
          <w:szCs w:val="20"/>
        </w:rPr>
        <w:t xml:space="preserve"> dosing date).</w:t>
      </w:r>
      <w:r>
        <w:rPr>
          <w:rFonts w:hint="default" w:ascii="Times New Roman Regular" w:hAnsi="Times New Roman Regular" w:cs="Times New Roman Regular"/>
          <w:sz w:val="20"/>
          <w:szCs w:val="20"/>
        </w:rPr>
        <w:drawing>
          <wp:inline distT="0" distB="0" distL="0" distR="0">
            <wp:extent cx="38735" cy="17970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12"/>
                    <a:stretch>
                      <a:fillRect/>
                    </a:stretch>
                  </pic:blipFill>
                  <pic:spPr>
                    <a:xfrm>
                      <a:off x="0" y="0"/>
                      <a:ext cx="38752" cy="179832"/>
                    </a:xfrm>
                    <a:prstGeom prst="rect">
                      <a:avLst/>
                    </a:prstGeom>
                  </pic:spPr>
                </pic:pic>
              </a:graphicData>
            </a:graphic>
          </wp:inline>
        </w:drawing>
      </w:r>
      <w:r>
        <w:rPr>
          <w:rFonts w:hint="default" w:ascii="Times New Roman Regular" w:hAnsi="Times New Roman Regular" w:cs="Times New Roman Regular"/>
          <w:sz w:val="20"/>
          <w:szCs w:val="20"/>
        </w:rPr>
        <w:t>If the dosing window period is exceeded, the dosing will be regarded as delayed, and the subsequent dosing date will be recalculated</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according to the actual dosing date of the last dosing.</w:t>
      </w:r>
      <w:r>
        <w:rPr>
          <w:rFonts w:hint="default" w:ascii="Times New Roman Regular" w:hAnsi="Times New Roman Regular" w:cs="Times New Roman Regular"/>
          <w:sz w:val="20"/>
          <w:szCs w:val="20"/>
        </w:rPr>
        <w:drawing>
          <wp:inline distT="0" distB="0" distL="0" distR="0">
            <wp:extent cx="36195" cy="17970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11"/>
                    <a:stretch>
                      <a:fillRect/>
                    </a:stretch>
                  </pic:blipFill>
                  <pic:spPr>
                    <a:xfrm>
                      <a:off x="0" y="0"/>
                      <a:ext cx="36736" cy="179832"/>
                    </a:xfrm>
                    <a:prstGeom prst="rect">
                      <a:avLst/>
                    </a:prstGeom>
                  </pic:spPr>
                </pic:pic>
              </a:graphicData>
            </a:graphic>
          </wp:inline>
        </w:drawing>
      </w:r>
      <w:r>
        <w:rPr>
          <w:rFonts w:hint="default" w:ascii="Times New Roman Regular" w:hAnsi="Times New Roman Regular" w:cs="Times New Roman Regular"/>
          <w:sz w:val="20"/>
          <w:szCs w:val="20"/>
        </w:rPr>
        <w:t>During the combination administration, if the delay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expected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exceed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2</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weeks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due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toxicity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chemotherapy,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only toripalimab</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will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given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until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toxicity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restored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chemotherapy administration standard, and then the combination administration will be resumed. The maximum</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allowed continuous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suspension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 chemotherapy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2 weeks,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 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chemotherapy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will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terminated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after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2</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weeks. If the delay is expected to exceed 2 weeks due to toxicity of toripalimab,</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only chemotherapy will be given until the toxicity is restored to the toripalimab</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administration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standard,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 then 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combination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administration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will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resumed.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maximum</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allowed continuous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suspension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 toripalimab</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12</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weeks, and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 toripalimab will be terminated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after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12</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weeks.</w:t>
      </w:r>
      <w:r>
        <w:rPr>
          <w:rFonts w:hint="default" w:ascii="Times New Roman Regular" w:hAnsi="Times New Roman Regular" w:cs="Times New Roman Regular"/>
          <w:sz w:val="20"/>
          <w:szCs w:val="20"/>
        </w:rPr>
        <w:drawing>
          <wp:inline distT="0" distB="0" distL="0" distR="0">
            <wp:extent cx="53975" cy="17970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13"/>
                    <a:stretch>
                      <a:fillRect/>
                    </a:stretch>
                  </pic:blipFill>
                  <pic:spPr>
                    <a:xfrm>
                      <a:off x="0" y="0"/>
                      <a:ext cx="54053" cy="179832"/>
                    </a:xfrm>
                    <a:prstGeom prst="rect">
                      <a:avLst/>
                    </a:prstGeom>
                  </pic:spPr>
                </pic:pic>
              </a:graphicData>
            </a:graphic>
          </wp:inline>
        </w:drawing>
      </w:r>
      <w:r>
        <w:rPr>
          <w:rFonts w:hint="default" w:ascii="Times New Roman Regular" w:hAnsi="Times New Roman Regular" w:cs="Times New Roman Regular"/>
          <w:sz w:val="20"/>
          <w:szCs w:val="20"/>
        </w:rPr>
        <w:t>If a</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delay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required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toxicity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reasons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(not clear which drug is involved), all three drugs will need to be delayed at the same time if it is expected to return to re-dosing criteria within 2 weeks.</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9"/>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3) Protocols of drugs delivery</w:t>
      </w:r>
    </w:p>
    <w:tbl>
      <w:tblPr>
        <w:tblStyle w:val="17"/>
        <w:tblW w:w="88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237"/>
        <w:gridCol w:w="2577"/>
        <w:gridCol w:w="1843"/>
        <w:gridCol w:w="2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1" w:hRule="atLeast"/>
          <w:jc w:val="center"/>
        </w:trPr>
        <w:tc>
          <w:tcPr>
            <w:tcW w:w="2237"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p>
        </w:tc>
        <w:tc>
          <w:tcPr>
            <w:tcW w:w="2577"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Toripalimab</w:t>
            </w:r>
          </w:p>
        </w:tc>
        <w:tc>
          <w:tcPr>
            <w:tcW w:w="1843"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Paclitaxel</w:t>
            </w:r>
          </w:p>
        </w:tc>
        <w:tc>
          <w:tcPr>
            <w:tcW w:w="2205"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eastAsia="宋体" w:cs="Times New Roman Regular"/>
                <w:sz w:val="20"/>
                <w:szCs w:val="20"/>
                <w:lang w:val="en-US" w:eastAsia="zh-CN"/>
              </w:rPr>
              <w:t>C</w:t>
            </w:r>
            <w:r>
              <w:rPr>
                <w:rFonts w:hint="default" w:ascii="Times New Roman Regular" w:hAnsi="Times New Roman Regular" w:cs="Times New Roman Regular"/>
                <w:sz w:val="20"/>
                <w:szCs w:val="20"/>
              </w:rPr>
              <w:t>arboplatin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7" w:hRule="atLeast"/>
          <w:jc w:val="center"/>
        </w:trPr>
        <w:tc>
          <w:tcPr>
            <w:tcW w:w="2237"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Dosage and route of administration</w:t>
            </w:r>
          </w:p>
        </w:tc>
        <w:tc>
          <w:tcPr>
            <w:tcW w:w="2577"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240 mg ivdrip</w:t>
            </w:r>
          </w:p>
        </w:tc>
        <w:tc>
          <w:tcPr>
            <w:tcW w:w="1843"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eastAsia="宋体" w:cs="Times New Roman Regular"/>
                <w:sz w:val="20"/>
                <w:szCs w:val="20"/>
                <w:lang w:val="en-US" w:eastAsia="zh-CN"/>
              </w:rPr>
              <w:t>135-175</w:t>
            </w:r>
            <w:r>
              <w:rPr>
                <w:rFonts w:hint="default" w:ascii="Times New Roman Regular" w:hAnsi="Times New Roman Regular" w:cs="Times New Roman Regular"/>
                <w:sz w:val="20"/>
                <w:szCs w:val="20"/>
              </w:rPr>
              <w:t xml:space="preserve"> mg/m2 ivdrip</w:t>
            </w:r>
          </w:p>
        </w:tc>
        <w:tc>
          <w:tcPr>
            <w:tcW w:w="2205"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bCs/>
                <w:sz w:val="20"/>
                <w:szCs w:val="20"/>
              </w:rPr>
              <w:t>area under the curve [AUC] = 4–6</w:t>
            </w:r>
            <w:r>
              <w:rPr>
                <w:rFonts w:hint="default" w:ascii="Times New Roman Regular" w:hAnsi="Times New Roman Regular" w:eastAsia="宋体" w:cs="Times New Roman Regular"/>
                <w:bCs/>
                <w:sz w:val="20"/>
                <w:szCs w:val="20"/>
                <w:lang w:val="en-US" w:eastAsia="zh-CN"/>
              </w:rPr>
              <w:t xml:space="preserve"> </w:t>
            </w:r>
            <w:r>
              <w:rPr>
                <w:rFonts w:hint="default" w:ascii="Times New Roman Regular" w:hAnsi="Times New Roman Regular" w:cs="Times New Roman Regular"/>
                <w:sz w:val="20"/>
                <w:szCs w:val="20"/>
              </w:rPr>
              <w:t>ivdrip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0" w:hRule="atLeast"/>
          <w:jc w:val="center"/>
        </w:trPr>
        <w:tc>
          <w:tcPr>
            <w:tcW w:w="2237"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Transfusion speed</w:t>
            </w:r>
          </w:p>
        </w:tc>
        <w:tc>
          <w:tcPr>
            <w:tcW w:w="2577"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≥30</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min ， ≤60</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min ， including saline flush</w:t>
            </w:r>
          </w:p>
        </w:tc>
        <w:tc>
          <w:tcPr>
            <w:tcW w:w="1843"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1</w:t>
            </w:r>
            <w:r>
              <w:rPr>
                <w:rFonts w:hint="default" w:ascii="Times New Roman Regular" w:hAnsi="Times New Roman Regular" w:eastAsia="宋体" w:cs="Times New Roman Regular"/>
                <w:sz w:val="20"/>
                <w:szCs w:val="20"/>
                <w:lang w:val="en-US" w:eastAsia="zh-CN"/>
              </w:rPr>
              <w:t>8</w:t>
            </w:r>
            <w:r>
              <w:rPr>
                <w:rFonts w:hint="default" w:ascii="Times New Roman Regular" w:hAnsi="Times New Roman Regular" w:cs="Times New Roman Regular"/>
                <w:sz w:val="20"/>
                <w:szCs w:val="20"/>
              </w:rPr>
              <w:t>0 min</w:t>
            </w:r>
          </w:p>
        </w:tc>
        <w:tc>
          <w:tcPr>
            <w:tcW w:w="2205"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eastAsia="宋体" w:cs="Times New Roman Regular"/>
                <w:sz w:val="20"/>
                <w:szCs w:val="20"/>
                <w:lang w:val="en-US" w:eastAsia="zh-CN"/>
              </w:rPr>
              <w:t>6</w:t>
            </w:r>
            <w:r>
              <w:rPr>
                <w:rFonts w:hint="default" w:ascii="Times New Roman Regular" w:hAnsi="Times New Roman Regular" w:cs="Times New Roman Regular"/>
                <w:sz w:val="20"/>
                <w:szCs w:val="20"/>
              </w:rPr>
              <w:t>0 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5" w:hRule="atLeast"/>
          <w:jc w:val="center"/>
        </w:trPr>
        <w:tc>
          <w:tcPr>
            <w:tcW w:w="2237"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Pretreatment</w:t>
            </w:r>
          </w:p>
        </w:tc>
        <w:tc>
          <w:tcPr>
            <w:tcW w:w="2577"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Not required</w:t>
            </w:r>
          </w:p>
        </w:tc>
        <w:tc>
          <w:tcPr>
            <w:tcW w:w="1843"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Required</w:t>
            </w:r>
          </w:p>
        </w:tc>
        <w:tc>
          <w:tcPr>
            <w:tcW w:w="2205"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Required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1" w:hRule="atLeast"/>
          <w:jc w:val="center"/>
        </w:trPr>
        <w:tc>
          <w:tcPr>
            <w:tcW w:w="2237"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Administration time</w:t>
            </w:r>
          </w:p>
        </w:tc>
        <w:tc>
          <w:tcPr>
            <w:tcW w:w="2577"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 xml:space="preserve">D1, 22, </w:t>
            </w:r>
            <w:r>
              <w:rPr>
                <w:rFonts w:hint="default" w:ascii="Times New Roman Regular" w:hAnsi="Times New Roman Regular" w:eastAsia="宋体" w:cs="Times New Roman Regular"/>
                <w:sz w:val="20"/>
                <w:szCs w:val="20"/>
                <w:lang w:val="en-US" w:eastAsia="zh-CN"/>
              </w:rPr>
              <w:t>43, 64</w:t>
            </w:r>
          </w:p>
        </w:tc>
        <w:tc>
          <w:tcPr>
            <w:tcW w:w="1843"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lang w:val="en-US"/>
              </w:rPr>
            </w:pPr>
            <w:r>
              <w:rPr>
                <w:rFonts w:hint="default" w:ascii="Times New Roman Regular" w:hAnsi="Times New Roman Regular" w:cs="Times New Roman Regular"/>
                <w:sz w:val="20"/>
                <w:szCs w:val="20"/>
              </w:rPr>
              <w:t xml:space="preserve">D1, 22, </w:t>
            </w:r>
            <w:r>
              <w:rPr>
                <w:rFonts w:hint="default" w:ascii="Times New Roman Regular" w:hAnsi="Times New Roman Regular" w:eastAsia="宋体" w:cs="Times New Roman Regular"/>
                <w:sz w:val="20"/>
                <w:szCs w:val="20"/>
                <w:lang w:val="en-US" w:eastAsia="zh-CN"/>
              </w:rPr>
              <w:t>43, 64</w:t>
            </w:r>
          </w:p>
        </w:tc>
        <w:tc>
          <w:tcPr>
            <w:tcW w:w="2205"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 xml:space="preserve">D1, 22, </w:t>
            </w:r>
            <w:r>
              <w:rPr>
                <w:rFonts w:hint="default" w:ascii="Times New Roman Regular" w:hAnsi="Times New Roman Regular" w:eastAsia="宋体" w:cs="Times New Roman Regular"/>
                <w:sz w:val="20"/>
                <w:szCs w:val="20"/>
                <w:lang w:val="en-US" w:eastAsia="zh-CN"/>
              </w:rPr>
              <w:t>43, 64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1" w:hRule="atLeast"/>
          <w:jc w:val="center"/>
        </w:trPr>
        <w:tc>
          <w:tcPr>
            <w:tcW w:w="2237"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Administration</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eastAsia="Arial" w:cs="Times New Roman Regular"/>
                <w:snapToGrid w:val="0"/>
                <w:color w:val="000000"/>
                <w:kern w:val="0"/>
                <w:sz w:val="20"/>
                <w:szCs w:val="20"/>
                <w:lang w:val="en-US" w:eastAsia="en-US" w:bidi="ar-SA"/>
              </w:rPr>
            </w:pPr>
            <w:r>
              <w:rPr>
                <w:rFonts w:hint="default" w:ascii="Times New Roman Regular" w:hAnsi="Times New Roman Regular" w:cs="Times New Roman Regular"/>
                <w:sz w:val="20"/>
                <w:szCs w:val="20"/>
              </w:rPr>
              <w:t>sequence</w:t>
            </w:r>
          </w:p>
        </w:tc>
        <w:tc>
          <w:tcPr>
            <w:tcW w:w="6625"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After toripalimab</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infusion, paclitaxel and c</w:t>
            </w:r>
            <w:r>
              <w:rPr>
                <w:rFonts w:hint="default" w:ascii="Times New Roman Regular" w:hAnsi="Times New Roman Regular" w:eastAsia="宋体" w:cs="Times New Roman Regular"/>
                <w:sz w:val="20"/>
                <w:szCs w:val="20"/>
                <w:lang w:val="en-US" w:eastAsia="zh-CN"/>
              </w:rPr>
              <w:t>arbop</w:t>
            </w:r>
            <w:r>
              <w:rPr>
                <w:rFonts w:hint="default" w:ascii="Times New Roman Regular" w:hAnsi="Times New Roman Regular" w:cs="Times New Roman Regular"/>
                <w:sz w:val="20"/>
                <w:szCs w:val="20"/>
              </w:rPr>
              <w:t>latin will be given at least 60 minutes interval.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1" w:hRule="atLeast"/>
          <w:jc w:val="center"/>
        </w:trPr>
        <w:tc>
          <w:tcPr>
            <w:tcW w:w="2237"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Maintain</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eastAsia="Arial" w:cs="Times New Roman Regular"/>
                <w:snapToGrid w:val="0"/>
                <w:color w:val="000000"/>
                <w:kern w:val="0"/>
                <w:sz w:val="20"/>
                <w:szCs w:val="20"/>
                <w:lang w:val="en-US" w:eastAsia="en-US" w:bidi="ar-SA"/>
              </w:rPr>
            </w:pPr>
            <w:r>
              <w:rPr>
                <w:rFonts w:hint="default" w:ascii="Times New Roman Regular" w:hAnsi="Times New Roman Regular" w:cs="Times New Roman Regular"/>
                <w:sz w:val="20"/>
                <w:szCs w:val="20"/>
              </w:rPr>
              <w:t>dosing frequency</w:t>
            </w:r>
          </w:p>
        </w:tc>
        <w:tc>
          <w:tcPr>
            <w:tcW w:w="6625"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Toripalimab</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administered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every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3</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weeks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after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eastAsia="宋体" w:cs="Times New Roman Regular"/>
                <w:sz w:val="20"/>
                <w:szCs w:val="20"/>
                <w:lang w:val="en-US" w:eastAsia="zh-CN"/>
              </w:rPr>
              <w:t>completing 4 cycles of chemoimmunotherapy</w:t>
            </w:r>
            <w:r>
              <w:rPr>
                <w:rFonts w:hint="default" w:ascii="Times New Roman Regular" w:hAnsi="Times New Roman Regular" w:cs="Times New Roman Regular"/>
                <w:sz w:val="20"/>
                <w:szCs w:val="20"/>
              </w:rPr>
              <w: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with</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 maximum duration of 1 year.</w:t>
            </w:r>
          </w:p>
        </w:tc>
      </w:tr>
    </w:tbl>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b/>
          <w:bCs/>
          <w:sz w:val="22"/>
          <w:szCs w:val="22"/>
        </w:rPr>
      </w:pPr>
      <w:bookmarkStart w:id="17" w:name="_Toc25752"/>
      <w:r>
        <w:rPr>
          <w:rFonts w:hint="default" w:ascii="Times New Roman Regular" w:hAnsi="Times New Roman Regular" w:cs="Times New Roman Regular"/>
          <w:b/>
          <w:bCs/>
          <w:sz w:val="22"/>
          <w:szCs w:val="22"/>
        </w:rPr>
        <w:t>5.3.3 Management of toripalimab infusion reaction</w:t>
      </w:r>
      <w:bookmarkEnd w:id="17"/>
    </w:p>
    <w:tbl>
      <w:tblPr>
        <w:tblStyle w:val="17"/>
        <w:tblW w:w="10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32"/>
        <w:gridCol w:w="1841"/>
        <w:gridCol w:w="4531"/>
        <w:gridCol w:w="25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1" w:hRule="atLeast"/>
          <w:jc w:val="center"/>
        </w:trPr>
        <w:tc>
          <w:tcPr>
            <w:tcW w:w="1132"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CTCAE</w:t>
            </w:r>
          </w:p>
        </w:tc>
        <w:tc>
          <w:tcPr>
            <w:tcW w:w="1841"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Symptoms</w:t>
            </w:r>
          </w:p>
        </w:tc>
        <w:tc>
          <w:tcPr>
            <w:tcW w:w="4531"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Treatment</w:t>
            </w:r>
          </w:p>
        </w:tc>
        <w:tc>
          <w:tcPr>
            <w:tcW w:w="2556"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Toripalimab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80" w:hRule="atLeast"/>
          <w:jc w:val="center"/>
        </w:trPr>
        <w:tc>
          <w:tcPr>
            <w:tcW w:w="1132"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Grade 1</w:t>
            </w:r>
          </w:p>
        </w:tc>
        <w:tc>
          <w:tcPr>
            <w:tcW w:w="1841"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Mild</w:t>
            </w:r>
          </w:p>
        </w:tc>
        <w:tc>
          <w:tcPr>
            <w:tcW w:w="4531"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Bedside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observation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close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monitoring until recovery.</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Prophylaxis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recommended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future infusion: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diphenhydramine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50mg,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 equivalent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acetaminophen 325-1000mg,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least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30</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minutes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before administration of pd-1 antibody.</w:t>
            </w:r>
          </w:p>
        </w:tc>
        <w:tc>
          <w:tcPr>
            <w:tcW w:w="2556"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Continue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84" w:hRule="atLeast"/>
          <w:jc w:val="center"/>
        </w:trPr>
        <w:tc>
          <w:tcPr>
            <w:tcW w:w="1132"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Grade 2</w:t>
            </w:r>
          </w:p>
        </w:tc>
        <w:tc>
          <w:tcPr>
            <w:tcW w:w="1841"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Moderate</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Requiring</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treatment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 suspension.</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Rapid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remission after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treatment (e.g.,</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antihistamines,</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nonsteroidal</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anti-inflammatory</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drugs, anesthetics,</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bronchodilators, intravenous</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fluids, etc.)</w:t>
            </w:r>
          </w:p>
        </w:tc>
        <w:tc>
          <w:tcPr>
            <w:tcW w:w="4531"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Intravenous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saline,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diphenhydramine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50mg 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equivalent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paracetamol 325-1000mg.</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Bedside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observation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close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monitoring until recovery.</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Corticosteroids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bronchodilators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may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be considered according to clinical needs.</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Original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medical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records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study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drug infusion volume.</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Prophylaxis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recommended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future infusion: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diphenhydramine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50mg,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 equivalent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acetaminophen 325-1000mg,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least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30</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minutes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before administration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pd-1</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antibody. When necessary,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cortisol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(equivalent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25mg dose of hydrocortisone).</w:t>
            </w:r>
          </w:p>
        </w:tc>
        <w:tc>
          <w:tcPr>
            <w:tcW w:w="2556"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Pause.</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50% initial infusion rate when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retaking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after symptom resolution.</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If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there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are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no complications within 30 minutes,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infusion rate can be increased to 100%.</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Monitor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closely, and if symptoms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recur,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no PD-1</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antibody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is administered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33" w:hRule="atLeast"/>
          <w:jc w:val="center"/>
        </w:trPr>
        <w:tc>
          <w:tcPr>
            <w:tcW w:w="1132"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Grade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 3</w:t>
            </w:r>
          </w:p>
        </w:tc>
        <w:tc>
          <w:tcPr>
            <w:tcW w:w="1841"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Severe</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No</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immediate response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 treatment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and/or suspension;</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Or recurrence of symptoms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after remission;</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Sequelae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that require</w:t>
            </w:r>
          </w:p>
        </w:tc>
        <w:tc>
          <w:tcPr>
            <w:tcW w:w="4531"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Stop</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infusion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PD-1</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antibody immediately; Start an i.v. drip of saline.</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Bronchodilators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are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recommended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by</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subcutaneous injection of 0.2-1mg of 1:1000</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epinephrine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solution,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0.1-0.25mg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1:10,000</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epinephrine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solution intravenously,</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if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necessary,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diphenhydramine</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50mg</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slowly and/or</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plus</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methylprednisolone</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100mg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equivalent</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intravenously.</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Follow</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institute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guidelines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treating</w:t>
            </w:r>
          </w:p>
        </w:tc>
        <w:tc>
          <w:tcPr>
            <w:tcW w:w="2556"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Terminate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78" w:hRule="atLeast"/>
          <w:jc w:val="center"/>
        </w:trPr>
        <w:tc>
          <w:tcPr>
            <w:tcW w:w="1132"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p>
        </w:tc>
        <w:tc>
          <w:tcPr>
            <w:tcW w:w="1841"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hospitalization.</w:t>
            </w:r>
          </w:p>
        </w:tc>
        <w:tc>
          <w:tcPr>
            <w:tcW w:w="4531"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anaphylaxis.</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eastAsia="Arial" w:cs="Times New Roman Regular"/>
                <w:snapToGrid w:val="0"/>
                <w:color w:val="000000"/>
                <w:kern w:val="0"/>
                <w:sz w:val="20"/>
                <w:szCs w:val="20"/>
                <w:lang w:val="en-US" w:eastAsia="en-US" w:bidi="ar-SA"/>
              </w:rPr>
            </w:pPr>
            <w:r>
              <w:rPr>
                <w:rFonts w:hint="default" w:ascii="Times New Roman Regular" w:hAnsi="Times New Roman Regular" w:cs="Times New Roman Regular"/>
                <w:sz w:val="20"/>
                <w:szCs w:val="20"/>
              </w:rPr>
              <w:t>Bedside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observation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close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monitoring until recovery.</w:t>
            </w:r>
          </w:p>
        </w:tc>
        <w:tc>
          <w:tcPr>
            <w:tcW w:w="2556"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p>
        </w:tc>
      </w:tr>
    </w:tbl>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b/>
          <w:bCs/>
          <w:sz w:val="22"/>
          <w:szCs w:val="22"/>
        </w:rPr>
      </w:pPr>
      <w:bookmarkStart w:id="18" w:name="_Toc1498"/>
      <w:r>
        <w:rPr>
          <w:rFonts w:hint="default" w:ascii="Times New Roman Regular" w:hAnsi="Times New Roman Regular" w:cs="Times New Roman Regular"/>
          <w:b/>
          <w:bCs/>
          <w:sz w:val="22"/>
          <w:szCs w:val="22"/>
        </w:rPr>
        <w:t>5.3.4 Pretreatment before chemotherapy</w:t>
      </w:r>
      <w:bookmarkEnd w:id="18"/>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1) Prophylactic antiemetic therapy:</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Acute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delayed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vomiting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induced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cisplatin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must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prevented.</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Aprepitant + 5-HT3</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antagonist +</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dexamethasone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recommended within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1</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hour</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prior to chemotherapy.</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9"/>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2) Allergy prevention:</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outlineLvl w:val="9"/>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Paclitaxel is pretreated with adrenocortical hormones (e.g., Dexamethasone),</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diphenhydramine, and H2-receptor antagonists (e.g., Cimetidine or Ranitidine).</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9"/>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3) Adjustment for allergy:</w:t>
      </w:r>
    </w:p>
    <w:tbl>
      <w:tblPr>
        <w:tblStyle w:val="17"/>
        <w:tblW w:w="9369" w:type="dxa"/>
        <w:jc w:val="center"/>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3375"/>
        <w:gridCol w:w="5994"/>
      </w:tblGrid>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623" w:hRule="atLeast"/>
          <w:jc w:val="center"/>
        </w:trPr>
        <w:tc>
          <w:tcPr>
            <w:tcW w:w="3375"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Allergic symptoms</w:t>
            </w:r>
          </w:p>
        </w:tc>
        <w:tc>
          <w:tcPr>
            <w:tcW w:w="5994"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Treatment</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257" w:hRule="atLeast"/>
          <w:jc w:val="center"/>
        </w:trPr>
        <w:tc>
          <w:tcPr>
            <w:tcW w:w="3375"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Grade1:</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Local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skin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reactions such</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mild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itching,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flushing and rashes</w:t>
            </w:r>
          </w:p>
        </w:tc>
        <w:tc>
          <w:tcPr>
            <w:tcW w:w="5994"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-Reduce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infusion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rate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until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symptoms disappear.</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-Observe and monitor patients at the wards.</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-Then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continue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dripping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all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paclitaxel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original speed.</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96" w:hRule="atLeast"/>
          <w:jc w:val="center"/>
        </w:trPr>
        <w:tc>
          <w:tcPr>
            <w:tcW w:w="3375" w:type="dxa"/>
            <w:tcBorders>
              <w:top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Grade2:</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symptoms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not</w:t>
            </w:r>
          </w:p>
        </w:tc>
        <w:tc>
          <w:tcPr>
            <w:tcW w:w="5994" w:type="dxa"/>
            <w:tcBorders>
              <w:top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-Stop dripping paclitaxel.</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826" w:hRule="atLeast"/>
          <w:jc w:val="center"/>
        </w:trPr>
        <w:tc>
          <w:tcPr>
            <w:tcW w:w="3375"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listed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above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(mild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symptoms) 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below</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(severe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symptoms), such</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systemic</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pruritus,</w:t>
            </w:r>
          </w:p>
        </w:tc>
        <w:tc>
          <w:tcPr>
            <w:tcW w:w="5994"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-Administer DPH 50 mg IV with or without DXM 10 mg IV until the symptoms disappear.</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014" w:hRule="atLeast"/>
          <w:jc w:val="center"/>
        </w:trPr>
        <w:tc>
          <w:tcPr>
            <w:tcW w:w="3375" w:type="dxa"/>
            <w:tcBorders>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flushing,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rash,</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dyspnea</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 hypotension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with</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systolic blood pressure &gt;80 mm Hg</w:t>
            </w:r>
          </w:p>
        </w:tc>
        <w:tc>
          <w:tcPr>
            <w:tcW w:w="5994" w:type="dxa"/>
            <w:tcBorders>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-Then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continue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dripping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paclitaxel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at a lower speed and gradually to the original speed.</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96" w:hRule="atLeast"/>
          <w:jc w:val="center"/>
        </w:trPr>
        <w:tc>
          <w:tcPr>
            <w:tcW w:w="3375" w:type="dxa"/>
            <w:tcBorders>
              <w:top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Grade3/4:</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Any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severe</w:t>
            </w:r>
          </w:p>
        </w:tc>
        <w:tc>
          <w:tcPr>
            <w:tcW w:w="5994" w:type="dxa"/>
            <w:tcBorders>
              <w:top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-Stop dripping paclitaxel.</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102" w:hRule="atLeast"/>
          <w:jc w:val="center"/>
        </w:trPr>
        <w:tc>
          <w:tcPr>
            <w:tcW w:w="3375"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symptoms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 xml:space="preserve"> such</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as bronchospasm,</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 xml:space="preserve"> systemic rubella,</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systolic</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blood pressure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≤80mmHg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w:t>
            </w:r>
          </w:p>
        </w:tc>
        <w:tc>
          <w:tcPr>
            <w:tcW w:w="5994"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-Administer DPH 50 mg IV with or without DXM 10 mg IV,</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administer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adrenaline, if necessary, until the symptoms disappear.</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83" w:hRule="atLeast"/>
          <w:jc w:val="center"/>
        </w:trPr>
        <w:tc>
          <w:tcPr>
            <w:tcW w:w="3375" w:type="dxa"/>
            <w:tcBorders>
              <w:bottom w:val="single" w:color="000000" w:sz="6"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vascular edema</w:t>
            </w:r>
          </w:p>
        </w:tc>
        <w:tc>
          <w:tcPr>
            <w:tcW w:w="5994" w:type="dxa"/>
            <w:tcBorders>
              <w:bottom w:val="single" w:color="000000" w:sz="6"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-Patients will withdraw from the study</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755" w:hRule="atLeast"/>
          <w:jc w:val="center"/>
        </w:trPr>
        <w:tc>
          <w:tcPr>
            <w:tcW w:w="9369" w:type="dxa"/>
            <w:gridSpan w:val="2"/>
            <w:tcBorders>
              <w:top w:val="single" w:color="000000" w:sz="6" w:space="0"/>
              <w:bottom w:val="single" w:color="000000" w:sz="6"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Notes:Patients who has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severe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allergic</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symptoms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will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withdraw</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from</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study,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 followed treatment will be decided by researchers.</w:t>
            </w:r>
          </w:p>
        </w:tc>
      </w:tr>
    </w:tbl>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b/>
          <w:bCs/>
          <w:sz w:val="22"/>
          <w:szCs w:val="22"/>
        </w:rPr>
      </w:pPr>
      <w:bookmarkStart w:id="19" w:name="_Toc7218"/>
      <w:r>
        <w:rPr>
          <w:rFonts w:hint="default" w:ascii="Times New Roman Regular" w:hAnsi="Times New Roman Regular" w:cs="Times New Roman Regular"/>
          <w:b/>
          <w:bCs/>
          <w:sz w:val="22"/>
          <w:szCs w:val="22"/>
        </w:rPr>
        <w:t>5.3.5 Principles for the adjustment of dosage of drugs</w:t>
      </w:r>
      <w:bookmarkEnd w:id="19"/>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9"/>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1) Toripalimab</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Adverse effect (AE) related to toripalimab may be associated to the immune system, which may occur at the first administration or a few months after the last administration.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When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symptoms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listed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below</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occur,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administration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 toripalimab</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should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suspended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terminated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if necessary.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 resumption of regime is no longer than 12 weeks, otherwise it should be terminated.</w:t>
      </w:r>
    </w:p>
    <w:tbl>
      <w:tblPr>
        <w:tblStyle w:val="17"/>
        <w:tblW w:w="9355" w:type="dxa"/>
        <w:jc w:val="center"/>
        <w:tblBorders>
          <w:top w:val="none" w:color="000000" w:sz="0" w:space="0"/>
          <w:left w:val="none" w:color="000000" w:sz="0" w:space="0"/>
          <w:bottom w:val="none" w:color="000000" w:sz="0" w:space="0"/>
          <w:right w:val="none" w:color="000000" w:sz="0" w:space="0"/>
          <w:insideH w:val="single" w:color="auto" w:sz="4" w:space="0"/>
          <w:insideV w:val="none" w:color="000000" w:sz="0" w:space="0"/>
        </w:tblBorders>
        <w:tblLayout w:type="fixed"/>
        <w:tblCellMar>
          <w:top w:w="0" w:type="dxa"/>
          <w:left w:w="0" w:type="dxa"/>
          <w:bottom w:w="0" w:type="dxa"/>
          <w:right w:w="0" w:type="dxa"/>
        </w:tblCellMar>
      </w:tblPr>
      <w:tblGrid>
        <w:gridCol w:w="2699"/>
        <w:gridCol w:w="6656"/>
      </w:tblGrid>
      <w:tr>
        <w:tblPrEx>
          <w:tblBorders>
            <w:top w:val="none" w:color="000000" w:sz="0" w:space="0"/>
            <w:left w:val="none" w:color="000000" w:sz="0" w:space="0"/>
            <w:bottom w:val="none" w:color="000000" w:sz="0" w:space="0"/>
            <w:right w:val="none" w:color="000000" w:sz="0" w:space="0"/>
            <w:insideH w:val="single" w:color="auto" w:sz="4" w:space="0"/>
            <w:insideV w:val="none" w:color="000000" w:sz="0" w:space="0"/>
          </w:tblBorders>
          <w:tblCellMar>
            <w:top w:w="0" w:type="dxa"/>
            <w:left w:w="0" w:type="dxa"/>
            <w:bottom w:w="0" w:type="dxa"/>
            <w:right w:w="0" w:type="dxa"/>
          </w:tblCellMar>
        </w:tblPrEx>
        <w:trPr>
          <w:trHeight w:val="763" w:hRule="atLeast"/>
          <w:jc w:val="center"/>
        </w:trPr>
        <w:tc>
          <w:tcPr>
            <w:tcW w:w="2699" w:type="dxa"/>
            <w:tcBorders>
              <w:top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Immune-associated</w:t>
            </w:r>
            <w:r>
              <w:rPr>
                <w:rFonts w:hint="default" w:ascii="Times New Roman Regular" w:hAnsi="Times New Roman Regular" w:eastAsia="宋体" w:cs="Times New Roman Regular"/>
                <w:sz w:val="20"/>
                <w:szCs w:val="20"/>
                <w:lang w:val="en-US" w:eastAsia="zh-CN"/>
              </w:rPr>
              <w:t xml:space="preserve"> AE for </w:t>
            </w:r>
            <w:r>
              <w:rPr>
                <w:rFonts w:hint="default" w:ascii="Times New Roman Regular" w:hAnsi="Times New Roman Regular" w:cs="Times New Roman Regular"/>
                <w:sz w:val="20"/>
                <w:szCs w:val="20"/>
              </w:rPr>
              <w:t>interruption</w:t>
            </w:r>
          </w:p>
        </w:tc>
        <w:tc>
          <w:tcPr>
            <w:tcW w:w="6656" w:type="dxa"/>
            <w:tcBorders>
              <w:top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Conditions for resumption</w:t>
            </w:r>
          </w:p>
        </w:tc>
      </w:tr>
      <w:tr>
        <w:tblPrEx>
          <w:tblBorders>
            <w:top w:val="none" w:color="000000" w:sz="0" w:space="0"/>
            <w:left w:val="none" w:color="000000" w:sz="0" w:space="0"/>
            <w:bottom w:val="none" w:color="000000" w:sz="0" w:space="0"/>
            <w:right w:val="none" w:color="000000" w:sz="0" w:space="0"/>
            <w:insideH w:val="single" w:color="auto" w:sz="4" w:space="0"/>
            <w:insideV w:val="none" w:color="000000" w:sz="0" w:space="0"/>
          </w:tblBorders>
          <w:tblCellMar>
            <w:top w:w="0" w:type="dxa"/>
            <w:left w:w="0" w:type="dxa"/>
            <w:bottom w:w="0" w:type="dxa"/>
            <w:right w:w="0" w:type="dxa"/>
          </w:tblCellMar>
        </w:tblPrEx>
        <w:trPr>
          <w:trHeight w:val="479" w:hRule="atLeast"/>
          <w:jc w:val="center"/>
        </w:trPr>
        <w:tc>
          <w:tcPr>
            <w:tcW w:w="9355"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Diarrhea / Colitis</w:t>
            </w:r>
          </w:p>
        </w:tc>
      </w:tr>
      <w:tr>
        <w:tblPrEx>
          <w:tblBorders>
            <w:top w:val="none" w:color="000000" w:sz="0" w:space="0"/>
            <w:left w:val="none" w:color="000000" w:sz="0" w:space="0"/>
            <w:bottom w:val="none" w:color="000000" w:sz="0" w:space="0"/>
            <w:right w:val="none" w:color="000000" w:sz="0" w:space="0"/>
            <w:insideH w:val="single" w:color="auto" w:sz="4" w:space="0"/>
            <w:insideV w:val="none" w:color="000000" w:sz="0" w:space="0"/>
          </w:tblBorders>
          <w:tblCellMar>
            <w:top w:w="0" w:type="dxa"/>
            <w:left w:w="0" w:type="dxa"/>
            <w:bottom w:w="0" w:type="dxa"/>
            <w:right w:w="0" w:type="dxa"/>
          </w:tblCellMar>
        </w:tblPrEx>
        <w:trPr>
          <w:trHeight w:val="755" w:hRule="atLeast"/>
          <w:jc w:val="center"/>
        </w:trPr>
        <w:tc>
          <w:tcPr>
            <w:tcW w:w="2699"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Grade 2/3</w:t>
            </w:r>
          </w:p>
        </w:tc>
        <w:tc>
          <w:tcPr>
            <w:tcW w:w="6656"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Recovery to grade 0-1 and corticosteroid reduced to less of prednisone 10</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mg or its equivalent</w:t>
            </w:r>
          </w:p>
        </w:tc>
      </w:tr>
      <w:tr>
        <w:tblPrEx>
          <w:tblBorders>
            <w:top w:val="none" w:color="000000" w:sz="0" w:space="0"/>
            <w:left w:val="none" w:color="000000" w:sz="0" w:space="0"/>
            <w:bottom w:val="none" w:color="000000" w:sz="0" w:space="0"/>
            <w:right w:val="none" w:color="000000" w:sz="0" w:space="0"/>
            <w:insideH w:val="single" w:color="auto" w:sz="4" w:space="0"/>
            <w:insideV w:val="none" w:color="000000" w:sz="0" w:space="0"/>
          </w:tblBorders>
          <w:tblCellMar>
            <w:top w:w="0" w:type="dxa"/>
            <w:left w:w="0" w:type="dxa"/>
            <w:bottom w:w="0" w:type="dxa"/>
            <w:right w:w="0" w:type="dxa"/>
          </w:tblCellMar>
        </w:tblPrEx>
        <w:trPr>
          <w:trHeight w:val="446" w:hRule="atLeast"/>
          <w:jc w:val="center"/>
        </w:trPr>
        <w:tc>
          <w:tcPr>
            <w:tcW w:w="2699"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Grade 4</w:t>
            </w:r>
          </w:p>
        </w:tc>
        <w:tc>
          <w:tcPr>
            <w:tcW w:w="6656"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Termination</w:t>
            </w:r>
          </w:p>
        </w:tc>
      </w:tr>
      <w:tr>
        <w:tblPrEx>
          <w:tblBorders>
            <w:top w:val="none" w:color="000000" w:sz="0" w:space="0"/>
            <w:left w:val="none" w:color="000000" w:sz="0" w:space="0"/>
            <w:bottom w:val="none" w:color="000000" w:sz="0" w:space="0"/>
            <w:right w:val="none" w:color="000000" w:sz="0" w:space="0"/>
            <w:insideH w:val="single" w:color="auto" w:sz="4" w:space="0"/>
            <w:insideV w:val="none" w:color="000000" w:sz="0" w:space="0"/>
          </w:tblBorders>
          <w:tblCellMar>
            <w:top w:w="0" w:type="dxa"/>
            <w:left w:w="0" w:type="dxa"/>
            <w:bottom w:w="0" w:type="dxa"/>
            <w:right w:w="0" w:type="dxa"/>
          </w:tblCellMar>
        </w:tblPrEx>
        <w:trPr>
          <w:trHeight w:val="482" w:hRule="atLeast"/>
          <w:jc w:val="center"/>
        </w:trPr>
        <w:tc>
          <w:tcPr>
            <w:tcW w:w="9355"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Hepatic dysfunction</w:t>
            </w:r>
          </w:p>
        </w:tc>
      </w:tr>
      <w:tr>
        <w:tblPrEx>
          <w:tblBorders>
            <w:top w:val="none" w:color="000000" w:sz="0" w:space="0"/>
            <w:left w:val="none" w:color="000000" w:sz="0" w:space="0"/>
            <w:bottom w:val="none" w:color="000000" w:sz="0" w:space="0"/>
            <w:right w:val="none" w:color="000000" w:sz="0" w:space="0"/>
            <w:insideH w:val="single" w:color="auto" w:sz="4" w:space="0"/>
            <w:insideV w:val="none" w:color="000000" w:sz="0" w:space="0"/>
          </w:tblBorders>
          <w:tblCellMar>
            <w:top w:w="0" w:type="dxa"/>
            <w:left w:w="0" w:type="dxa"/>
            <w:bottom w:w="0" w:type="dxa"/>
            <w:right w:w="0" w:type="dxa"/>
          </w:tblCellMar>
        </w:tblPrEx>
        <w:trPr>
          <w:trHeight w:val="753" w:hRule="atLeast"/>
          <w:jc w:val="center"/>
        </w:trPr>
        <w:tc>
          <w:tcPr>
            <w:tcW w:w="2699"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Grade 2</w:t>
            </w:r>
            <w:r>
              <w:rPr>
                <w:rFonts w:hint="default" w:ascii="Times New Roman Regular" w:hAnsi="Times New Roman Regular" w:eastAsia="宋体" w:cs="Times New Roman Regular"/>
                <w:sz w:val="20"/>
                <w:szCs w:val="20"/>
                <w:lang w:eastAsia="zh-CN"/>
              </w:rPr>
              <w:t xml:space="preserve">   </w:t>
            </w:r>
          </w:p>
        </w:tc>
        <w:tc>
          <w:tcPr>
            <w:tcW w:w="6656"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Recovery to grade 0-1 and corticosteroid reduced to less of</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prednisone 10</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mg or its equivalent</w:t>
            </w:r>
          </w:p>
        </w:tc>
      </w:tr>
      <w:tr>
        <w:tblPrEx>
          <w:tblBorders>
            <w:top w:val="none" w:color="000000" w:sz="0" w:space="0"/>
            <w:left w:val="none" w:color="000000" w:sz="0" w:space="0"/>
            <w:bottom w:val="none" w:color="000000" w:sz="0" w:space="0"/>
            <w:right w:val="none" w:color="000000" w:sz="0" w:space="0"/>
            <w:insideH w:val="single" w:color="auto" w:sz="4" w:space="0"/>
            <w:insideV w:val="none" w:color="000000" w:sz="0" w:space="0"/>
          </w:tblBorders>
          <w:tblCellMar>
            <w:top w:w="0" w:type="dxa"/>
            <w:left w:w="0" w:type="dxa"/>
            <w:bottom w:w="0" w:type="dxa"/>
            <w:right w:w="0" w:type="dxa"/>
          </w:tblCellMar>
        </w:tblPrEx>
        <w:trPr>
          <w:trHeight w:val="446" w:hRule="atLeast"/>
          <w:jc w:val="center"/>
        </w:trPr>
        <w:tc>
          <w:tcPr>
            <w:tcW w:w="2699"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Grade 3/4</w:t>
            </w:r>
            <w:r>
              <w:rPr>
                <w:rFonts w:hint="default" w:ascii="Times New Roman Regular" w:hAnsi="Times New Roman Regular" w:eastAsia="宋体" w:cs="Times New Roman Regular"/>
                <w:sz w:val="20"/>
                <w:szCs w:val="20"/>
                <w:lang w:eastAsia="zh-CN"/>
              </w:rPr>
              <w:t xml:space="preserve">   </w:t>
            </w:r>
          </w:p>
        </w:tc>
        <w:tc>
          <w:tcPr>
            <w:tcW w:w="6656"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Termination</w:t>
            </w:r>
          </w:p>
        </w:tc>
      </w:tr>
      <w:tr>
        <w:tblPrEx>
          <w:tblBorders>
            <w:top w:val="none" w:color="000000" w:sz="0" w:space="0"/>
            <w:left w:val="none" w:color="000000" w:sz="0" w:space="0"/>
            <w:bottom w:val="none" w:color="000000" w:sz="0" w:space="0"/>
            <w:right w:val="none" w:color="000000" w:sz="0" w:space="0"/>
            <w:insideH w:val="single" w:color="auto" w:sz="4" w:space="0"/>
            <w:insideV w:val="none" w:color="000000" w:sz="0" w:space="0"/>
          </w:tblBorders>
          <w:tblCellMar>
            <w:top w:w="0" w:type="dxa"/>
            <w:left w:w="0" w:type="dxa"/>
            <w:bottom w:w="0" w:type="dxa"/>
            <w:right w:w="0" w:type="dxa"/>
          </w:tblCellMar>
        </w:tblPrEx>
        <w:trPr>
          <w:trHeight w:val="482" w:hRule="atLeast"/>
          <w:jc w:val="center"/>
        </w:trPr>
        <w:tc>
          <w:tcPr>
            <w:tcW w:w="9355"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Hyperthyroidism</w:t>
            </w:r>
          </w:p>
        </w:tc>
      </w:tr>
      <w:tr>
        <w:tblPrEx>
          <w:tblBorders>
            <w:top w:val="none" w:color="000000" w:sz="0" w:space="0"/>
            <w:left w:val="none" w:color="000000" w:sz="0" w:space="0"/>
            <w:bottom w:val="none" w:color="000000" w:sz="0" w:space="0"/>
            <w:right w:val="none" w:color="000000" w:sz="0" w:space="0"/>
            <w:insideH w:val="single" w:color="auto" w:sz="4" w:space="0"/>
            <w:insideV w:val="none" w:color="000000" w:sz="0" w:space="0"/>
          </w:tblBorders>
          <w:tblCellMar>
            <w:top w:w="0" w:type="dxa"/>
            <w:left w:w="0" w:type="dxa"/>
            <w:bottom w:w="0" w:type="dxa"/>
            <w:right w:w="0" w:type="dxa"/>
          </w:tblCellMar>
        </w:tblPrEx>
        <w:trPr>
          <w:trHeight w:val="755" w:hRule="atLeast"/>
          <w:jc w:val="center"/>
        </w:trPr>
        <w:tc>
          <w:tcPr>
            <w:tcW w:w="2699"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Grade 3</w:t>
            </w:r>
            <w:r>
              <w:rPr>
                <w:rFonts w:hint="default" w:ascii="Times New Roman Regular" w:hAnsi="Times New Roman Regular" w:eastAsia="宋体" w:cs="Times New Roman Regular"/>
                <w:sz w:val="20"/>
                <w:szCs w:val="20"/>
                <w:lang w:eastAsia="zh-CN"/>
              </w:rPr>
              <w:t xml:space="preserve">   </w:t>
            </w:r>
          </w:p>
        </w:tc>
        <w:tc>
          <w:tcPr>
            <w:tcW w:w="6656"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Recovery to grade 0-1 and corticosteroid reduced to less of</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prednisone 10</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mg or its equivalent</w:t>
            </w:r>
          </w:p>
        </w:tc>
      </w:tr>
      <w:tr>
        <w:tblPrEx>
          <w:tblBorders>
            <w:top w:val="none" w:color="000000" w:sz="0" w:space="0"/>
            <w:left w:val="none" w:color="000000" w:sz="0" w:space="0"/>
            <w:bottom w:val="none" w:color="000000" w:sz="0" w:space="0"/>
            <w:right w:val="none" w:color="000000" w:sz="0" w:space="0"/>
            <w:insideH w:val="single" w:color="auto" w:sz="4" w:space="0"/>
            <w:insideV w:val="none" w:color="000000" w:sz="0" w:space="0"/>
          </w:tblBorders>
          <w:tblCellMar>
            <w:top w:w="0" w:type="dxa"/>
            <w:left w:w="0" w:type="dxa"/>
            <w:bottom w:w="0" w:type="dxa"/>
            <w:right w:w="0" w:type="dxa"/>
          </w:tblCellMar>
        </w:tblPrEx>
        <w:trPr>
          <w:trHeight w:val="446" w:hRule="atLeast"/>
          <w:jc w:val="center"/>
        </w:trPr>
        <w:tc>
          <w:tcPr>
            <w:tcW w:w="2699"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Grade 4</w:t>
            </w:r>
          </w:p>
        </w:tc>
        <w:tc>
          <w:tcPr>
            <w:tcW w:w="6656"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Termination</w:t>
            </w:r>
          </w:p>
        </w:tc>
      </w:tr>
      <w:tr>
        <w:tblPrEx>
          <w:tblBorders>
            <w:top w:val="none" w:color="000000" w:sz="0" w:space="0"/>
            <w:left w:val="none" w:color="000000" w:sz="0" w:space="0"/>
            <w:bottom w:val="none" w:color="000000" w:sz="0" w:space="0"/>
            <w:right w:val="none" w:color="000000" w:sz="0" w:space="0"/>
            <w:insideH w:val="single" w:color="auto" w:sz="4" w:space="0"/>
            <w:insideV w:val="none" w:color="000000" w:sz="0" w:space="0"/>
          </w:tblBorders>
          <w:tblCellMar>
            <w:top w:w="0" w:type="dxa"/>
            <w:left w:w="0" w:type="dxa"/>
            <w:bottom w:w="0" w:type="dxa"/>
            <w:right w:w="0" w:type="dxa"/>
          </w:tblCellMar>
        </w:tblPrEx>
        <w:trPr>
          <w:trHeight w:val="479" w:hRule="atLeast"/>
          <w:jc w:val="center"/>
        </w:trPr>
        <w:tc>
          <w:tcPr>
            <w:tcW w:w="2699"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Hypothyroidism</w:t>
            </w:r>
          </w:p>
        </w:tc>
        <w:tc>
          <w:tcPr>
            <w:tcW w:w="6656"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The start of thyroid hormone replacement therapy</w:t>
            </w:r>
          </w:p>
        </w:tc>
      </w:tr>
      <w:tr>
        <w:tblPrEx>
          <w:tblBorders>
            <w:top w:val="none" w:color="000000" w:sz="0" w:space="0"/>
            <w:left w:val="none" w:color="000000" w:sz="0" w:space="0"/>
            <w:bottom w:val="none" w:color="000000" w:sz="0" w:space="0"/>
            <w:right w:val="none" w:color="000000" w:sz="0" w:space="0"/>
            <w:insideH w:val="single" w:color="auto" w:sz="4" w:space="0"/>
            <w:insideV w:val="none" w:color="000000" w:sz="0" w:space="0"/>
          </w:tblBorders>
          <w:tblCellMar>
            <w:top w:w="0" w:type="dxa"/>
            <w:left w:w="0" w:type="dxa"/>
            <w:bottom w:w="0" w:type="dxa"/>
            <w:right w:w="0" w:type="dxa"/>
          </w:tblCellMar>
        </w:tblPrEx>
        <w:trPr>
          <w:trHeight w:val="482" w:hRule="atLeast"/>
          <w:jc w:val="center"/>
        </w:trPr>
        <w:tc>
          <w:tcPr>
            <w:tcW w:w="9355"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Pneumonia</w:t>
            </w:r>
          </w:p>
        </w:tc>
      </w:tr>
      <w:tr>
        <w:tblPrEx>
          <w:tblBorders>
            <w:top w:val="none" w:color="000000" w:sz="0" w:space="0"/>
            <w:left w:val="none" w:color="000000" w:sz="0" w:space="0"/>
            <w:bottom w:val="none" w:color="000000" w:sz="0" w:space="0"/>
            <w:right w:val="none" w:color="000000" w:sz="0" w:space="0"/>
            <w:insideH w:val="single" w:color="auto" w:sz="4" w:space="0"/>
            <w:insideV w:val="none" w:color="000000" w:sz="0" w:space="0"/>
          </w:tblBorders>
          <w:tblCellMar>
            <w:top w:w="0" w:type="dxa"/>
            <w:left w:w="0" w:type="dxa"/>
            <w:bottom w:w="0" w:type="dxa"/>
            <w:right w:w="0" w:type="dxa"/>
          </w:tblCellMar>
        </w:tblPrEx>
        <w:trPr>
          <w:trHeight w:val="753" w:hRule="atLeast"/>
          <w:jc w:val="center"/>
        </w:trPr>
        <w:tc>
          <w:tcPr>
            <w:tcW w:w="2699"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Grade 2</w:t>
            </w:r>
            <w:r>
              <w:rPr>
                <w:rFonts w:hint="default" w:ascii="Times New Roman Regular" w:hAnsi="Times New Roman Regular" w:eastAsia="宋体" w:cs="Times New Roman Regular"/>
                <w:sz w:val="20"/>
                <w:szCs w:val="20"/>
                <w:lang w:eastAsia="zh-CN"/>
              </w:rPr>
              <w:t xml:space="preserve">   </w:t>
            </w:r>
          </w:p>
        </w:tc>
        <w:tc>
          <w:tcPr>
            <w:tcW w:w="6656"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Recovery to grade 0-1 and corticosteroid reduced to less of</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prednisone 10</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mg or its equivalent</w:t>
            </w:r>
          </w:p>
        </w:tc>
      </w:tr>
      <w:tr>
        <w:tblPrEx>
          <w:tblBorders>
            <w:top w:val="none" w:color="000000" w:sz="0" w:space="0"/>
            <w:left w:val="none" w:color="000000" w:sz="0" w:space="0"/>
            <w:bottom w:val="none" w:color="000000" w:sz="0" w:space="0"/>
            <w:right w:val="none" w:color="000000" w:sz="0" w:space="0"/>
            <w:insideH w:val="single" w:color="auto" w:sz="4" w:space="0"/>
            <w:insideV w:val="none" w:color="000000" w:sz="0" w:space="0"/>
          </w:tblBorders>
          <w:tblCellMar>
            <w:top w:w="0" w:type="dxa"/>
            <w:left w:w="0" w:type="dxa"/>
            <w:bottom w:w="0" w:type="dxa"/>
            <w:right w:w="0" w:type="dxa"/>
          </w:tblCellMar>
        </w:tblPrEx>
        <w:trPr>
          <w:trHeight w:val="446" w:hRule="atLeast"/>
          <w:jc w:val="center"/>
        </w:trPr>
        <w:tc>
          <w:tcPr>
            <w:tcW w:w="2699"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Grade 3/4</w:t>
            </w:r>
            <w:r>
              <w:rPr>
                <w:rFonts w:hint="default" w:ascii="Times New Roman Regular" w:hAnsi="Times New Roman Regular" w:eastAsia="宋体" w:cs="Times New Roman Regular"/>
                <w:sz w:val="20"/>
                <w:szCs w:val="20"/>
                <w:lang w:eastAsia="zh-CN"/>
              </w:rPr>
              <w:t xml:space="preserve">   </w:t>
            </w:r>
          </w:p>
        </w:tc>
        <w:tc>
          <w:tcPr>
            <w:tcW w:w="6656"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Termination</w:t>
            </w:r>
          </w:p>
        </w:tc>
      </w:tr>
      <w:tr>
        <w:tblPrEx>
          <w:tblBorders>
            <w:top w:val="none" w:color="000000" w:sz="0" w:space="0"/>
            <w:left w:val="none" w:color="000000" w:sz="0" w:space="0"/>
            <w:bottom w:val="none" w:color="000000" w:sz="0" w:space="0"/>
            <w:right w:val="none" w:color="000000" w:sz="0" w:space="0"/>
            <w:insideH w:val="single" w:color="auto" w:sz="4" w:space="0"/>
            <w:insideV w:val="none" w:color="000000" w:sz="0" w:space="0"/>
          </w:tblBorders>
          <w:tblCellMar>
            <w:top w:w="0" w:type="dxa"/>
            <w:left w:w="0" w:type="dxa"/>
            <w:bottom w:w="0" w:type="dxa"/>
            <w:right w:w="0" w:type="dxa"/>
          </w:tblCellMar>
        </w:tblPrEx>
        <w:trPr>
          <w:trHeight w:val="482" w:hRule="atLeast"/>
          <w:jc w:val="center"/>
        </w:trPr>
        <w:tc>
          <w:tcPr>
            <w:tcW w:w="9355"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hypophysis</w:t>
            </w:r>
          </w:p>
        </w:tc>
      </w:tr>
      <w:tr>
        <w:tblPrEx>
          <w:tblBorders>
            <w:top w:val="none" w:color="000000" w:sz="0" w:space="0"/>
            <w:left w:val="none" w:color="000000" w:sz="0" w:space="0"/>
            <w:bottom w:val="none" w:color="000000" w:sz="0" w:space="0"/>
            <w:right w:val="none" w:color="000000" w:sz="0" w:space="0"/>
            <w:insideH w:val="single" w:color="auto" w:sz="4" w:space="0"/>
            <w:insideV w:val="none" w:color="000000" w:sz="0" w:space="0"/>
          </w:tblBorders>
          <w:tblCellMar>
            <w:top w:w="0" w:type="dxa"/>
            <w:left w:w="0" w:type="dxa"/>
            <w:bottom w:w="0" w:type="dxa"/>
            <w:right w:w="0" w:type="dxa"/>
          </w:tblCellMar>
        </w:tblPrEx>
        <w:trPr>
          <w:trHeight w:val="755" w:hRule="atLeast"/>
          <w:jc w:val="center"/>
        </w:trPr>
        <w:tc>
          <w:tcPr>
            <w:tcW w:w="2699"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Grade 2/3</w:t>
            </w:r>
          </w:p>
        </w:tc>
        <w:tc>
          <w:tcPr>
            <w:tcW w:w="6656"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Recovery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 xml:space="preserve">grade </w:t>
            </w:r>
            <w:r>
              <w:rPr>
                <w:rFonts w:hint="default" w:ascii="Times New Roman Regular" w:hAnsi="Times New Roman Regular" w:eastAsia="宋体" w:cs="Times New Roman Regular"/>
                <w:sz w:val="20"/>
                <w:szCs w:val="20"/>
                <w:lang w:val="en-US" w:eastAsia="zh-CN"/>
              </w:rPr>
              <w:t xml:space="preserve">0-1 and the start of endocrine </w:t>
            </w:r>
            <w:r>
              <w:rPr>
                <w:rFonts w:hint="default" w:ascii="Times New Roman Regular" w:hAnsi="Times New Roman Regular" w:cs="Times New Roman Regular"/>
                <w:sz w:val="20"/>
                <w:szCs w:val="20"/>
              </w:rPr>
              <w:t>replacement therapy</w:t>
            </w:r>
          </w:p>
        </w:tc>
      </w:tr>
      <w:tr>
        <w:tblPrEx>
          <w:tblBorders>
            <w:top w:val="none" w:color="000000" w:sz="0" w:space="0"/>
            <w:left w:val="none" w:color="000000" w:sz="0" w:space="0"/>
            <w:bottom w:val="none" w:color="000000" w:sz="0" w:space="0"/>
            <w:right w:val="none" w:color="000000" w:sz="0" w:space="0"/>
            <w:insideH w:val="single" w:color="auto" w:sz="4" w:space="0"/>
            <w:insideV w:val="none" w:color="000000" w:sz="0" w:space="0"/>
          </w:tblBorders>
          <w:tblCellMar>
            <w:top w:w="0" w:type="dxa"/>
            <w:left w:w="0" w:type="dxa"/>
            <w:bottom w:w="0" w:type="dxa"/>
            <w:right w:w="0" w:type="dxa"/>
          </w:tblCellMar>
        </w:tblPrEx>
        <w:trPr>
          <w:trHeight w:val="451" w:hRule="atLeast"/>
          <w:jc w:val="center"/>
        </w:trPr>
        <w:tc>
          <w:tcPr>
            <w:tcW w:w="2699"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Grade 4</w:t>
            </w:r>
          </w:p>
        </w:tc>
        <w:tc>
          <w:tcPr>
            <w:tcW w:w="6656"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Termination</w:t>
            </w:r>
          </w:p>
        </w:tc>
      </w:tr>
      <w:tr>
        <w:tblPrEx>
          <w:tblBorders>
            <w:top w:val="none" w:color="000000" w:sz="0" w:space="0"/>
            <w:left w:val="none" w:color="000000" w:sz="0" w:space="0"/>
            <w:bottom w:val="none" w:color="000000" w:sz="0" w:space="0"/>
            <w:right w:val="none" w:color="000000" w:sz="0" w:space="0"/>
            <w:insideH w:val="single" w:color="auto" w:sz="4" w:space="0"/>
            <w:insideV w:val="none" w:color="000000" w:sz="0" w:space="0"/>
          </w:tblBorders>
          <w:tblCellMar>
            <w:top w:w="0" w:type="dxa"/>
            <w:left w:w="0" w:type="dxa"/>
            <w:bottom w:w="0" w:type="dxa"/>
            <w:right w:w="0" w:type="dxa"/>
          </w:tblCellMar>
        </w:tblPrEx>
        <w:trPr>
          <w:trHeight w:val="451" w:hRule="atLeast"/>
          <w:jc w:val="center"/>
        </w:trPr>
        <w:tc>
          <w:tcPr>
            <w:tcW w:w="2699"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Newly</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diagnosed</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type</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I diabetes</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or</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grade</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3/4</w:t>
            </w:r>
          </w:p>
        </w:tc>
        <w:tc>
          <w:tcPr>
            <w:tcW w:w="6656"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Clinical and metabolic stabilization</w:t>
            </w:r>
          </w:p>
        </w:tc>
      </w:tr>
      <w:tr>
        <w:tblPrEx>
          <w:tblBorders>
            <w:top w:val="none" w:color="000000" w:sz="0" w:space="0"/>
            <w:left w:val="none" w:color="000000" w:sz="0" w:space="0"/>
            <w:bottom w:val="none" w:color="000000" w:sz="0" w:space="0"/>
            <w:right w:val="none" w:color="000000" w:sz="0" w:space="0"/>
            <w:insideH w:val="single" w:color="auto" w:sz="4" w:space="0"/>
            <w:insideV w:val="none" w:color="000000" w:sz="0" w:space="0"/>
          </w:tblBorders>
          <w:tblCellMar>
            <w:top w:w="0" w:type="dxa"/>
            <w:left w:w="0" w:type="dxa"/>
            <w:bottom w:w="0" w:type="dxa"/>
            <w:right w:w="0" w:type="dxa"/>
          </w:tblCellMar>
        </w:tblPrEx>
        <w:trPr>
          <w:trHeight w:val="451" w:hRule="atLeast"/>
          <w:jc w:val="center"/>
        </w:trPr>
        <w:tc>
          <w:tcPr>
            <w:tcW w:w="2699"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eastAsia="宋体" w:cs="Times New Roman Regular"/>
                <w:sz w:val="20"/>
                <w:szCs w:val="20"/>
                <w:lang w:val="en-US" w:eastAsia="zh-CN"/>
              </w:rPr>
            </w:pPr>
            <w:r>
              <w:rPr>
                <w:rFonts w:hint="default" w:ascii="Times New Roman Regular" w:hAnsi="Times New Roman Regular" w:eastAsia="宋体" w:cs="Times New Roman Regular"/>
                <w:sz w:val="20"/>
                <w:szCs w:val="20"/>
                <w:lang w:val="en-US" w:eastAsia="zh-CN"/>
              </w:rPr>
              <w:t>Hyperglycemia withβ-cell failure</w:t>
            </w:r>
          </w:p>
        </w:tc>
        <w:tc>
          <w:tcPr>
            <w:tcW w:w="6656"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p>
        </w:tc>
      </w:tr>
      <w:tr>
        <w:tblPrEx>
          <w:tblBorders>
            <w:top w:val="none" w:color="000000" w:sz="0" w:space="0"/>
            <w:left w:val="none" w:color="000000" w:sz="0" w:space="0"/>
            <w:bottom w:val="none" w:color="000000" w:sz="0" w:space="0"/>
            <w:right w:val="none" w:color="000000" w:sz="0" w:space="0"/>
            <w:insideH w:val="single" w:color="auto" w:sz="4" w:space="0"/>
            <w:insideV w:val="none" w:color="000000" w:sz="0" w:space="0"/>
          </w:tblBorders>
          <w:tblCellMar>
            <w:top w:w="0" w:type="dxa"/>
            <w:left w:w="0" w:type="dxa"/>
            <w:bottom w:w="0" w:type="dxa"/>
            <w:right w:w="0" w:type="dxa"/>
          </w:tblCellMar>
        </w:tblPrEx>
        <w:trPr>
          <w:trHeight w:val="451" w:hRule="atLeast"/>
          <w:jc w:val="center"/>
        </w:trPr>
        <w:tc>
          <w:tcPr>
            <w:tcW w:w="2699"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eastAsia="Arial" w:cs="Times New Roman Regular"/>
                <w:snapToGrid w:val="0"/>
                <w:color w:val="000000"/>
                <w:kern w:val="0"/>
                <w:sz w:val="20"/>
                <w:szCs w:val="20"/>
                <w:lang w:val="en-US" w:eastAsia="zh-CN" w:bidi="ar-SA"/>
              </w:rPr>
            </w:pPr>
            <w:r>
              <w:rPr>
                <w:rFonts w:hint="default" w:ascii="Times New Roman Regular" w:hAnsi="Times New Roman Regular" w:cs="Times New Roman Regular"/>
                <w:sz w:val="20"/>
                <w:szCs w:val="20"/>
              </w:rPr>
              <w:t>Renal failure or nephritis</w:t>
            </w:r>
          </w:p>
        </w:tc>
        <w:tc>
          <w:tcPr>
            <w:tcW w:w="6656"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p>
        </w:tc>
      </w:tr>
      <w:tr>
        <w:tblPrEx>
          <w:tblBorders>
            <w:top w:val="none" w:color="000000" w:sz="0" w:space="0"/>
            <w:left w:val="none" w:color="000000" w:sz="0" w:space="0"/>
            <w:bottom w:val="none" w:color="000000" w:sz="0" w:space="0"/>
            <w:right w:val="none" w:color="000000" w:sz="0" w:space="0"/>
            <w:insideH w:val="single" w:color="auto" w:sz="4" w:space="0"/>
            <w:insideV w:val="none" w:color="000000" w:sz="0" w:space="0"/>
          </w:tblBorders>
          <w:tblCellMar>
            <w:top w:w="0" w:type="dxa"/>
            <w:left w:w="0" w:type="dxa"/>
            <w:bottom w:w="0" w:type="dxa"/>
            <w:right w:w="0" w:type="dxa"/>
          </w:tblCellMar>
        </w:tblPrEx>
        <w:trPr>
          <w:trHeight w:val="451" w:hRule="atLeast"/>
          <w:jc w:val="center"/>
        </w:trPr>
        <w:tc>
          <w:tcPr>
            <w:tcW w:w="2699" w:type="dxa"/>
            <w:tcBorders>
              <w:bottom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eastAsia="Arial" w:cs="Times New Roman Regular"/>
                <w:snapToGrid w:val="0"/>
                <w:color w:val="000000"/>
                <w:kern w:val="0"/>
                <w:sz w:val="20"/>
                <w:szCs w:val="20"/>
                <w:lang w:val="en-US" w:eastAsia="zh-CN" w:bidi="ar-SA"/>
              </w:rPr>
            </w:pPr>
            <w:r>
              <w:rPr>
                <w:rFonts w:hint="default" w:ascii="Times New Roman Regular" w:hAnsi="Times New Roman Regular" w:cs="Times New Roman Regular"/>
                <w:sz w:val="20"/>
                <w:szCs w:val="20"/>
              </w:rPr>
              <w:t>Grade 2</w:t>
            </w:r>
          </w:p>
        </w:tc>
        <w:tc>
          <w:tcPr>
            <w:tcW w:w="6656" w:type="dxa"/>
            <w:tcBorders>
              <w:bottom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eastAsia="Arial" w:cs="Times New Roman Regular"/>
                <w:snapToGrid w:val="0"/>
                <w:color w:val="000000"/>
                <w:kern w:val="0"/>
                <w:sz w:val="20"/>
                <w:szCs w:val="20"/>
                <w:lang w:val="en-US" w:eastAsia="en-US" w:bidi="ar-SA"/>
              </w:rPr>
            </w:pPr>
            <w:r>
              <w:rPr>
                <w:rFonts w:hint="default" w:ascii="Times New Roman Regular" w:hAnsi="Times New Roman Regular" w:cs="Times New Roman Regular"/>
                <w:sz w:val="20"/>
                <w:szCs w:val="20"/>
              </w:rPr>
              <w:t>Recovery to grade 0-1 and corticosteroid reduced to less of prednisone 10 mg or its equivalent</w:t>
            </w:r>
          </w:p>
        </w:tc>
      </w:tr>
      <w:tr>
        <w:tblPrEx>
          <w:tblBorders>
            <w:top w:val="none" w:color="000000" w:sz="0" w:space="0"/>
            <w:left w:val="none" w:color="000000" w:sz="0" w:space="0"/>
            <w:bottom w:val="none" w:color="000000" w:sz="0" w:space="0"/>
            <w:right w:val="none" w:color="000000" w:sz="0" w:space="0"/>
            <w:insideH w:val="single" w:color="auto" w:sz="4" w:space="0"/>
            <w:insideV w:val="none" w:color="000000" w:sz="0" w:space="0"/>
          </w:tblBorders>
          <w:tblCellMar>
            <w:top w:w="0" w:type="dxa"/>
            <w:left w:w="0" w:type="dxa"/>
            <w:bottom w:w="0" w:type="dxa"/>
            <w:right w:w="0" w:type="dxa"/>
          </w:tblCellMar>
        </w:tblPrEx>
        <w:trPr>
          <w:trHeight w:val="451" w:hRule="atLeast"/>
          <w:jc w:val="center"/>
        </w:trPr>
        <w:tc>
          <w:tcPr>
            <w:tcW w:w="2699" w:type="dxa"/>
            <w:tcBorders>
              <w:top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eastAsia="Arial" w:cs="Times New Roman Regular"/>
                <w:snapToGrid w:val="0"/>
                <w:color w:val="000000"/>
                <w:kern w:val="0"/>
                <w:sz w:val="20"/>
                <w:szCs w:val="20"/>
                <w:lang w:val="en-US" w:eastAsia="zh-CN" w:bidi="ar-SA"/>
              </w:rPr>
            </w:pPr>
            <w:r>
              <w:rPr>
                <w:rFonts w:hint="default" w:ascii="Times New Roman Regular" w:hAnsi="Times New Roman Regular" w:cs="Times New Roman Regular"/>
                <w:sz w:val="20"/>
                <w:szCs w:val="20"/>
              </w:rPr>
              <w:t>Grade 3/4</w:t>
            </w:r>
          </w:p>
        </w:tc>
        <w:tc>
          <w:tcPr>
            <w:tcW w:w="6656" w:type="dxa"/>
            <w:tcBorders>
              <w:top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eastAsia="Arial" w:cs="Times New Roman Regular"/>
                <w:snapToGrid w:val="0"/>
                <w:color w:val="000000"/>
                <w:kern w:val="0"/>
                <w:sz w:val="20"/>
                <w:szCs w:val="20"/>
                <w:lang w:val="en-US" w:eastAsia="en-US" w:bidi="ar-SA"/>
              </w:rPr>
            </w:pPr>
            <w:r>
              <w:rPr>
                <w:rFonts w:hint="default" w:ascii="Times New Roman Regular" w:hAnsi="Times New Roman Regular" w:cs="Times New Roman Regular"/>
                <w:sz w:val="20"/>
                <w:szCs w:val="20"/>
              </w:rPr>
              <w:t>Termination</w:t>
            </w:r>
          </w:p>
        </w:tc>
      </w:tr>
      <w:tr>
        <w:tblPrEx>
          <w:tblBorders>
            <w:top w:val="none" w:color="000000" w:sz="0" w:space="0"/>
            <w:left w:val="none" w:color="000000" w:sz="0" w:space="0"/>
            <w:bottom w:val="none" w:color="000000" w:sz="0" w:space="0"/>
            <w:right w:val="none" w:color="000000" w:sz="0" w:space="0"/>
            <w:insideH w:val="single" w:color="auto" w:sz="4" w:space="0"/>
            <w:insideV w:val="none" w:color="000000" w:sz="0" w:space="0"/>
          </w:tblBorders>
          <w:tblCellMar>
            <w:top w:w="0" w:type="dxa"/>
            <w:left w:w="0" w:type="dxa"/>
            <w:bottom w:w="0" w:type="dxa"/>
            <w:right w:w="0" w:type="dxa"/>
          </w:tblCellMar>
        </w:tblPrEx>
        <w:trPr>
          <w:trHeight w:val="451" w:hRule="atLeast"/>
          <w:jc w:val="center"/>
        </w:trPr>
        <w:tc>
          <w:tcPr>
            <w:tcW w:w="2699"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eastAsia="Arial" w:cs="Times New Roman Regular"/>
                <w:snapToGrid w:val="0"/>
                <w:color w:val="000000"/>
                <w:kern w:val="0"/>
                <w:sz w:val="20"/>
                <w:szCs w:val="20"/>
                <w:lang w:val="en-US" w:eastAsia="zh-CN" w:bidi="ar-SA"/>
              </w:rPr>
            </w:pPr>
            <w:r>
              <w:rPr>
                <w:rFonts w:hint="default" w:ascii="Times New Roman Regular" w:hAnsi="Times New Roman Regular" w:cs="Times New Roman Regular"/>
                <w:sz w:val="20"/>
                <w:szCs w:val="20"/>
              </w:rPr>
              <w:t>Transfusion reaction</w:t>
            </w:r>
          </w:p>
        </w:tc>
        <w:tc>
          <w:tcPr>
            <w:tcW w:w="6656"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p>
        </w:tc>
      </w:tr>
      <w:tr>
        <w:tblPrEx>
          <w:tblBorders>
            <w:top w:val="none" w:color="000000" w:sz="0" w:space="0"/>
            <w:left w:val="none" w:color="000000" w:sz="0" w:space="0"/>
            <w:bottom w:val="none" w:color="000000" w:sz="0" w:space="0"/>
            <w:right w:val="none" w:color="000000" w:sz="0" w:space="0"/>
            <w:insideH w:val="single" w:color="auto" w:sz="4" w:space="0"/>
            <w:insideV w:val="none" w:color="000000" w:sz="0" w:space="0"/>
          </w:tblBorders>
          <w:tblCellMar>
            <w:top w:w="0" w:type="dxa"/>
            <w:left w:w="0" w:type="dxa"/>
            <w:bottom w:w="0" w:type="dxa"/>
            <w:right w:w="0" w:type="dxa"/>
          </w:tblCellMar>
        </w:tblPrEx>
        <w:trPr>
          <w:trHeight w:val="451" w:hRule="atLeast"/>
          <w:jc w:val="center"/>
        </w:trPr>
        <w:tc>
          <w:tcPr>
            <w:tcW w:w="2699"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eastAsia="Arial" w:cs="Times New Roman Regular"/>
                <w:snapToGrid w:val="0"/>
                <w:color w:val="000000"/>
                <w:kern w:val="0"/>
                <w:sz w:val="20"/>
                <w:szCs w:val="20"/>
                <w:lang w:val="en-US" w:eastAsia="zh-CN" w:bidi="ar-SA"/>
              </w:rPr>
            </w:pPr>
            <w:r>
              <w:rPr>
                <w:rFonts w:hint="default" w:ascii="Times New Roman Regular" w:hAnsi="Times New Roman Regular" w:cs="Times New Roman Regular"/>
                <w:sz w:val="20"/>
                <w:szCs w:val="20"/>
              </w:rPr>
              <w:t>Grade 2</w:t>
            </w:r>
          </w:p>
        </w:tc>
        <w:tc>
          <w:tcPr>
            <w:tcW w:w="6656"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eastAsia="Arial" w:cs="Times New Roman Regular"/>
                <w:snapToGrid w:val="0"/>
                <w:color w:val="000000"/>
                <w:kern w:val="0"/>
                <w:sz w:val="20"/>
                <w:szCs w:val="20"/>
                <w:lang w:val="en-US" w:eastAsia="en-US" w:bidi="ar-SA"/>
              </w:rPr>
            </w:pPr>
            <w:r>
              <w:rPr>
                <w:rFonts w:hint="default" w:ascii="Times New Roman Regular" w:hAnsi="Times New Roman Regular" w:cs="Times New Roman Regular"/>
                <w:sz w:val="20"/>
                <w:szCs w:val="20"/>
              </w:rPr>
              <w:t>Disappearance of symptoms</w:t>
            </w:r>
          </w:p>
        </w:tc>
      </w:tr>
      <w:tr>
        <w:tblPrEx>
          <w:tblBorders>
            <w:top w:val="none" w:color="000000" w:sz="0" w:space="0"/>
            <w:left w:val="none" w:color="000000" w:sz="0" w:space="0"/>
            <w:bottom w:val="none" w:color="000000" w:sz="0" w:space="0"/>
            <w:right w:val="none" w:color="000000" w:sz="0" w:space="0"/>
            <w:insideH w:val="single" w:color="auto" w:sz="4" w:space="0"/>
            <w:insideV w:val="none" w:color="000000" w:sz="0" w:space="0"/>
          </w:tblBorders>
          <w:tblCellMar>
            <w:top w:w="0" w:type="dxa"/>
            <w:left w:w="0" w:type="dxa"/>
            <w:bottom w:w="0" w:type="dxa"/>
            <w:right w:w="0" w:type="dxa"/>
          </w:tblCellMar>
        </w:tblPrEx>
        <w:trPr>
          <w:trHeight w:val="451" w:hRule="atLeast"/>
          <w:jc w:val="center"/>
        </w:trPr>
        <w:tc>
          <w:tcPr>
            <w:tcW w:w="2699"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eastAsia="Arial" w:cs="Times New Roman Regular"/>
                <w:snapToGrid w:val="0"/>
                <w:color w:val="000000"/>
                <w:kern w:val="0"/>
                <w:sz w:val="20"/>
                <w:szCs w:val="20"/>
                <w:lang w:val="en-US" w:eastAsia="zh-CN" w:bidi="ar-SA"/>
              </w:rPr>
            </w:pPr>
            <w:r>
              <w:rPr>
                <w:rFonts w:hint="default" w:ascii="Times New Roman Regular" w:hAnsi="Times New Roman Regular" w:cs="Times New Roman Regular"/>
                <w:sz w:val="20"/>
                <w:szCs w:val="20"/>
              </w:rPr>
              <w:t>Grade 3/4</w:t>
            </w:r>
          </w:p>
        </w:tc>
        <w:tc>
          <w:tcPr>
            <w:tcW w:w="6656"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eastAsia="Arial" w:cs="Times New Roman Regular"/>
                <w:snapToGrid w:val="0"/>
                <w:color w:val="000000"/>
                <w:kern w:val="0"/>
                <w:sz w:val="20"/>
                <w:szCs w:val="20"/>
                <w:lang w:val="en-US" w:eastAsia="en-US" w:bidi="ar-SA"/>
              </w:rPr>
            </w:pPr>
            <w:r>
              <w:rPr>
                <w:rFonts w:hint="default" w:ascii="Times New Roman Regular" w:hAnsi="Times New Roman Regular" w:cs="Times New Roman Regular"/>
                <w:sz w:val="20"/>
                <w:szCs w:val="20"/>
              </w:rPr>
              <w:t>Termination</w:t>
            </w:r>
          </w:p>
        </w:tc>
      </w:tr>
      <w:tr>
        <w:tblPrEx>
          <w:tblBorders>
            <w:top w:val="none" w:color="000000" w:sz="0" w:space="0"/>
            <w:left w:val="none" w:color="000000" w:sz="0" w:space="0"/>
            <w:bottom w:val="none" w:color="000000" w:sz="0" w:space="0"/>
            <w:right w:val="none" w:color="000000" w:sz="0" w:space="0"/>
            <w:insideH w:val="single" w:color="auto" w:sz="4" w:space="0"/>
            <w:insideV w:val="none" w:color="000000" w:sz="0" w:space="0"/>
          </w:tblBorders>
          <w:tblCellMar>
            <w:top w:w="0" w:type="dxa"/>
            <w:left w:w="0" w:type="dxa"/>
            <w:bottom w:w="0" w:type="dxa"/>
            <w:right w:w="0" w:type="dxa"/>
          </w:tblCellMar>
        </w:tblPrEx>
        <w:trPr>
          <w:trHeight w:val="451" w:hRule="atLeast"/>
          <w:jc w:val="center"/>
        </w:trPr>
        <w:tc>
          <w:tcPr>
            <w:tcW w:w="2699"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eastAsia="Arial" w:cs="Times New Roman Regular"/>
                <w:snapToGrid w:val="0"/>
                <w:color w:val="000000"/>
                <w:kern w:val="0"/>
                <w:sz w:val="20"/>
                <w:szCs w:val="20"/>
                <w:lang w:val="en-US" w:eastAsia="zh-CN" w:bidi="ar-SA"/>
              </w:rPr>
            </w:pPr>
            <w:r>
              <w:rPr>
                <w:rFonts w:hint="default" w:ascii="Times New Roman Regular" w:hAnsi="Times New Roman Regular" w:cs="Times New Roman Regular"/>
                <w:sz w:val="20"/>
                <w:szCs w:val="20"/>
              </w:rPr>
              <w:t>Other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related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toripalimab</w:t>
            </w:r>
          </w:p>
        </w:tc>
        <w:tc>
          <w:tcPr>
            <w:tcW w:w="6656"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eastAsia="Arial" w:cs="Times New Roman Regular"/>
                <w:snapToGrid w:val="0"/>
                <w:color w:val="000000"/>
                <w:kern w:val="0"/>
                <w:sz w:val="20"/>
                <w:szCs w:val="20"/>
                <w:lang w:val="en-US" w:eastAsia="en-US" w:bidi="ar-SA"/>
              </w:rPr>
            </w:pPr>
          </w:p>
        </w:tc>
      </w:tr>
      <w:tr>
        <w:tblPrEx>
          <w:tblBorders>
            <w:top w:val="none" w:color="000000" w:sz="0" w:space="0"/>
            <w:left w:val="none" w:color="000000" w:sz="0" w:space="0"/>
            <w:bottom w:val="none" w:color="000000" w:sz="0" w:space="0"/>
            <w:right w:val="none" w:color="000000" w:sz="0" w:space="0"/>
            <w:insideH w:val="single" w:color="auto" w:sz="4" w:space="0"/>
            <w:insideV w:val="none" w:color="000000" w:sz="0" w:space="0"/>
          </w:tblBorders>
          <w:tblCellMar>
            <w:top w:w="0" w:type="dxa"/>
            <w:left w:w="0" w:type="dxa"/>
            <w:bottom w:w="0" w:type="dxa"/>
            <w:right w:w="0" w:type="dxa"/>
          </w:tblCellMar>
        </w:tblPrEx>
        <w:trPr>
          <w:trHeight w:val="451" w:hRule="atLeast"/>
          <w:jc w:val="center"/>
        </w:trPr>
        <w:tc>
          <w:tcPr>
            <w:tcW w:w="2699"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eastAsia="Arial" w:cs="Times New Roman Regular"/>
                <w:snapToGrid w:val="0"/>
                <w:color w:val="000000"/>
                <w:kern w:val="0"/>
                <w:sz w:val="20"/>
                <w:szCs w:val="20"/>
                <w:lang w:val="en-US" w:eastAsia="zh-CN" w:bidi="ar-SA"/>
              </w:rPr>
            </w:pPr>
            <w:r>
              <w:rPr>
                <w:rFonts w:hint="default" w:ascii="Times New Roman Regular" w:hAnsi="Times New Roman Regular" w:cs="Times New Roman Regular"/>
                <w:sz w:val="20"/>
                <w:szCs w:val="20"/>
              </w:rPr>
              <w:t>Grade 3</w:t>
            </w:r>
          </w:p>
        </w:tc>
        <w:tc>
          <w:tcPr>
            <w:tcW w:w="6656"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eastAsia="Arial" w:cs="Times New Roman Regular"/>
                <w:snapToGrid w:val="0"/>
                <w:color w:val="000000"/>
                <w:kern w:val="0"/>
                <w:sz w:val="20"/>
                <w:szCs w:val="20"/>
                <w:lang w:val="en-US" w:eastAsia="en-US" w:bidi="ar-SA"/>
              </w:rPr>
            </w:pPr>
            <w:r>
              <w:rPr>
                <w:rFonts w:hint="default" w:ascii="Times New Roman Regular" w:hAnsi="Times New Roman Regular" w:cs="Times New Roman Regular"/>
                <w:sz w:val="20"/>
                <w:szCs w:val="20"/>
              </w:rPr>
              <w:t>Recovery to grade 0-1 and corticosteroid reduced to less of prednisone 10 mg or its equivalent</w:t>
            </w:r>
          </w:p>
        </w:tc>
      </w:tr>
      <w:tr>
        <w:tblPrEx>
          <w:tblBorders>
            <w:top w:val="none" w:color="000000" w:sz="0" w:space="0"/>
            <w:left w:val="none" w:color="000000" w:sz="0" w:space="0"/>
            <w:bottom w:val="none" w:color="000000" w:sz="0" w:space="0"/>
            <w:right w:val="none" w:color="000000" w:sz="0" w:space="0"/>
            <w:insideH w:val="single" w:color="auto" w:sz="4" w:space="0"/>
            <w:insideV w:val="none" w:color="000000" w:sz="0" w:space="0"/>
          </w:tblBorders>
          <w:tblCellMar>
            <w:top w:w="0" w:type="dxa"/>
            <w:left w:w="0" w:type="dxa"/>
            <w:bottom w:w="0" w:type="dxa"/>
            <w:right w:w="0" w:type="dxa"/>
          </w:tblCellMar>
        </w:tblPrEx>
        <w:trPr>
          <w:trHeight w:val="451" w:hRule="atLeast"/>
          <w:jc w:val="center"/>
        </w:trPr>
        <w:tc>
          <w:tcPr>
            <w:tcW w:w="2699"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eastAsia="Arial" w:cs="Times New Roman Regular"/>
                <w:snapToGrid w:val="0"/>
                <w:color w:val="000000"/>
                <w:kern w:val="0"/>
                <w:sz w:val="20"/>
                <w:szCs w:val="20"/>
                <w:lang w:val="en-US" w:eastAsia="zh-CN" w:bidi="ar-SA"/>
              </w:rPr>
            </w:pPr>
            <w:r>
              <w:rPr>
                <w:rFonts w:hint="default" w:ascii="Times New Roman Regular" w:hAnsi="Times New Roman Regular" w:cs="Times New Roman Regular"/>
                <w:sz w:val="20"/>
                <w:szCs w:val="20"/>
              </w:rPr>
              <w:t>Grade 4</w:t>
            </w:r>
          </w:p>
        </w:tc>
        <w:tc>
          <w:tcPr>
            <w:tcW w:w="6656"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eastAsia="Arial" w:cs="Times New Roman Regular"/>
                <w:snapToGrid w:val="0"/>
                <w:color w:val="000000"/>
                <w:kern w:val="0"/>
                <w:sz w:val="20"/>
                <w:szCs w:val="20"/>
                <w:lang w:val="en-US" w:eastAsia="en-US" w:bidi="ar-SA"/>
              </w:rPr>
            </w:pPr>
            <w:r>
              <w:rPr>
                <w:rFonts w:hint="default" w:ascii="Times New Roman Regular" w:hAnsi="Times New Roman Regular" w:cs="Times New Roman Regular"/>
                <w:sz w:val="20"/>
                <w:szCs w:val="20"/>
              </w:rPr>
              <w:t>Termination</w:t>
            </w:r>
          </w:p>
        </w:tc>
      </w:tr>
      <w:tr>
        <w:tblPrEx>
          <w:tblBorders>
            <w:top w:val="none" w:color="000000" w:sz="0" w:space="0"/>
            <w:left w:val="none" w:color="000000" w:sz="0" w:space="0"/>
            <w:bottom w:val="none" w:color="000000" w:sz="0" w:space="0"/>
            <w:right w:val="none" w:color="000000" w:sz="0" w:space="0"/>
            <w:insideH w:val="single" w:color="auto" w:sz="4" w:space="0"/>
            <w:insideV w:val="none" w:color="000000" w:sz="0" w:space="0"/>
          </w:tblBorders>
          <w:tblCellMar>
            <w:top w:w="0" w:type="dxa"/>
            <w:left w:w="0" w:type="dxa"/>
            <w:bottom w:w="0" w:type="dxa"/>
            <w:right w:w="0" w:type="dxa"/>
          </w:tblCellMar>
        </w:tblPrEx>
        <w:trPr>
          <w:trHeight w:val="451" w:hRule="atLeast"/>
          <w:jc w:val="center"/>
        </w:trPr>
        <w:tc>
          <w:tcPr>
            <w:tcW w:w="9355" w:type="dxa"/>
            <w:gridSpan w:val="2"/>
            <w:tcBorders>
              <w:bottom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Notes: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Regime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should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terminated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recurrence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grade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3</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any life-threatening event. For patients with liver metastasis and grade 2 elevation of AST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 ALT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at baseline,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regime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should be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terminated if AST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 ALT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is more than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50%</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 the baseline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lasts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for at least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1</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week. Toripalimab can be suspended or terminated by researchers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patients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with intolerable 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persistent grade 2 AE. If persistent grade 2 adverse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events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do</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not return to</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grade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0-1</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within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12</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weeks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last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administration, toripalimab should be terminated.</w:t>
            </w:r>
          </w:p>
        </w:tc>
      </w:tr>
    </w:tbl>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9"/>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2) Paclitaxel/</w:t>
      </w:r>
      <w:r>
        <w:rPr>
          <w:rFonts w:hint="default" w:ascii="Times New Roman Regular" w:hAnsi="Times New Roman Regular" w:eastAsia="宋体" w:cs="Times New Roman Regular"/>
          <w:sz w:val="20"/>
          <w:szCs w:val="20"/>
          <w:lang w:val="en-US" w:eastAsia="zh-CN"/>
        </w:rPr>
        <w:t>C</w:t>
      </w:r>
      <w:r>
        <w:rPr>
          <w:rFonts w:hint="default" w:ascii="Times New Roman Regular" w:hAnsi="Times New Roman Regular" w:cs="Times New Roman Regular"/>
          <w:sz w:val="20"/>
          <w:szCs w:val="20"/>
        </w:rPr>
        <w:t>arboplatin</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Highest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dose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 chemotherapy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given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adjusted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according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most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severe toxicity. Patient will continue to receive reduced dose chemotherapy once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dose is adjusted. The minimum dose should be selected if multiple toxicities occur. After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two</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times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adjustment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dose,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chemotherapy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must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terminated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if adjustment is necessary for the third time. Chemotherapy can only be delayed for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up to 2 weeks, otherwise it should be terminated.</w:t>
      </w:r>
    </w:p>
    <w:tbl>
      <w:tblPr>
        <w:tblStyle w:val="17"/>
        <w:tblW w:w="9239" w:type="dxa"/>
        <w:jc w:val="center"/>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3813"/>
        <w:gridCol w:w="2970"/>
        <w:gridCol w:w="2456"/>
      </w:tblGrid>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85" w:hRule="atLeast"/>
          <w:jc w:val="center"/>
        </w:trPr>
        <w:tc>
          <w:tcPr>
            <w:tcW w:w="3813"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AE</w:t>
            </w:r>
          </w:p>
        </w:tc>
        <w:tc>
          <w:tcPr>
            <w:tcW w:w="2970"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Paclitaxel</w:t>
            </w:r>
          </w:p>
        </w:tc>
        <w:tc>
          <w:tcPr>
            <w:tcW w:w="2456"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Cisplatin</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245" w:hRule="atLeast"/>
          <w:jc w:val="center"/>
        </w:trPr>
        <w:tc>
          <w:tcPr>
            <w:tcW w:w="3813" w:type="dxa"/>
            <w:tcBorders>
              <w:top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Febrile neutropenia</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Grade 4 neutropenia</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Grade 4 thrombocytopenia</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 xml:space="preserve">Grade </w:t>
            </w:r>
            <w:r>
              <w:rPr>
                <w:rFonts w:hint="default" w:ascii="Times New Roman Regular" w:hAnsi="Times New Roman Regular" w:eastAsia="宋体" w:cs="Times New Roman Regular"/>
                <w:sz w:val="20"/>
                <w:szCs w:val="20"/>
                <w:lang w:val="en-US" w:eastAsia="zh-CN"/>
              </w:rPr>
              <w:t>1</w:t>
            </w:r>
            <w:r>
              <w:rPr>
                <w:rFonts w:hint="default" w:ascii="Times New Roman Regular" w:hAnsi="Times New Roman Regular" w:cs="Times New Roman Regular"/>
                <w:sz w:val="20"/>
                <w:szCs w:val="20"/>
              </w:rPr>
              <w:t xml:space="preserve"> </w:t>
            </w:r>
            <w:r>
              <w:rPr>
                <w:rFonts w:hint="default" w:ascii="Times New Roman Regular" w:hAnsi="Times New Roman Regular" w:eastAsia="宋体" w:cs="Times New Roman Regular"/>
                <w:sz w:val="20"/>
                <w:szCs w:val="20"/>
                <w:lang w:val="en-US" w:eastAsia="zh-CN"/>
              </w:rPr>
              <w:t>renal toxicity</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Grade 2/3 peripheral nerve toxicity</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Grade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≥3 non-hematological toxicity</w:t>
            </w:r>
          </w:p>
        </w:tc>
        <w:tc>
          <w:tcPr>
            <w:tcW w:w="2970" w:type="dxa"/>
            <w:tcBorders>
              <w:top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20% reduction</w:t>
            </w:r>
          </w:p>
        </w:tc>
        <w:tc>
          <w:tcPr>
            <w:tcW w:w="2456" w:type="dxa"/>
            <w:tcBorders>
              <w:top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20% reduction</w:t>
            </w:r>
          </w:p>
        </w:tc>
      </w:tr>
      <w:tr>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038" w:hRule="atLeast"/>
          <w:jc w:val="center"/>
        </w:trPr>
        <w:tc>
          <w:tcPr>
            <w:tcW w:w="3813" w:type="dxa"/>
            <w:tcBorders>
              <w:top w:val="single" w:color="auto" w:sz="4"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Grade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≥2 renal toxicity</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Grade 4 peripheral nerve toxicity</w:t>
            </w:r>
          </w:p>
        </w:tc>
        <w:tc>
          <w:tcPr>
            <w:tcW w:w="2970" w:type="dxa"/>
            <w:tcBorders>
              <w:top w:val="single" w:color="auto" w:sz="4"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Termination</w:t>
            </w:r>
          </w:p>
        </w:tc>
        <w:tc>
          <w:tcPr>
            <w:tcW w:w="2456" w:type="dxa"/>
            <w:tcBorders>
              <w:top w:val="single" w:color="auto" w:sz="4"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Termination</w:t>
            </w:r>
          </w:p>
        </w:tc>
      </w:tr>
    </w:tbl>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Dose level of paclitaxel/</w:t>
      </w:r>
      <w:r>
        <w:rPr>
          <w:rFonts w:hint="default" w:ascii="Times New Roman Regular" w:hAnsi="Times New Roman Regular" w:eastAsia="宋体" w:cs="Times New Roman Regular"/>
          <w:sz w:val="20"/>
          <w:szCs w:val="20"/>
          <w:lang w:val="en-US" w:eastAsia="zh-CN"/>
        </w:rPr>
        <w:t>C</w:t>
      </w:r>
      <w:r>
        <w:rPr>
          <w:rFonts w:hint="default" w:ascii="Times New Roman Regular" w:hAnsi="Times New Roman Regular" w:cs="Times New Roman Regular"/>
          <w:sz w:val="20"/>
          <w:szCs w:val="20"/>
        </w:rPr>
        <w:t>arboplatin</w:t>
      </w:r>
    </w:p>
    <w:tbl>
      <w:tblPr>
        <w:tblStyle w:val="12"/>
        <w:tblW w:w="91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0"/>
        <w:gridCol w:w="2396"/>
        <w:gridCol w:w="2207"/>
        <w:gridCol w:w="2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AE</w:t>
            </w:r>
          </w:p>
        </w:tc>
        <w:tc>
          <w:tcPr>
            <w:tcW w:w="239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lang w:val="en-US" w:eastAsia="zh-CN"/>
              </w:rPr>
              <w:t>P</w:t>
            </w:r>
            <w:r>
              <w:rPr>
                <w:rFonts w:hint="default" w:ascii="Times New Roman Regular" w:hAnsi="Times New Roman Regular" w:cs="Times New Roman Regular"/>
                <w:sz w:val="20"/>
                <w:szCs w:val="20"/>
              </w:rPr>
              <w:t>aclitaxel</w:t>
            </w:r>
          </w:p>
        </w:tc>
        <w:tc>
          <w:tcPr>
            <w:tcW w:w="220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lang w:val="en-US" w:eastAsia="zh-CN"/>
              </w:rPr>
              <w:t>C</w:t>
            </w:r>
            <w:r>
              <w:rPr>
                <w:rFonts w:hint="default" w:ascii="Times New Roman Regular" w:hAnsi="Times New Roman Regular" w:cs="Times New Roman Regular"/>
                <w:sz w:val="20"/>
                <w:szCs w:val="20"/>
              </w:rPr>
              <w:t>arboplatin</w:t>
            </w:r>
          </w:p>
        </w:tc>
        <w:tc>
          <w:tcPr>
            <w:tcW w:w="2822"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Restart treatment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eastAsia="宋体" w:cs="Times New Roman Regular"/>
                <w:sz w:val="20"/>
                <w:szCs w:val="20"/>
                <w:lang w:val="en-US" w:eastAsia="zh-CN"/>
              </w:rPr>
              <w:t>F</w:t>
            </w:r>
            <w:r>
              <w:rPr>
                <w:rFonts w:hint="default" w:ascii="Times New Roman Regular" w:hAnsi="Times New Roman Regular" w:cs="Times New Roman Regular"/>
                <w:sz w:val="20"/>
                <w:szCs w:val="20"/>
              </w:rPr>
              <w:t>ebrile neutro</w:t>
            </w:r>
            <w:r>
              <w:rPr>
                <w:rFonts w:hint="default" w:ascii="Times New Roman Regular" w:hAnsi="Times New Roman Regular" w:eastAsia="宋体" w:cs="Times New Roman Regular"/>
                <w:sz w:val="20"/>
                <w:szCs w:val="20"/>
                <w:lang w:val="en-US" w:eastAsia="zh-CN"/>
              </w:rPr>
              <w:t>-</w:t>
            </w:r>
            <w:r>
              <w:rPr>
                <w:rFonts w:hint="default" w:ascii="Times New Roman Regular" w:hAnsi="Times New Roman Regular" w:cs="Times New Roman Regular"/>
                <w:sz w:val="20"/>
                <w:szCs w:val="20"/>
              </w:rPr>
              <w:t>enia</w:t>
            </w:r>
          </w:p>
        </w:tc>
        <w:tc>
          <w:tcPr>
            <w:tcW w:w="2396"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Two dose reductions are allowed, with each reduction being 20%.</w:t>
            </w:r>
          </w:p>
        </w:tc>
        <w:tc>
          <w:tcPr>
            <w:tcW w:w="2207"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Two dose reductions are allowed, with each reduction being 20%.</w:t>
            </w:r>
          </w:p>
        </w:tc>
        <w:tc>
          <w:tcPr>
            <w:tcW w:w="2822"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Dose reduction after recovery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eastAsia="宋体" w:cs="Times New Roman Regular"/>
                <w:sz w:val="20"/>
                <w:szCs w:val="20"/>
                <w:lang w:val="en-US" w:eastAsia="zh-CN"/>
              </w:rPr>
              <w:t>G</w:t>
            </w:r>
            <w:r>
              <w:rPr>
                <w:rFonts w:hint="default" w:ascii="Times New Roman Regular" w:hAnsi="Times New Roman Regular" w:cs="Times New Roman Regular"/>
                <w:sz w:val="20"/>
                <w:szCs w:val="20"/>
              </w:rPr>
              <w:t>rade 4 neutr</w:t>
            </w:r>
            <w:r>
              <w:rPr>
                <w:rFonts w:hint="default" w:ascii="Times New Roman Regular" w:hAnsi="Times New Roman Regular" w:eastAsia="宋体" w:cs="Times New Roman Regular"/>
                <w:sz w:val="20"/>
                <w:szCs w:val="20"/>
                <w:lang w:val="en-US" w:eastAsia="zh-CN"/>
              </w:rPr>
              <w:t>-</w:t>
            </w:r>
            <w:r>
              <w:rPr>
                <w:rFonts w:hint="default" w:ascii="Times New Roman Regular" w:hAnsi="Times New Roman Regular" w:cs="Times New Roman Regular"/>
                <w:sz w:val="20"/>
                <w:szCs w:val="20"/>
              </w:rPr>
              <w:t>penia</w:t>
            </w:r>
          </w:p>
        </w:tc>
        <w:tc>
          <w:tcPr>
            <w:tcW w:w="2396"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p>
        </w:tc>
        <w:tc>
          <w:tcPr>
            <w:tcW w:w="2207"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p>
        </w:tc>
        <w:tc>
          <w:tcPr>
            <w:tcW w:w="2822"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eastAsia="宋体" w:cs="Times New Roman Regular"/>
                <w:sz w:val="20"/>
                <w:szCs w:val="20"/>
                <w:lang w:val="en-US" w:eastAsia="zh-CN"/>
              </w:rPr>
              <w:t>R</w:t>
            </w:r>
            <w:r>
              <w:rPr>
                <w:rFonts w:hint="default" w:ascii="Times New Roman Regular" w:hAnsi="Times New Roman Regular" w:cs="Times New Roman Regular"/>
                <w:sz w:val="20"/>
                <w:szCs w:val="20"/>
              </w:rPr>
              <w:t>educe dose if recovered to ≤ Grade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Grade 4 thro</w:t>
            </w:r>
            <w:r>
              <w:rPr>
                <w:rFonts w:hint="default" w:ascii="Times New Roman Regular" w:hAnsi="Times New Roman Regular" w:eastAsia="宋体" w:cs="Times New Roman Regular"/>
                <w:sz w:val="20"/>
                <w:szCs w:val="20"/>
                <w:lang w:val="en-US" w:eastAsia="zh-CN"/>
              </w:rPr>
              <w:t>-</w:t>
            </w:r>
            <w:r>
              <w:rPr>
                <w:rFonts w:hint="default" w:ascii="Times New Roman Regular" w:hAnsi="Times New Roman Regular" w:cs="Times New Roman Regular"/>
                <w:sz w:val="20"/>
                <w:szCs w:val="20"/>
              </w:rPr>
              <w:t>bocytopenia</w:t>
            </w:r>
          </w:p>
        </w:tc>
        <w:tc>
          <w:tcPr>
            <w:tcW w:w="2396"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p>
        </w:tc>
        <w:tc>
          <w:tcPr>
            <w:tcW w:w="2207"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p>
        </w:tc>
        <w:tc>
          <w:tcPr>
            <w:tcW w:w="2822"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eastAsia="宋体" w:cs="Times New Roman Regular"/>
                <w:sz w:val="20"/>
                <w:szCs w:val="20"/>
                <w:lang w:val="en-US" w:eastAsia="zh-CN"/>
              </w:rPr>
              <w:t>G</w:t>
            </w:r>
            <w:r>
              <w:rPr>
                <w:rFonts w:hint="default" w:ascii="Times New Roman Regular" w:hAnsi="Times New Roman Regular" w:cs="Times New Roman Regular"/>
                <w:sz w:val="20"/>
                <w:szCs w:val="20"/>
              </w:rPr>
              <w:t>rade 1 renal toxicity</w:t>
            </w:r>
          </w:p>
        </w:tc>
        <w:tc>
          <w:tcPr>
            <w:tcW w:w="2396"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lang w:val="en-US" w:eastAsia="zh-CN"/>
              </w:rPr>
              <w:t>R</w:t>
            </w:r>
            <w:r>
              <w:rPr>
                <w:rFonts w:hint="default" w:ascii="Times New Roman Regular" w:hAnsi="Times New Roman Regular" w:cs="Times New Roman Regular"/>
                <w:sz w:val="20"/>
                <w:szCs w:val="20"/>
              </w:rPr>
              <w:t>20% reduction</w:t>
            </w:r>
          </w:p>
        </w:tc>
        <w:tc>
          <w:tcPr>
            <w:tcW w:w="2207"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20% reduction</w:t>
            </w:r>
          </w:p>
        </w:tc>
        <w:tc>
          <w:tcPr>
            <w:tcW w:w="2822"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eastAsia="宋体" w:cs="Times New Roman Regular"/>
                <w:sz w:val="20"/>
                <w:szCs w:val="20"/>
                <w:lang w:val="en-US" w:eastAsia="zh-CN"/>
              </w:rPr>
              <w:t>D</w:t>
            </w:r>
            <w:r>
              <w:rPr>
                <w:rFonts w:hint="default" w:ascii="Times New Roman Regular" w:hAnsi="Times New Roman Regular" w:cs="Times New Roman Regular"/>
                <w:sz w:val="20"/>
                <w:szCs w:val="20"/>
              </w:rPr>
              <w:t>ose reduction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lang w:val="en-US" w:eastAsia="zh-CN"/>
              </w:rPr>
              <w:t xml:space="preserve">Grade 2/3 </w:t>
            </w:r>
            <w:r>
              <w:rPr>
                <w:rFonts w:hint="default" w:ascii="Times New Roman Regular" w:hAnsi="Times New Roman Regular" w:cs="Times New Roman Regular"/>
                <w:sz w:val="20"/>
                <w:szCs w:val="20"/>
              </w:rPr>
              <w:t>peripheral neu</w:t>
            </w:r>
            <w:r>
              <w:rPr>
                <w:rFonts w:hint="default" w:ascii="Times New Roman Regular" w:hAnsi="Times New Roman Regular" w:eastAsia="宋体" w:cs="Times New Roman Regular"/>
                <w:sz w:val="20"/>
                <w:szCs w:val="20"/>
                <w:lang w:val="en-US" w:eastAsia="zh-CN"/>
              </w:rPr>
              <w:t>-</w:t>
            </w:r>
            <w:r>
              <w:rPr>
                <w:rFonts w:hint="default" w:ascii="Times New Roman Regular" w:hAnsi="Times New Roman Regular" w:cs="Times New Roman Regular"/>
                <w:sz w:val="20"/>
                <w:szCs w:val="20"/>
              </w:rPr>
              <w:t>otoxicity</w:t>
            </w:r>
          </w:p>
        </w:tc>
        <w:tc>
          <w:tcPr>
            <w:tcW w:w="2396"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p>
        </w:tc>
        <w:tc>
          <w:tcPr>
            <w:tcW w:w="2207"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p>
        </w:tc>
        <w:tc>
          <w:tcPr>
            <w:tcW w:w="2822"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eastAsia="宋体" w:cs="Times New Roman Regular"/>
                <w:sz w:val="20"/>
                <w:szCs w:val="20"/>
                <w:lang w:val="en-US" w:eastAsia="zh-CN"/>
              </w:rPr>
              <w:t>R</w:t>
            </w:r>
            <w:r>
              <w:rPr>
                <w:rFonts w:hint="default" w:ascii="Times New Roman Regular" w:hAnsi="Times New Roman Regular" w:cs="Times New Roman Regular"/>
                <w:sz w:val="20"/>
                <w:szCs w:val="20"/>
              </w:rPr>
              <w:t>educe dose if recovered to ≤ Grade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eastAsia="宋体" w:cs="Times New Roman Regular"/>
                <w:sz w:val="20"/>
                <w:szCs w:val="20"/>
                <w:lang w:val="en-US" w:eastAsia="zh-CN"/>
              </w:rPr>
              <w:t>G</w:t>
            </w:r>
            <w:r>
              <w:rPr>
                <w:rFonts w:hint="default" w:ascii="Times New Roman Regular" w:hAnsi="Times New Roman Regular" w:cs="Times New Roman Regular"/>
                <w:sz w:val="20"/>
                <w:szCs w:val="20"/>
              </w:rPr>
              <w:t>rade ≥3 non-hematological toxicities</w:t>
            </w:r>
          </w:p>
        </w:tc>
        <w:tc>
          <w:tcPr>
            <w:tcW w:w="2396"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p>
        </w:tc>
        <w:tc>
          <w:tcPr>
            <w:tcW w:w="2207"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p>
        </w:tc>
        <w:tc>
          <w:tcPr>
            <w:tcW w:w="2822"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eastAsia="宋体" w:cs="Times New Roman Regular"/>
                <w:sz w:val="20"/>
                <w:szCs w:val="20"/>
                <w:lang w:val="en-US" w:eastAsia="zh-CN"/>
              </w:rPr>
              <w:t>G</w:t>
            </w:r>
            <w:r>
              <w:rPr>
                <w:rFonts w:hint="default" w:ascii="Times New Roman Regular" w:hAnsi="Times New Roman Regular" w:cs="Times New Roman Regular"/>
                <w:sz w:val="20"/>
                <w:szCs w:val="20"/>
              </w:rPr>
              <w:t>rade ≥</w:t>
            </w:r>
            <w:r>
              <w:rPr>
                <w:rFonts w:hint="default" w:ascii="Times New Roman Regular" w:hAnsi="Times New Roman Regular" w:cs="Times New Roman Regular"/>
                <w:sz w:val="20"/>
                <w:szCs w:val="20"/>
                <w:lang w:val="en-US" w:eastAsia="zh-CN"/>
              </w:rPr>
              <w:t xml:space="preserve">2 </w:t>
            </w:r>
            <w:r>
              <w:rPr>
                <w:rFonts w:hint="default" w:ascii="Times New Roman Regular" w:hAnsi="Times New Roman Regular" w:cs="Times New Roman Regular"/>
                <w:sz w:val="20"/>
                <w:szCs w:val="20"/>
              </w:rPr>
              <w:t>renal toxicity</w:t>
            </w:r>
          </w:p>
        </w:tc>
        <w:tc>
          <w:tcPr>
            <w:tcW w:w="239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eastAsia="宋体" w:cs="Times New Roman Regular"/>
                <w:sz w:val="20"/>
                <w:szCs w:val="20"/>
                <w:lang w:val="en-US" w:eastAsia="zh-CN"/>
              </w:rPr>
              <w:t>N</w:t>
            </w:r>
            <w:r>
              <w:rPr>
                <w:rFonts w:hint="default" w:ascii="Times New Roman Regular" w:hAnsi="Times New Roman Regular" w:cs="Times New Roman Regular"/>
                <w:sz w:val="20"/>
                <w:szCs w:val="20"/>
              </w:rPr>
              <w:t>ot applicable</w:t>
            </w:r>
          </w:p>
        </w:tc>
        <w:tc>
          <w:tcPr>
            <w:tcW w:w="220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eastAsia="宋体" w:cs="Times New Roman Regular"/>
                <w:sz w:val="20"/>
                <w:szCs w:val="20"/>
                <w:lang w:val="en-US" w:eastAsia="zh-CN"/>
              </w:rPr>
              <w:t>N</w:t>
            </w:r>
            <w:r>
              <w:rPr>
                <w:rFonts w:hint="default" w:ascii="Times New Roman Regular" w:hAnsi="Times New Roman Regular" w:cs="Times New Roman Regular"/>
                <w:sz w:val="20"/>
                <w:szCs w:val="20"/>
              </w:rPr>
              <w:t>ot applicable</w:t>
            </w:r>
          </w:p>
        </w:tc>
        <w:tc>
          <w:tcPr>
            <w:tcW w:w="2822"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Termination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0"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lang w:val="en-US" w:eastAsia="zh-CN"/>
              </w:rPr>
              <w:t xml:space="preserve">Grade 4 </w:t>
            </w:r>
            <w:r>
              <w:rPr>
                <w:rFonts w:hint="default" w:ascii="Times New Roman Regular" w:hAnsi="Times New Roman Regular" w:cs="Times New Roman Regular"/>
                <w:sz w:val="20"/>
                <w:szCs w:val="20"/>
              </w:rPr>
              <w:t>peripheral neu</w:t>
            </w:r>
            <w:r>
              <w:rPr>
                <w:rFonts w:hint="default" w:ascii="Times New Roman Regular" w:hAnsi="Times New Roman Regular" w:eastAsia="宋体" w:cs="Times New Roman Regular"/>
                <w:sz w:val="20"/>
                <w:szCs w:val="20"/>
                <w:lang w:val="en-US" w:eastAsia="zh-CN"/>
              </w:rPr>
              <w:t>-</w:t>
            </w:r>
            <w:r>
              <w:rPr>
                <w:rFonts w:hint="default" w:ascii="Times New Roman Regular" w:hAnsi="Times New Roman Regular" w:cs="Times New Roman Regular"/>
                <w:sz w:val="20"/>
                <w:szCs w:val="20"/>
              </w:rPr>
              <w:t>otoxicity</w:t>
            </w:r>
          </w:p>
        </w:tc>
        <w:tc>
          <w:tcPr>
            <w:tcW w:w="239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eastAsia="宋体" w:cs="Times New Roman Regular"/>
                <w:sz w:val="20"/>
                <w:szCs w:val="20"/>
                <w:lang w:val="en-US" w:eastAsia="zh-CN"/>
              </w:rPr>
              <w:t>N</w:t>
            </w:r>
            <w:r>
              <w:rPr>
                <w:rFonts w:hint="default" w:ascii="Times New Roman Regular" w:hAnsi="Times New Roman Regular" w:cs="Times New Roman Regular"/>
                <w:sz w:val="20"/>
                <w:szCs w:val="20"/>
              </w:rPr>
              <w:t>ot applicable</w:t>
            </w:r>
          </w:p>
        </w:tc>
        <w:tc>
          <w:tcPr>
            <w:tcW w:w="220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eastAsia="宋体" w:cs="Times New Roman Regular"/>
                <w:sz w:val="20"/>
                <w:szCs w:val="20"/>
                <w:lang w:val="en-US" w:eastAsia="zh-CN"/>
              </w:rPr>
              <w:t>N</w:t>
            </w:r>
            <w:r>
              <w:rPr>
                <w:rFonts w:hint="default" w:ascii="Times New Roman Regular" w:hAnsi="Times New Roman Regular" w:cs="Times New Roman Regular"/>
                <w:sz w:val="20"/>
                <w:szCs w:val="20"/>
              </w:rPr>
              <w:t>ot applicable</w:t>
            </w:r>
          </w:p>
        </w:tc>
        <w:tc>
          <w:tcPr>
            <w:tcW w:w="2822"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Termination</w:t>
            </w:r>
          </w:p>
        </w:tc>
      </w:tr>
    </w:tbl>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rPr>
      </w:pP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rPr>
      </w:pP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rPr>
      </w:pP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Notes: Evaluation criteria for acute toxicity of chemotherapy: CTCAE 4.0 toxicity</w:t>
      </w:r>
      <w:r>
        <w:rPr>
          <w:rFonts w:hint="default" w:ascii="Times New Roman Regular" w:hAnsi="Times New Roman Regular" w:cs="Times New Roman Regular"/>
          <w:sz w:val="20"/>
          <w:szCs w:val="20"/>
        </w:rPr>
        <w:drawing>
          <wp:inline distT="0" distB="0" distL="0" distR="0">
            <wp:extent cx="0" cy="178435"/>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12"/>
                    <a:stretch>
                      <a:fillRect/>
                    </a:stretch>
                  </pic:blipFill>
                  <pic:spPr>
                    <a:xfrm>
                      <a:off x="0" y="0"/>
                      <a:ext cx="0" cy="178897"/>
                    </a:xfrm>
                    <a:prstGeom prst="rect">
                      <a:avLst/>
                    </a:prstGeom>
                  </pic:spPr>
                </pic:pic>
              </a:graphicData>
            </a:graphic>
          </wp:inline>
        </w:drawing>
      </w:r>
      <w:r>
        <w:rPr>
          <w:rFonts w:hint="default" w:ascii="Times New Roman Regular" w:hAnsi="Times New Roman Regular" w:cs="Times New Roman Regular"/>
          <w:sz w:val="20"/>
          <w:szCs w:val="20"/>
        </w:rPr>
        <w:t xml:space="preserve"> evaluation criteria.</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b/>
          <w:bCs/>
          <w:sz w:val="22"/>
          <w:szCs w:val="22"/>
        </w:rPr>
      </w:pPr>
      <w:bookmarkStart w:id="20" w:name="_Toc11906"/>
      <w:r>
        <w:rPr>
          <w:rFonts w:hint="default" w:ascii="Times New Roman Regular" w:hAnsi="Times New Roman Regular" w:cs="Times New Roman Regular"/>
          <w:b/>
          <w:bCs/>
          <w:sz w:val="22"/>
          <w:szCs w:val="22"/>
        </w:rPr>
        <w:t>5.3.6 Radiotherapy scheme</w:t>
      </w:r>
      <w:bookmarkEnd w:id="20"/>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1) During CT simulation, patients will be immobilized with a vacuum bag in the supine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position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with</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arms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raised.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Radiation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will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delivered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by intensity-modulated radiotherapy (IMRT) using 6-8 MV X-ray.</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lang w:eastAsia="zh-CN"/>
        </w:rPr>
      </w:pPr>
      <w:r>
        <w:rPr>
          <w:rFonts w:hint="default" w:ascii="Times New Roman Regular" w:hAnsi="Times New Roman Regular" w:cs="Times New Roman Regular"/>
          <w:sz w:val="20"/>
          <w:szCs w:val="20"/>
        </w:rPr>
        <w:t>2）</w:t>
      </w:r>
      <w:r>
        <w:rPr>
          <w:rFonts w:hint="default" w:ascii="Times New Roman Regular" w:hAnsi="Times New Roman Regular" w:eastAsia="宋体" w:cs="Times New Roman Regular"/>
          <w:sz w:val="20"/>
          <w:szCs w:val="20"/>
          <w:lang w:val="en-US" w:eastAsia="zh-CN"/>
        </w:rPr>
        <w:t xml:space="preserve">In accordance with the involved-field irradiation technique </w:t>
      </w:r>
      <w:r>
        <w:rPr>
          <w:rFonts w:hint="default" w:ascii="Times New Roman Regular" w:hAnsi="Times New Roman Regular" w:cs="Times New Roman Regular"/>
          <w:sz w:val="20"/>
          <w:szCs w:val="20"/>
        </w:rPr>
        <w:t>(</w:t>
      </w:r>
      <w:r>
        <w:rPr>
          <w:rFonts w:hint="default" w:ascii="Times New Roman Regular" w:hAnsi="Times New Roman Regular" w:eastAsia="宋体" w:cs="Times New Roman Regular"/>
          <w:sz w:val="20"/>
          <w:szCs w:val="20"/>
          <w:lang w:val="en-US" w:eastAsia="zh-CN"/>
        </w:rPr>
        <w:t>IFI</w:t>
      </w:r>
      <w:r>
        <w:rPr>
          <w:rFonts w:hint="default" w:ascii="Times New Roman Regular" w:hAnsi="Times New Roman Regular" w:cs="Times New Roman Regular"/>
          <w:sz w:val="20"/>
          <w:szCs w:val="20"/>
        </w:rPr>
        <w:t>)</w:t>
      </w:r>
      <w:r>
        <w:rPr>
          <w:rFonts w:hint="default" w:ascii="Times New Roman Regular" w:hAnsi="Times New Roman Regular" w:eastAsia="宋体" w:cs="Times New Roman Regular"/>
          <w:sz w:val="20"/>
          <w:szCs w:val="20"/>
          <w:lang w:val="en-US" w:eastAsia="zh-CN"/>
        </w:rPr>
        <w:t>, radiotherapy is specifically targeted to the primary esophageal lesion and metastatic foci, excluding regional prophylactic irradiation of the lymphatic drainage areas. Gros</w:t>
      </w:r>
      <w:r>
        <w:rPr>
          <w:rFonts w:hint="default" w:ascii="Times New Roman Regular" w:hAnsi="Times New Roman Regular" w:cs="Times New Roman Regular"/>
          <w:sz w:val="20"/>
          <w:szCs w:val="20"/>
        </w:rPr>
        <w:t>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tumor</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volume</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(GTV) is</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defined</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as the primary tumor</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and involved lymph</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nodes</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on</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CT</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lang w:val="en-US" w:eastAsia="zh-CN"/>
        </w:rPr>
        <w:t xml:space="preserve">or other imaging </w:t>
      </w:r>
      <w:r>
        <w:rPr>
          <w:rFonts w:hint="default" w:ascii="Times New Roman Regular" w:hAnsi="Times New Roman Regular" w:cs="Times New Roman Regular"/>
          <w:sz w:val="20"/>
          <w:szCs w:val="20"/>
        </w:rPr>
        <w:t>(</w:t>
      </w:r>
      <w:r>
        <w:rPr>
          <w:rFonts w:hint="default" w:ascii="Times New Roman Regular" w:hAnsi="Times New Roman Regular" w:eastAsia="宋体" w:cs="Times New Roman Regular"/>
          <w:sz w:val="20"/>
          <w:szCs w:val="20"/>
          <w:lang w:val="en-US" w:eastAsia="zh-CN"/>
        </w:rPr>
        <w:t>MRI, PET-CT etc.</w:t>
      </w:r>
      <w:r>
        <w:rPr>
          <w:rFonts w:hint="default" w:ascii="Times New Roman Regular" w:hAnsi="Times New Roman Regular" w:cs="Times New Roman Regular"/>
          <w:sz w:val="20"/>
          <w:szCs w:val="20"/>
        </w:rPr>
        <w:t xml:space="preserve">). </w:t>
      </w:r>
      <w:r>
        <w:rPr>
          <w:rFonts w:hint="default" w:ascii="Times New Roman Regular" w:hAnsi="Times New Roman Regular" w:cs="Times New Roman Regular"/>
          <w:sz w:val="20"/>
          <w:szCs w:val="20"/>
          <w:lang w:eastAsia="zh-TW"/>
        </w:rPr>
        <w:t>The planning target volume (</w:t>
      </w:r>
      <w:r>
        <w:rPr>
          <w:rFonts w:hint="default" w:ascii="Times New Roman Regular" w:hAnsi="Times New Roman Regular" w:cs="Times New Roman Regular"/>
          <w:sz w:val="20"/>
          <w:szCs w:val="20"/>
          <w:lang w:eastAsia="zh-CN"/>
        </w:rPr>
        <w:t>PTV</w:t>
      </w:r>
      <w:r>
        <w:rPr>
          <w:rFonts w:hint="default" w:ascii="Times New Roman Regular" w:hAnsi="Times New Roman Regular" w:cs="Times New Roman Regular"/>
          <w:sz w:val="20"/>
          <w:szCs w:val="20"/>
          <w:lang w:eastAsia="zh-TW"/>
        </w:rPr>
        <w:t xml:space="preserve">) was defined as </w:t>
      </w:r>
      <w:r>
        <w:rPr>
          <w:rFonts w:hint="default" w:ascii="Times New Roman Regular" w:hAnsi="Times New Roman Regular" w:cs="Times New Roman Regular"/>
          <w:sz w:val="20"/>
          <w:szCs w:val="20"/>
          <w:lang w:eastAsia="zh-CN"/>
        </w:rPr>
        <w:t xml:space="preserve">GTV with an additional 1-2 cm proximal and distal margins </w:t>
      </w:r>
      <w:r>
        <w:rPr>
          <w:rFonts w:hint="default" w:ascii="Times New Roman Regular" w:hAnsi="Times New Roman Regular" w:cs="Times New Roman Regular"/>
          <w:sz w:val="20"/>
          <w:szCs w:val="20"/>
          <w:lang w:eastAsia="zh-TW"/>
        </w:rPr>
        <w:t xml:space="preserve">and a </w:t>
      </w:r>
      <w:r>
        <w:rPr>
          <w:rFonts w:hint="default" w:ascii="Times New Roman Regular" w:hAnsi="Times New Roman Regular" w:cs="Times New Roman Regular"/>
          <w:sz w:val="20"/>
          <w:szCs w:val="20"/>
          <w:lang w:eastAsia="zh-CN"/>
        </w:rPr>
        <w:t>radical margin of 0.5</w:t>
      </w:r>
      <w:r>
        <w:rPr>
          <w:rFonts w:hint="default" w:ascii="Times New Roman Regular" w:hAnsi="Times New Roman Regular" w:cs="Times New Roman Regular"/>
          <w:sz w:val="20"/>
          <w:szCs w:val="20"/>
          <w:lang w:eastAsia="zh-TW"/>
        </w:rPr>
        <w:t>–</w:t>
      </w:r>
      <w:r>
        <w:rPr>
          <w:rFonts w:hint="default" w:ascii="Times New Roman Regular" w:hAnsi="Times New Roman Regular" w:cs="Times New Roman Regular"/>
          <w:sz w:val="20"/>
          <w:szCs w:val="20"/>
          <w:lang w:eastAsia="zh-CN"/>
        </w:rPr>
        <w:t>1.0 cm</w:t>
      </w:r>
      <w:r>
        <w:rPr>
          <w:rFonts w:hint="default" w:ascii="Times New Roman Regular" w:hAnsi="Times New Roman Regular" w:cs="Times New Roman Regular"/>
          <w:sz w:val="20"/>
          <w:szCs w:val="20"/>
          <w:lang w:eastAsia="zh-TW"/>
        </w:rPr>
        <w:t>.</w:t>
      </w:r>
      <w:r>
        <w:rPr>
          <w:rFonts w:hint="default" w:ascii="Times New Roman Regular" w:hAnsi="Times New Roman Regular" w:cs="Times New Roman Regular"/>
          <w:sz w:val="20"/>
          <w:szCs w:val="20"/>
          <w:lang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lang w:eastAsia="zh-CN"/>
        </w:rPr>
      </w:pPr>
      <w:r>
        <w:rPr>
          <w:rFonts w:hint="default" w:ascii="Times New Roman Regular" w:hAnsi="Times New Roman Regular" w:cs="Times New Roman Regular"/>
          <w:sz w:val="20"/>
          <w:szCs w:val="20"/>
        </w:rPr>
        <w:t>3)</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Radiotherapy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plan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design: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lang w:eastAsia="zh-CN"/>
        </w:rPr>
        <w:t>IMRT or Volumetric Modulated Arc Therapy (VMAT) technology, isocentric irradiation, and evaluation and optimization of treatment plan according to dose volume histogram, fault dose distribution, NTCP model. Planning evaluation criteria refer to QUANTEC standard (IJROPB, 2013).</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lang w:eastAsia="zh-CN"/>
        </w:rPr>
      </w:pPr>
      <w:r>
        <w:rPr>
          <w:rFonts w:hint="default" w:ascii="Times New Roman Regular" w:hAnsi="Times New Roman Regular" w:cs="Times New Roman Regular"/>
          <w:sz w:val="20"/>
          <w:szCs w:val="20"/>
          <w:lang w:eastAsia="zh-CN"/>
        </w:rPr>
        <w:t>4）Radiation dose: For the primary lesion and regional lymph nodes, the total dose is 45-50.4 Gy in 25-28 fractions (1.8-2.0 Gy/F), administered 5 times a week.</w:t>
      </w:r>
      <w:r>
        <w:rPr>
          <w:rFonts w:hint="default" w:ascii="Times New Roman Regular" w:hAnsi="Times New Roman Regular" w:cs="Times New Roman Regular"/>
          <w:sz w:val="20"/>
          <w:szCs w:val="20"/>
          <w:lang w:val="en-US" w:eastAsia="zh-CN"/>
        </w:rPr>
        <w:t xml:space="preserve"> </w:t>
      </w:r>
      <w:r>
        <w:rPr>
          <w:rFonts w:hint="default" w:ascii="Times New Roman Regular" w:hAnsi="Times New Roman Regular" w:cs="Times New Roman Regular"/>
          <w:sz w:val="20"/>
          <w:szCs w:val="20"/>
          <w:lang w:eastAsia="zh-CN"/>
        </w:rPr>
        <w:t>For distant (</w:t>
      </w:r>
      <w:r>
        <w:rPr>
          <w:rFonts w:hint="default" w:ascii="Times New Roman Regular" w:hAnsi="Times New Roman Regular" w:cs="Times New Roman Regular"/>
          <w:sz w:val="20"/>
          <w:szCs w:val="20"/>
          <w:lang w:val="en-US" w:eastAsia="zh-CN"/>
        </w:rPr>
        <w:t>non-regional</w:t>
      </w:r>
      <w:r>
        <w:rPr>
          <w:rFonts w:hint="default" w:ascii="Times New Roman Regular" w:hAnsi="Times New Roman Regular" w:cs="Times New Roman Regular"/>
          <w:sz w:val="20"/>
          <w:szCs w:val="20"/>
          <w:lang w:eastAsia="zh-CN"/>
        </w:rPr>
        <w:t>) lymph nodes, such as supraclavicular and retroperitoneal lymph nodes, conventionally fractionated radiotherapy (</w:t>
      </w:r>
      <w:r>
        <w:rPr>
          <w:rFonts w:hint="default" w:ascii="Times New Roman Regular" w:hAnsi="Times New Roman Regular" w:cs="Times New Roman Regular"/>
          <w:sz w:val="20"/>
          <w:szCs w:val="20"/>
          <w:lang w:val="en-US" w:eastAsia="zh-CN"/>
        </w:rPr>
        <w:t>45</w:t>
      </w:r>
      <w:r>
        <w:rPr>
          <w:rFonts w:hint="default" w:ascii="Times New Roman Regular" w:hAnsi="Times New Roman Regular" w:cs="Times New Roman Regular"/>
          <w:sz w:val="20"/>
          <w:szCs w:val="20"/>
          <w:lang w:eastAsia="zh-CN"/>
        </w:rPr>
        <w:t>–50.4 Gy in 25–28 fractions) may be administered at the investigator's discretion, taking into account the dose constraints of surrounding organs at risk, such as the trachea, stomach, and intestines. Stereotactic body radiation therapy (SBRT) is recommended for certain patients with suitable oligometastatic lesions in the bones, lungs, and liver, with consideration for the same factors. SBRT is administered to all metastatic lesions at doses of 30–40 Gy in 3–5 fractions</w:t>
      </w:r>
      <w:r>
        <w:rPr>
          <w:rFonts w:hint="default" w:ascii="Times New Roman Regular" w:hAnsi="Times New Roman Regular" w:cs="Times New Roman Regular"/>
          <w:sz w:val="20"/>
          <w:szCs w:val="20"/>
          <w:lang w:val="en-US" w:eastAsia="zh-CN"/>
        </w:rPr>
        <w:t xml:space="preserve"> </w:t>
      </w:r>
      <w:r>
        <w:rPr>
          <w:rFonts w:hint="default" w:ascii="Times New Roman Regular" w:hAnsi="Times New Roman Regular" w:cs="Times New Roman Regular"/>
          <w:sz w:val="20"/>
          <w:szCs w:val="20"/>
          <w:lang w:eastAsia="zh-CN"/>
        </w:rPr>
        <w:t>(4-8 Gy/F).</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9"/>
        <w:rPr>
          <w:rFonts w:hint="default" w:ascii="Times New Roman Regular" w:hAnsi="Times New Roman Regular" w:cs="Times New Roman Regular"/>
          <w:sz w:val="20"/>
          <w:szCs w:val="20"/>
          <w:lang w:eastAsia="zh-CN"/>
        </w:rPr>
      </w:pPr>
      <w:r>
        <w:rPr>
          <w:rFonts w:hint="default" w:ascii="Times New Roman Regular" w:hAnsi="Times New Roman Regular" w:cs="Times New Roman Regular"/>
          <w:sz w:val="20"/>
          <w:szCs w:val="20"/>
          <w:lang w:eastAsia="zh-CN"/>
        </w:rPr>
        <w:t>5）Organs at risk (OARs)</w:t>
      </w:r>
    </w:p>
    <w:tbl>
      <w:tblPr>
        <w:tblStyle w:val="17"/>
        <w:tblW w:w="871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746"/>
        <w:gridCol w:w="597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6" w:hRule="atLeast"/>
          <w:jc w:val="center"/>
        </w:trPr>
        <w:tc>
          <w:tcPr>
            <w:tcW w:w="2746" w:type="dxa"/>
            <w:tcBorders>
              <w:left w:val="single" w:color="000000" w:sz="6" w:space="0"/>
              <w:right w:val="single" w:color="000000" w:sz="8"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Organs at risk</w:t>
            </w:r>
          </w:p>
        </w:tc>
        <w:tc>
          <w:tcPr>
            <w:tcW w:w="5972" w:type="dxa"/>
            <w:tcBorders>
              <w:top w:val="single" w:color="000000" w:sz="6" w:space="0"/>
              <w:left w:val="single" w:color="000000" w:sz="8" w:space="0"/>
              <w:bottom w:val="single" w:color="000000" w:sz="6"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Dose limitation</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2746" w:type="dxa"/>
            <w:tcBorders>
              <w:left w:val="single" w:color="000000" w:sz="6" w:space="0"/>
              <w:right w:val="single" w:color="000000" w:sz="8"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Spinal cord</w:t>
            </w:r>
          </w:p>
        </w:tc>
        <w:tc>
          <w:tcPr>
            <w:tcW w:w="5972" w:type="dxa"/>
            <w:tcBorders>
              <w:top w:val="single" w:color="000000" w:sz="6" w:space="0"/>
              <w:left w:val="single" w:color="000000" w:sz="8" w:space="0"/>
              <w:bottom w:val="single" w:color="000000" w:sz="6"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Dmax&lt;45Gy</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5" w:hRule="atLeast"/>
          <w:jc w:val="center"/>
        </w:trPr>
        <w:tc>
          <w:tcPr>
            <w:tcW w:w="2746" w:type="dxa"/>
            <w:tcBorders>
              <w:left w:val="single" w:color="000000" w:sz="6" w:space="0"/>
              <w:right w:val="single" w:color="000000" w:sz="8"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Lungs</w:t>
            </w:r>
          </w:p>
        </w:tc>
        <w:tc>
          <w:tcPr>
            <w:tcW w:w="5972" w:type="dxa"/>
            <w:tcBorders>
              <w:top w:val="single" w:color="000000" w:sz="6" w:space="0"/>
              <w:left w:val="single" w:color="000000" w:sz="8" w:space="0"/>
              <w:bottom w:val="single" w:color="000000" w:sz="6"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V20&lt;30%, V5&lt;65%, Dmean&lt;17 Gy</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jc w:val="center"/>
        </w:trPr>
        <w:tc>
          <w:tcPr>
            <w:tcW w:w="2746" w:type="dxa"/>
            <w:tcBorders>
              <w:left w:val="single" w:color="000000" w:sz="6" w:space="0"/>
              <w:right w:val="single" w:color="000000" w:sz="8"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Stomach</w:t>
            </w:r>
          </w:p>
        </w:tc>
        <w:tc>
          <w:tcPr>
            <w:tcW w:w="5972" w:type="dxa"/>
            <w:tcBorders>
              <w:top w:val="single" w:color="000000" w:sz="6" w:space="0"/>
              <w:left w:val="single" w:color="000000" w:sz="8" w:space="0"/>
              <w:bottom w:val="single" w:color="000000" w:sz="6"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D1cc&lt;54 Gy, V40&lt;60%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1" w:hRule="atLeast"/>
          <w:jc w:val="center"/>
        </w:trPr>
        <w:tc>
          <w:tcPr>
            <w:tcW w:w="2746" w:type="dxa"/>
            <w:tcBorders>
              <w:left w:val="single" w:color="000000" w:sz="6" w:space="0"/>
              <w:right w:val="single" w:color="000000" w:sz="8"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Liver</w:t>
            </w:r>
          </w:p>
        </w:tc>
        <w:tc>
          <w:tcPr>
            <w:tcW w:w="5972" w:type="dxa"/>
            <w:tcBorders>
              <w:top w:val="single" w:color="000000" w:sz="6" w:space="0"/>
              <w:left w:val="single" w:color="000000" w:sz="8"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V20 &lt;30%, V30&lt;20%, Dmean&lt;23 Gy</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3" w:hRule="atLeast"/>
          <w:jc w:val="center"/>
        </w:trPr>
        <w:tc>
          <w:tcPr>
            <w:tcW w:w="2746"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Heart</w:t>
            </w:r>
          </w:p>
        </w:tc>
        <w:tc>
          <w:tcPr>
            <w:tcW w:w="5972"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Dmean&lt;26Gy, V30&lt;40%. Every effort should be made to keep the total heart dose to a minimum</w:t>
            </w:r>
          </w:p>
        </w:tc>
      </w:tr>
    </w:tbl>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b/>
          <w:bCs/>
          <w:sz w:val="22"/>
          <w:szCs w:val="22"/>
        </w:rPr>
      </w:pPr>
      <w:bookmarkStart w:id="21" w:name="_Toc27768"/>
      <w:r>
        <w:rPr>
          <w:rFonts w:hint="default" w:ascii="Times New Roman Regular" w:hAnsi="Times New Roman Regular" w:cs="Times New Roman Regular"/>
          <w:b/>
          <w:bCs/>
          <w:sz w:val="22"/>
          <w:szCs w:val="22"/>
        </w:rPr>
        <w:t>5.3.7 Criteria for radiation-related toxicity</w:t>
      </w:r>
      <w:bookmarkEnd w:id="21"/>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1) Continue radiotherapy if grade 3 toxicity is unrelated to radiotherapy, and the adjustment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chemotherapy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according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Table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4.</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Radiotherapy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will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be withheld if any grade 4 toxicity is observed.</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2)</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When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grade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3</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radiation-related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toxicity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observed,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active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symptomatic treatment will be administered and radiotherapy will be withheld until the toxicity has recovered to grade 2.</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3) If any of the following toxicity is present, patients will be excluded from the treatment protocol: heavy hemorrhage, non-healing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esophageal tracheal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leakage, myocardial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infarction,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heart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failure,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severe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arrhythmias,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severe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radiation pneumonia with dyspnea.</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b/>
          <w:bCs/>
          <w:sz w:val="22"/>
          <w:szCs w:val="22"/>
          <w:lang w:val="en-US"/>
        </w:rPr>
      </w:pPr>
      <w:bookmarkStart w:id="22" w:name="_Toc13586"/>
      <w:r>
        <w:rPr>
          <w:rFonts w:hint="default" w:ascii="Times New Roman Regular" w:hAnsi="Times New Roman Regular" w:cs="Times New Roman Regular"/>
          <w:b/>
          <w:bCs/>
          <w:sz w:val="22"/>
          <w:szCs w:val="22"/>
        </w:rPr>
        <w:t xml:space="preserve">5.3.8 Regular evaluation during </w:t>
      </w:r>
      <w:r>
        <w:rPr>
          <w:rFonts w:hint="default" w:ascii="Times New Roman Regular" w:hAnsi="Times New Roman Regular" w:cs="Times New Roman Regular"/>
          <w:b/>
          <w:bCs/>
          <w:sz w:val="22"/>
          <w:szCs w:val="22"/>
          <w:lang w:val="en-US" w:eastAsia="zh-CN"/>
        </w:rPr>
        <w:t>chemoimmunotherapy and CRT</w:t>
      </w:r>
      <w:bookmarkEnd w:id="22"/>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Regular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evaluation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will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consist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routine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blood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tests,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liver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kidney function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once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week; All patients fill in the quality of life questionnaire-EORTC-QLQ-C30</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version3</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radiotherapy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 chemotherapy. Adverse reactions, concomitant medication, and whether the study is terminated early need to be recorded.</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b/>
          <w:bCs/>
          <w:sz w:val="22"/>
          <w:szCs w:val="22"/>
        </w:rPr>
      </w:pPr>
      <w:bookmarkStart w:id="23" w:name="_Toc28737"/>
      <w:r>
        <w:rPr>
          <w:rFonts w:hint="default" w:ascii="Times New Roman Regular" w:hAnsi="Times New Roman Regular" w:cs="Times New Roman Regular"/>
          <w:b/>
          <w:bCs/>
          <w:sz w:val="22"/>
          <w:szCs w:val="22"/>
        </w:rPr>
        <w:t>5.3.9 Regular evaluation during maintenance</w:t>
      </w:r>
      <w:bookmarkEnd w:id="23"/>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Routine blood tests and liver and kidney function are performed before each course of treatment. ECG and thyroid function are reviewed every 2 courses. Fill in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quality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life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questionnaire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EORTC-QLQ-C30</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version3</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every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3</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months. Adverse reactions,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concomitant medication,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 whether 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study is terminated early need to be recorded.</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b/>
          <w:bCs/>
          <w:sz w:val="22"/>
          <w:szCs w:val="22"/>
        </w:rPr>
      </w:pPr>
      <w:bookmarkStart w:id="24" w:name="_Toc27251"/>
      <w:r>
        <w:rPr>
          <w:rFonts w:hint="default" w:ascii="Times New Roman Regular" w:hAnsi="Times New Roman Regular" w:cs="Times New Roman Regular"/>
          <w:b/>
          <w:bCs/>
          <w:sz w:val="22"/>
          <w:szCs w:val="22"/>
        </w:rPr>
        <w:t>5.3.10 Concomitant Therapy</w:t>
      </w:r>
      <w:bookmarkEnd w:id="24"/>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1)</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During the administration period of this clinical study, the use of other anti-tumor drugs, immunotherapy and biotherapy that are not approved by this protocol shall be stopped.</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2)</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Symptomatic medications can be administered, including prophylactic antiemetic drugs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G-CSF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when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blood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drops. Prophylaxis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with</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hematopoietic</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growth factor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permitted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avoid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treatment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interruption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delay. All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symptomatic medications should be recorded and explained in detail on the CRF table.</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3)</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Local use of corticosteroids is allowed,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such as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eye, nasal, intraarticular, inhaled, etc., and pretreatment of corticosteroids before chemotherapy is allowed.</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4)</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Avoid alcoholic beverages during treatment.</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1"/>
        <w:rPr>
          <w:rFonts w:hint="default" w:ascii="Times New Roman Regular" w:hAnsi="Times New Roman Regular" w:cs="Times New Roman Regular"/>
          <w:b/>
          <w:bCs/>
          <w:sz w:val="22"/>
          <w:szCs w:val="22"/>
        </w:rPr>
      </w:pPr>
      <w:bookmarkStart w:id="25" w:name="_Toc30863"/>
      <w:r>
        <w:rPr>
          <w:rFonts w:hint="default" w:ascii="Times New Roman Regular" w:hAnsi="Times New Roman Regular" w:cs="Times New Roman Regular"/>
          <w:b/>
          <w:bCs/>
          <w:sz w:val="22"/>
          <w:szCs w:val="22"/>
        </w:rPr>
        <w:t>5.4 Management of pseudo-progression</w:t>
      </w:r>
      <w:bookmarkEnd w:id="25"/>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b/>
          <w:bCs/>
          <w:sz w:val="22"/>
          <w:szCs w:val="22"/>
        </w:rPr>
      </w:pPr>
      <w:bookmarkStart w:id="26" w:name="_Toc6228"/>
      <w:r>
        <w:rPr>
          <w:rFonts w:hint="default" w:ascii="Times New Roman Regular" w:hAnsi="Times New Roman Regular" w:cs="Times New Roman Regular"/>
          <w:b/>
          <w:bCs/>
          <w:sz w:val="22"/>
          <w:szCs w:val="22"/>
        </w:rPr>
        <w:t>5.4.1 Definition</w:t>
      </w:r>
      <w:bookmarkEnd w:id="26"/>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Some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subjects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may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experience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temporary tumor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outbreak</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 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first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few months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after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initiation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immunotherapy,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followed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disease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response,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so subjects are allowed to continue with the original treatment regimen after the first onset of progressive disease (based on RECIST1.1 criteria).</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tumor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outbreak</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can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include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following: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deterioration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 original target lesion; deterioration of 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original non-target lesion; a new lesion appears.</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b/>
          <w:bCs/>
          <w:sz w:val="22"/>
          <w:szCs w:val="22"/>
        </w:rPr>
      </w:pPr>
      <w:bookmarkStart w:id="27" w:name="_Toc23082"/>
      <w:r>
        <w:rPr>
          <w:rFonts w:hint="default" w:ascii="Times New Roman Regular" w:hAnsi="Times New Roman Regular" w:cs="Times New Roman Regular"/>
          <w:b/>
          <w:bCs/>
          <w:sz w:val="22"/>
          <w:szCs w:val="22"/>
        </w:rPr>
        <w:t>5.4.2 Management</w:t>
      </w:r>
      <w:bookmarkEnd w:id="27"/>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The investigator can decide whether to continue the study treatment based on 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subjects'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overall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clinical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condition,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including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physical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condition,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clinical symptoms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laboratory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results. If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subjects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are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clinically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stable, they can continue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treatment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have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their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tumor evaluated again after an interval 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at least 4 weeks (±7 days). According to iRECIST and RECIST 1.1 criteria, if PD is unconfirmed,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treatment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should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be continued.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confirmed,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treatment will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discontinued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unless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investigator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determines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that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subject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will continue to benefit clinically and allows the subject to continue treatment after PD 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confirmed.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clinically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unstable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subjects,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treatment should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be discontinued after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first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evaluation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without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need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repeated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imaging examination to confirm PD. For subjects who are first evaluated for PD, whether or not they continue to study therapy after the progression, the initial progression date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assessed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investigator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will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used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all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statistical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analyses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that include progression information.</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Definition of clinical stability: no significant decrease in physical status and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no significant worsening of tumor-related symptoms; no rapid disease progression; no</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advanced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tumors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at</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critical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anatomical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sites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requiring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urgent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medical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intervention (e.g. spinal cord compression).</w:t>
      </w:r>
      <w:r>
        <w:rPr>
          <w:rFonts w:hint="default" w:ascii="Times New Roman Regular" w:hAnsi="Times New Roman Regular" w:cs="Times New Roman Regular"/>
          <w:sz w:val="20"/>
          <w:szCs w:val="20"/>
        </w:rPr>
        <w:drawing>
          <wp:inline distT="0" distB="0" distL="0" distR="0">
            <wp:extent cx="41275" cy="179705"/>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r:embed="rId14"/>
                    <a:stretch>
                      <a:fillRect/>
                    </a:stretch>
                  </pic:blipFill>
                  <pic:spPr>
                    <a:xfrm>
                      <a:off x="0" y="0"/>
                      <a:ext cx="41494" cy="179831"/>
                    </a:xfrm>
                    <a:prstGeom prst="rect">
                      <a:avLst/>
                    </a:prstGeom>
                  </pic:spPr>
                </pic:pic>
              </a:graphicData>
            </a:graphic>
          </wp:inline>
        </w:drawing>
      </w:r>
      <w:r>
        <w:rPr>
          <w:rFonts w:hint="default" w:ascii="Times New Roman Regular" w:hAnsi="Times New Roman Regular" w:cs="Times New Roman Regular"/>
          <w:sz w:val="20"/>
          <w:szCs w:val="20"/>
        </w:rPr>
        <w:t>The criteria for PD:</w:t>
      </w:r>
    </w:p>
    <w:tbl>
      <w:tblPr>
        <w:tblStyle w:val="17"/>
        <w:tblW w:w="907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99"/>
        <w:gridCol w:w="3579"/>
        <w:gridCol w:w="429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0" w:hRule="atLeast"/>
          <w:jc w:val="center"/>
        </w:trPr>
        <w:tc>
          <w:tcPr>
            <w:tcW w:w="1199"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p>
        </w:tc>
        <w:tc>
          <w:tcPr>
            <w:tcW w:w="3579"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Confirm PD</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（Any of the following）</w:t>
            </w:r>
          </w:p>
        </w:tc>
        <w:tc>
          <w:tcPr>
            <w:tcW w:w="4293"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Unconfirm PD</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（All of the following）</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0" w:hRule="atLeast"/>
          <w:jc w:val="center"/>
        </w:trPr>
        <w:tc>
          <w:tcPr>
            <w:tcW w:w="1199"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Target</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eastAsia="Arial" w:cs="Times New Roman Regular"/>
                <w:snapToGrid w:val="0"/>
                <w:color w:val="000000"/>
                <w:kern w:val="0"/>
                <w:sz w:val="20"/>
                <w:szCs w:val="20"/>
                <w:lang w:val="en-US" w:eastAsia="en-US" w:bidi="ar-SA"/>
              </w:rPr>
            </w:pPr>
            <w:r>
              <w:rPr>
                <w:rFonts w:hint="default" w:ascii="Times New Roman Regular" w:hAnsi="Times New Roman Regular" w:cs="Times New Roman Regular"/>
                <w:sz w:val="20"/>
                <w:szCs w:val="20"/>
              </w:rPr>
              <w:t>lesion</w:t>
            </w:r>
          </w:p>
        </w:tc>
        <w:tc>
          <w:tcPr>
            <w:tcW w:w="3579"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eastAsia="Arial" w:cs="Times New Roman Regular"/>
                <w:snapToGrid w:val="0"/>
                <w:color w:val="000000"/>
                <w:kern w:val="0"/>
                <w:sz w:val="20"/>
                <w:szCs w:val="20"/>
                <w:lang w:val="en-US" w:eastAsia="en-US" w:bidi="ar-SA"/>
              </w:rPr>
            </w:pP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tumor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load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increased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≥5 mm</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absolute terms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compared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 the first progression.</w:t>
            </w:r>
          </w:p>
        </w:tc>
        <w:tc>
          <w:tcPr>
            <w:tcW w:w="4293"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eastAsia="Arial" w:cs="Times New Roman Regular"/>
                <w:snapToGrid w:val="0"/>
                <w:color w:val="000000"/>
                <w:kern w:val="0"/>
                <w:sz w:val="20"/>
                <w:szCs w:val="20"/>
                <w:lang w:val="en-US" w:eastAsia="en-US" w:bidi="ar-SA"/>
              </w:rPr>
            </w:pP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tumor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load increased by &lt;5 mm</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 absolute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terms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compared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first progression.</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0" w:hRule="atLeast"/>
          <w:jc w:val="center"/>
        </w:trPr>
        <w:tc>
          <w:tcPr>
            <w:tcW w:w="1199"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eastAsia="Arial" w:cs="Times New Roman Regular"/>
                <w:snapToGrid w:val="0"/>
                <w:color w:val="000000"/>
                <w:kern w:val="0"/>
                <w:sz w:val="20"/>
                <w:szCs w:val="20"/>
                <w:lang w:val="en-US" w:eastAsia="en-US" w:bidi="ar-SA"/>
              </w:rPr>
            </w:pPr>
            <w:r>
              <w:rPr>
                <w:rFonts w:hint="default" w:ascii="Times New Roman Regular" w:hAnsi="Times New Roman Regular" w:cs="Times New Roman Regular"/>
                <w:sz w:val="20"/>
                <w:szCs w:val="20"/>
              </w:rPr>
              <w:t>Non-target lesion</w:t>
            </w:r>
          </w:p>
        </w:tc>
        <w:tc>
          <w:tcPr>
            <w:tcW w:w="3579"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eastAsia="Arial" w:cs="Times New Roman Regular"/>
                <w:snapToGrid w:val="0"/>
                <w:color w:val="000000"/>
                <w:kern w:val="0"/>
                <w:sz w:val="20"/>
                <w:szCs w:val="20"/>
                <w:lang w:val="en-US" w:eastAsia="en-US" w:bidi="ar-SA"/>
              </w:rPr>
            </w:pPr>
            <w:r>
              <w:rPr>
                <w:rFonts w:hint="default" w:ascii="Times New Roman Regular" w:hAnsi="Times New Roman Regular" w:cs="Times New Roman Regular"/>
                <w:sz w:val="20"/>
                <w:szCs w:val="20"/>
              </w:rPr>
              <w:t>Continuous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progression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 compared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with</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initial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progression (qualitative).</w:t>
            </w:r>
          </w:p>
        </w:tc>
        <w:tc>
          <w:tcPr>
            <w:tcW w:w="0" w:type="auto"/>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eastAsia="Arial" w:cs="Times New Roman Regular"/>
                <w:snapToGrid w:val="0"/>
                <w:color w:val="000000"/>
                <w:kern w:val="0"/>
                <w:sz w:val="20"/>
                <w:szCs w:val="20"/>
                <w:lang w:val="en-US" w:eastAsia="en-US" w:bidi="ar-SA"/>
              </w:rPr>
            </w:pPr>
            <w:r>
              <w:rPr>
                <w:rFonts w:hint="default" w:ascii="Times New Roman Regular" w:hAnsi="Times New Roman Regular" w:cs="Times New Roman Regular"/>
                <w:sz w:val="20"/>
                <w:szCs w:val="20"/>
              </w:rPr>
              <w:t>No</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clear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progress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compared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initial progress (qualitative).</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0" w:hRule="atLeast"/>
          <w:jc w:val="center"/>
        </w:trPr>
        <w:tc>
          <w:tcPr>
            <w:tcW w:w="1199"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New</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eastAsia="Arial" w:cs="Times New Roman Regular"/>
                <w:snapToGrid w:val="0"/>
                <w:color w:val="000000"/>
                <w:kern w:val="0"/>
                <w:sz w:val="20"/>
                <w:szCs w:val="20"/>
                <w:lang w:val="en-US" w:eastAsia="en-US" w:bidi="ar-SA"/>
              </w:rPr>
            </w:pPr>
            <w:r>
              <w:rPr>
                <w:rFonts w:hint="default" w:ascii="Times New Roman Regular" w:hAnsi="Times New Roman Regular" w:cs="Times New Roman Regular"/>
                <w:sz w:val="20"/>
                <w:szCs w:val="20"/>
              </w:rPr>
              <w:t>lesion</w:t>
            </w:r>
          </w:p>
        </w:tc>
        <w:tc>
          <w:tcPr>
            <w:tcW w:w="3579"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eastAsia="Arial" w:cs="Times New Roman Regular"/>
                <w:snapToGrid w:val="0"/>
                <w:color w:val="000000"/>
                <w:kern w:val="0"/>
                <w:sz w:val="20"/>
                <w:szCs w:val="20"/>
                <w:lang w:val="en-US" w:eastAsia="en-US" w:bidi="ar-SA"/>
              </w:rPr>
            </w:pPr>
            <w:r>
              <w:rPr>
                <w:rFonts w:hint="default" w:ascii="Times New Roman Regular" w:hAnsi="Times New Roman Regular" w:cs="Times New Roman Regular"/>
                <w:sz w:val="20"/>
                <w:szCs w:val="20"/>
              </w:rPr>
              <w:t>(1)</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Compared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with</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first progression, new lesions appeared.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(2)</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new</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lesion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has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appeared before, the new lesion increases, or other new lesions appear.</w:t>
            </w:r>
          </w:p>
        </w:tc>
        <w:tc>
          <w:tcPr>
            <w:tcW w:w="0" w:type="auto"/>
            <w:vAlign w:val="center"/>
          </w:tcPr>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(1)</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Compared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with</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first progression, there were no other new lesions.</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left="105" w:leftChars="50" w:right="105" w:rightChars="50"/>
              <w:jc w:val="both"/>
              <w:textAlignment w:val="baseline"/>
              <w:rPr>
                <w:rFonts w:hint="default" w:ascii="Times New Roman Regular" w:hAnsi="Times New Roman Regular" w:eastAsia="Arial" w:cs="Times New Roman Regular"/>
                <w:snapToGrid w:val="0"/>
                <w:color w:val="000000"/>
                <w:kern w:val="0"/>
                <w:sz w:val="20"/>
                <w:szCs w:val="20"/>
                <w:lang w:val="en-US" w:eastAsia="en-US" w:bidi="ar-SA"/>
              </w:rPr>
            </w:pPr>
            <w:r>
              <w:rPr>
                <w:rFonts w:hint="default" w:ascii="Times New Roman Regular" w:hAnsi="Times New Roman Regular" w:cs="Times New Roman Regular"/>
                <w:sz w:val="20"/>
                <w:szCs w:val="20"/>
              </w:rPr>
              <w:t>(2)</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If a</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new</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lesion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has appeared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before, the new lesion is stable or shrunken.</w:t>
            </w:r>
          </w:p>
        </w:tc>
      </w:tr>
    </w:tbl>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1"/>
        <w:rPr>
          <w:rFonts w:hint="default" w:ascii="Times New Roman Regular" w:hAnsi="Times New Roman Regular" w:cs="Times New Roman Regular"/>
          <w:b/>
          <w:bCs/>
          <w:sz w:val="22"/>
          <w:szCs w:val="22"/>
        </w:rPr>
      </w:pPr>
      <w:bookmarkStart w:id="28" w:name="_Toc29417"/>
      <w:r>
        <w:rPr>
          <w:rFonts w:hint="default" w:ascii="Times New Roman Regular" w:hAnsi="Times New Roman Regular" w:cs="Times New Roman Regular"/>
          <w:b/>
          <w:bCs/>
          <w:sz w:val="22"/>
          <w:szCs w:val="22"/>
        </w:rPr>
        <w:t>5.5 Tumor and blood samples collection</w:t>
      </w:r>
      <w:bookmarkEnd w:id="28"/>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b/>
          <w:bCs/>
          <w:sz w:val="22"/>
          <w:szCs w:val="22"/>
        </w:rPr>
      </w:pPr>
      <w:bookmarkStart w:id="29" w:name="_Toc2262"/>
      <w:r>
        <w:rPr>
          <w:rFonts w:hint="default" w:ascii="Times New Roman Regular" w:hAnsi="Times New Roman Regular" w:cs="Times New Roman Regular"/>
          <w:b/>
          <w:bCs/>
          <w:sz w:val="22"/>
          <w:szCs w:val="22"/>
        </w:rPr>
        <w:t>5.5.1 Collection time</w:t>
      </w:r>
      <w:bookmarkEnd w:id="29"/>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Baseline tumor biopsies are collected. Blood samples will be collected before the first dose, after 2 cycles of chemoimmunotherapy, and after completion of chemoradiotherapy.</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rPr>
      </w:pPr>
      <w:bookmarkStart w:id="30" w:name="_Toc30145"/>
      <w:r>
        <w:rPr>
          <w:rFonts w:hint="default" w:ascii="Times New Roman Regular" w:hAnsi="Times New Roman Regular" w:cs="Times New Roman Regular"/>
          <w:b/>
          <w:bCs/>
          <w:sz w:val="22"/>
          <w:szCs w:val="22"/>
        </w:rPr>
        <w:t>5.5.2 Processing and storage</w:t>
      </w:r>
      <w:bookmarkEnd w:id="30"/>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 total of 4-6 mL of venous blood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is collected at each time point and placed in the serum separation tube, which is placed in a cryogenic refrigerator.</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1"/>
        <w:rPr>
          <w:rFonts w:hint="default" w:ascii="Times New Roman Regular" w:hAnsi="Times New Roman Regular" w:cs="Times New Roman Regular"/>
          <w:b/>
          <w:bCs/>
          <w:sz w:val="22"/>
          <w:szCs w:val="22"/>
        </w:rPr>
      </w:pPr>
      <w:bookmarkStart w:id="31" w:name="_Toc30042"/>
      <w:r>
        <w:rPr>
          <w:rFonts w:hint="default" w:ascii="Times New Roman Regular" w:hAnsi="Times New Roman Regular" w:cs="Times New Roman Regular"/>
          <w:b/>
          <w:bCs/>
          <w:sz w:val="22"/>
          <w:szCs w:val="22"/>
        </w:rPr>
        <w:t>5.6 Observing targets</w:t>
      </w:r>
      <w:bookmarkEnd w:id="31"/>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b/>
          <w:bCs/>
          <w:sz w:val="22"/>
          <w:szCs w:val="22"/>
        </w:rPr>
      </w:pPr>
      <w:bookmarkStart w:id="32" w:name="_Toc27696"/>
      <w:r>
        <w:rPr>
          <w:rFonts w:hint="default" w:ascii="Times New Roman Regular" w:hAnsi="Times New Roman Regular" w:cs="Times New Roman Regular"/>
          <w:b/>
          <w:bCs/>
          <w:sz w:val="22"/>
          <w:szCs w:val="22"/>
        </w:rPr>
        <w:t>5.6.1 Toxicity evaluation</w:t>
      </w:r>
      <w:bookmarkEnd w:id="32"/>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 xml:space="preserve">Therapeutic toxicity is evaluated according to CTCAE </w:t>
      </w:r>
      <w:r>
        <w:rPr>
          <w:rFonts w:hint="default" w:ascii="Times New Roman Regular" w:hAnsi="Times New Roman Regular" w:eastAsia="宋体" w:cs="Times New Roman Regular"/>
          <w:sz w:val="20"/>
          <w:szCs w:val="20"/>
          <w:lang w:val="en-US" w:eastAsia="zh-CN"/>
        </w:rPr>
        <w:t>5</w:t>
      </w:r>
      <w:r>
        <w:rPr>
          <w:rFonts w:hint="default" w:ascii="Times New Roman Regular" w:hAnsi="Times New Roman Regular" w:cs="Times New Roman Regular"/>
          <w:sz w:val="20"/>
          <w:szCs w:val="20"/>
        </w:rPr>
        <w:t>.0 criteria.</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b/>
          <w:bCs/>
          <w:sz w:val="22"/>
          <w:szCs w:val="22"/>
        </w:rPr>
      </w:pPr>
      <w:bookmarkStart w:id="33" w:name="_Toc3261"/>
      <w:r>
        <w:rPr>
          <w:rFonts w:hint="default" w:ascii="Times New Roman Regular" w:hAnsi="Times New Roman Regular" w:cs="Times New Roman Regular"/>
          <w:b/>
          <w:bCs/>
          <w:sz w:val="22"/>
          <w:szCs w:val="22"/>
        </w:rPr>
        <w:t>5.6.2 Evaluation of short-term clinical efficacy after CRT</w:t>
      </w:r>
      <w:bookmarkEnd w:id="33"/>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1)</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Evaluation time: 3 months after CRT (approximately 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eastAsia="宋体" w:cs="Times New Roman Regular"/>
          <w:sz w:val="20"/>
          <w:szCs w:val="20"/>
          <w:lang w:val="en-US" w:eastAsia="zh-CN"/>
        </w:rPr>
        <w:t>25</w:t>
      </w:r>
      <w:r>
        <w:rPr>
          <w:rFonts w:hint="default" w:ascii="Times New Roman Regular" w:hAnsi="Times New Roman Regular" w:cs="Times New Roman Regular"/>
          <w:sz w:val="20"/>
          <w:szCs w:val="20"/>
        </w:rPr>
        <w:t>th week of treatment).</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2)</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Evaluation measures:</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lang w:val="en-US" w:eastAsia="zh-CN"/>
        </w:rPr>
        <w:t xml:space="preserve">neck, </w:t>
      </w:r>
      <w:r>
        <w:rPr>
          <w:rFonts w:hint="default" w:ascii="Times New Roman Regular" w:hAnsi="Times New Roman Regular" w:cs="Times New Roman Regular"/>
          <w:sz w:val="20"/>
          <w:szCs w:val="20"/>
        </w:rPr>
        <w:t>chest</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and abdomen enhanced CT.</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3)</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Evaluation criteria: according to RECIST</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rPr>
        <w:t>1.1criteria.</w:t>
      </w:r>
      <w:r>
        <w:rPr>
          <w:rFonts w:hint="default" w:ascii="Times New Roman Regular" w:hAnsi="Times New Roman Regular" w:cs="Times New Roman Regular"/>
          <w:sz w:val="20"/>
          <w:szCs w:val="20"/>
          <w:lang w:val="en-US" w:eastAsia="zh-CN"/>
        </w:rPr>
        <w:t xml:space="preserve"> </w:t>
      </w:r>
      <w:r>
        <w:rPr>
          <w:rFonts w:hint="default" w:ascii="Times New Roman Regular" w:hAnsi="Times New Roman Regular" w:cs="Times New Roman Regular"/>
          <w:sz w:val="20"/>
          <w:szCs w:val="20"/>
        </w:rPr>
        <w:t>As a general rule, the primary esophageal lesion is not considered a target lesion, unless no other lesions can serve as the target</w:t>
      </w:r>
      <w:r>
        <w:rPr>
          <w:rFonts w:hint="default" w:ascii="Times New Roman Regular" w:hAnsi="Times New Roman Regular" w:eastAsia="宋体" w:cs="Times New Roman Regular"/>
          <w:sz w:val="20"/>
          <w:szCs w:val="20"/>
          <w:lang w:val="en-US" w:eastAsia="zh-CN"/>
        </w:rPr>
        <w:t xml:space="preserve"> lesion</w:t>
      </w:r>
      <w:r>
        <w:rPr>
          <w:rFonts w:hint="default" w:ascii="Times New Roman Regular" w:hAnsi="Times New Roman Regular" w:cs="Times New Roman Regular"/>
          <w:sz w:val="20"/>
          <w:szCs w:val="20"/>
        </w:rPr>
        <w:t>. In such cases, the primary esophageal lesion may be considered a target lesion, provided it meets the following criteria: 1) The primary esophageal lesion has clear boundaries and is easy to measure on CT; 2) The length of the esophageal longitudinal axis</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≥5cm.</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sz w:val="20"/>
          <w:szCs w:val="20"/>
          <w:lang w:val="en-US" w:eastAsia="zh-CN"/>
        </w:rPr>
      </w:pPr>
      <w:r>
        <w:rPr>
          <w:rFonts w:hint="default" w:ascii="Times New Roman Regular" w:hAnsi="Times New Roman Regular" w:cs="Times New Roman Regular"/>
          <w:sz w:val="20"/>
          <w:szCs w:val="20"/>
        </w:rPr>
        <w:t xml:space="preserve">Complete response (CR) is defined as </w:t>
      </w:r>
      <w:r>
        <w:rPr>
          <w:rFonts w:hint="default" w:ascii="Times New Roman Regular" w:hAnsi="Times New Roman Regular" w:cs="Times New Roman Regular"/>
          <w:sz w:val="20"/>
          <w:szCs w:val="20"/>
          <w:lang w:val="en-US" w:eastAsia="zh-CN"/>
        </w:rPr>
        <w:t>the d</w:t>
      </w:r>
      <w:r>
        <w:rPr>
          <w:rFonts w:hint="default" w:ascii="Times New Roman Regular" w:hAnsi="Times New Roman Regular" w:cs="Times New Roman Regular"/>
          <w:sz w:val="20"/>
          <w:szCs w:val="20"/>
        </w:rPr>
        <w:t>isappearance of all target lesions, and all pathological lymph nodes (including target and non-target nodes) must have reduction in short axis to &lt;10 mm.</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lang w:val="en-US" w:eastAsia="zh-CN"/>
        </w:rPr>
        <w:t>Considering that the esophagus is a hollow organ, the assessment of a clinical complete remission (cCR) of primary esophageal lesions depends not only on CT imaging examinations but also on the use of various methods such as endoscopy with biopsy, endoscopic ultrasound, and positron emission tomography-computed tomography (PET-CT) to confirm the status. In the current study, efficacy was assessed primarily by CT, warranting additional caution when evaluating CR of esophageal lesions.</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Partial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response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defined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least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30%</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decrease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sum</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 diameters of target lesions, taking as reference the baseline sum diameters.</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Progressive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disease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defined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least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20%</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increase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sum of</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diameters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target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lesions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absolute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increase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least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5</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mm),</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 appearance of one or more new lesions.</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Stable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disease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defined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neither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sufficient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decrease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qualify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for partial response nor sufficient increase to qualify for progressive disease.</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Note: According to CT evaluation, the longest diameter of esophageal lesions is defined as the sum of the maximum diameters of the longitudinal axis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 the horizontal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axis,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which</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maximum</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diameters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horizontal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axis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are defined as the length of the maximum cross-section of the tumor minus the length of the central cavity on the same measurement line.</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4)</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If there is any ambiguous finding, re-evaluation will be conducted within 6 weeks to determine the final response.</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b/>
          <w:bCs/>
          <w:sz w:val="22"/>
          <w:szCs w:val="22"/>
        </w:rPr>
      </w:pPr>
      <w:bookmarkStart w:id="34" w:name="_Toc10779"/>
      <w:r>
        <w:rPr>
          <w:rFonts w:hint="default" w:ascii="Times New Roman Regular" w:hAnsi="Times New Roman Regular" w:cs="Times New Roman Regular"/>
          <w:b/>
          <w:bCs/>
          <w:sz w:val="22"/>
          <w:szCs w:val="22"/>
        </w:rPr>
        <w:t>5.6.3 Endpoint evaluation</w:t>
      </w:r>
      <w:bookmarkEnd w:id="34"/>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9"/>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 xml:space="preserve">1) Primary endpoint: </w:t>
      </w:r>
      <w:r>
        <w:rPr>
          <w:rFonts w:hint="default" w:ascii="Times New Roman Regular" w:hAnsi="Times New Roman Regular" w:eastAsia="宋体" w:cs="Times New Roman Regular"/>
          <w:sz w:val="20"/>
          <w:szCs w:val="20"/>
          <w:lang w:val="en-US" w:eastAsia="zh-CN"/>
        </w:rPr>
        <w:t>PFS</w:t>
      </w:r>
      <w:r>
        <w:rPr>
          <w:rFonts w:hint="default" w:ascii="Times New Roman Regular" w:hAnsi="Times New Roman Regular" w:cs="Times New Roman Regular"/>
          <w:sz w:val="20"/>
          <w:szCs w:val="20"/>
        </w:rPr>
        <w:t>.</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 xml:space="preserve">2) Secondary endpoint: </w:t>
      </w:r>
      <w:r>
        <w:rPr>
          <w:rFonts w:hint="default" w:ascii="Times New Roman Regular" w:hAnsi="Times New Roman Regular" w:eastAsia="宋体" w:cs="Times New Roman Regular"/>
          <w:sz w:val="20"/>
          <w:szCs w:val="20"/>
          <w:lang w:val="en-US" w:eastAsia="zh-CN"/>
        </w:rPr>
        <w:t xml:space="preserve">ORR, DCR, </w:t>
      </w:r>
      <w:r>
        <w:rPr>
          <w:rFonts w:hint="default" w:ascii="Times New Roman Regular" w:hAnsi="Times New Roman Regular" w:cs="Times New Roman Regular"/>
          <w:sz w:val="20"/>
          <w:szCs w:val="20"/>
        </w:rPr>
        <w:t>DO</w:t>
      </w:r>
      <w:r>
        <w:rPr>
          <w:rFonts w:hint="default" w:ascii="Times New Roman Regular" w:hAnsi="Times New Roman Regular" w:eastAsia="宋体" w:cs="Times New Roman Regular"/>
          <w:sz w:val="20"/>
          <w:szCs w:val="20"/>
          <w:lang w:val="en-US" w:eastAsia="zh-CN"/>
        </w:rPr>
        <w:t>R</w:t>
      </w:r>
      <w:r>
        <w:rPr>
          <w:rFonts w:hint="default" w:ascii="Times New Roman Regular" w:hAnsi="Times New Roman Regular" w:cs="Times New Roman Regular"/>
          <w:sz w:val="20"/>
          <w:szCs w:val="20"/>
        </w:rPr>
        <w:t xml:space="preserve"> </w:t>
      </w:r>
      <w:r>
        <w:rPr>
          <w:rFonts w:hint="default" w:ascii="Times New Roman Regular" w:hAnsi="Times New Roman Regular" w:eastAsia="宋体" w:cs="Times New Roman Regular"/>
          <w:sz w:val="20"/>
          <w:szCs w:val="20"/>
          <w:lang w:val="en-US" w:eastAsia="zh-CN"/>
        </w:rPr>
        <w:t xml:space="preserve">, OS, </w:t>
      </w:r>
      <w:r>
        <w:rPr>
          <w:rFonts w:hint="default" w:ascii="Times New Roman Regular" w:hAnsi="Times New Roman Regular" w:cs="Times New Roman Regular"/>
          <w:sz w:val="20"/>
          <w:szCs w:val="20"/>
        </w:rPr>
        <w:t>Toxicity</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Quality of life.</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 xml:space="preserve">3) Exploratory endpoint: </w:t>
      </w:r>
      <w:r>
        <w:rPr>
          <w:rFonts w:hint="default" w:ascii="Times New Roman Regular" w:hAnsi="Times New Roman Regular" w:eastAsia="宋体" w:cs="Times New Roman Regular"/>
          <w:sz w:val="20"/>
          <w:szCs w:val="20"/>
          <w:lang w:val="en-US" w:eastAsia="zh-CN"/>
        </w:rPr>
        <w:t xml:space="preserve">To </w:t>
      </w:r>
      <w:r>
        <w:rPr>
          <w:rFonts w:hint="default" w:ascii="Times New Roman Regular" w:hAnsi="Times New Roman Regular" w:cs="Times New Roman Regular"/>
          <w:sz w:val="20"/>
          <w:szCs w:val="20"/>
        </w:rPr>
        <w:t>investigate the potential predictive and prognostic biomarkers, including programmed death-ligand 1 (PD-L1) expression in archived and/or fresh tumor tissue and blood samples obtained before and/or after the completion of the study treatment and/or at the time of PD via next-generation sequencing and multicolor immunohistochemical assays. Thereafter, we will assess the relationships between biomarkers, including PD-L1, circulating tumor DNA (ctDNA), and cytokines as well as the therapeutic effect of combination treatment. Furthermore, we aim to investigate the immune microenvironment, immune-related gene expression, and immune-related factors, as well as their associations with disease status and treatment response.</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b/>
          <w:bCs/>
          <w:sz w:val="22"/>
          <w:szCs w:val="22"/>
        </w:rPr>
      </w:pPr>
      <w:bookmarkStart w:id="35" w:name="_Toc27229"/>
      <w:r>
        <w:rPr>
          <w:rFonts w:hint="default" w:ascii="Times New Roman Regular" w:hAnsi="Times New Roman Regular" w:cs="Times New Roman Regular"/>
          <w:b/>
          <w:bCs/>
          <w:sz w:val="22"/>
          <w:szCs w:val="22"/>
        </w:rPr>
        <w:t>5.6.4 Follow-up</w:t>
      </w:r>
      <w:bookmarkEnd w:id="35"/>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lang w:eastAsia="zh-TW"/>
        </w:rPr>
        <w:t xml:space="preserve">Tumor assessments were performed once every </w:t>
      </w:r>
      <w:r>
        <w:rPr>
          <w:rFonts w:hint="default" w:ascii="Times New Roman Regular" w:hAnsi="Times New Roman Regular" w:cs="Times New Roman Regular"/>
          <w:sz w:val="20"/>
          <w:szCs w:val="20"/>
          <w:lang w:eastAsia="zh-CN"/>
        </w:rPr>
        <w:t>6</w:t>
      </w:r>
      <w:r>
        <w:rPr>
          <w:rFonts w:hint="default" w:ascii="Times New Roman Regular" w:hAnsi="Times New Roman Regular" w:cs="Times New Roman Regular"/>
          <w:sz w:val="20"/>
          <w:szCs w:val="20"/>
          <w:lang w:eastAsia="zh-TW"/>
        </w:rPr>
        <w:t xml:space="preserve"> weeks (</w:t>
      </w:r>
      <w:r>
        <w:rPr>
          <w:rFonts w:hint="default" w:ascii="Times New Roman Regular" w:hAnsi="Times New Roman Regular" w:cs="Times New Roman Regular"/>
          <w:sz w:val="20"/>
          <w:szCs w:val="20"/>
          <w:lang w:eastAsia="zh-CN"/>
        </w:rPr>
        <w:t>±7</w:t>
      </w:r>
      <w:r>
        <w:rPr>
          <w:rFonts w:hint="default" w:ascii="Times New Roman Regular" w:hAnsi="Times New Roman Regular" w:cs="Times New Roman Regular"/>
          <w:sz w:val="20"/>
          <w:szCs w:val="20"/>
          <w:lang w:eastAsia="zh-TW"/>
        </w:rPr>
        <w:t xml:space="preserve"> days) during </w:t>
      </w:r>
      <w:r>
        <w:rPr>
          <w:rFonts w:hint="default" w:ascii="Times New Roman Regular" w:hAnsi="Times New Roman Regular" w:cs="Times New Roman Regular"/>
          <w:sz w:val="20"/>
          <w:szCs w:val="20"/>
          <w:lang w:eastAsia="zh-CN"/>
        </w:rPr>
        <w:t>chemotherapy</w:t>
      </w:r>
      <w:r>
        <w:rPr>
          <w:rFonts w:hint="default" w:ascii="Times New Roman Regular" w:hAnsi="Times New Roman Regular" w:cs="Times New Roman Regular"/>
          <w:sz w:val="20"/>
          <w:szCs w:val="20"/>
          <w:lang w:eastAsia="zh-TW"/>
        </w:rPr>
        <w:t xml:space="preserve">, and once every </w:t>
      </w:r>
      <w:r>
        <w:rPr>
          <w:rFonts w:hint="default" w:ascii="Times New Roman Regular" w:hAnsi="Times New Roman Regular" w:cs="Times New Roman Regular"/>
          <w:sz w:val="20"/>
          <w:szCs w:val="20"/>
          <w:lang w:eastAsia="zh-CN"/>
        </w:rPr>
        <w:t>12 weeks (±7</w:t>
      </w:r>
      <w:r>
        <w:rPr>
          <w:rFonts w:hint="default" w:ascii="Times New Roman Regular" w:hAnsi="Times New Roman Regular" w:cs="Times New Roman Regular"/>
          <w:sz w:val="20"/>
          <w:szCs w:val="20"/>
          <w:lang w:eastAsia="zh-TW"/>
        </w:rPr>
        <w:t xml:space="preserve"> days)</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lang w:eastAsia="zh-TW"/>
        </w:rPr>
        <w:t xml:space="preserve">from the end of chemoradiotherapy to </w:t>
      </w:r>
      <w:r>
        <w:rPr>
          <w:rFonts w:hint="default" w:ascii="Times New Roman Regular" w:hAnsi="Times New Roman Regular" w:cs="Times New Roman Regular"/>
          <w:sz w:val="20"/>
          <w:szCs w:val="20"/>
          <w:lang w:eastAsia="zh-CN"/>
        </w:rPr>
        <w:t>the end of the second</w:t>
      </w:r>
      <w:r>
        <w:rPr>
          <w:rFonts w:hint="default" w:ascii="Times New Roman Regular" w:hAnsi="Times New Roman Regular" w:cs="Times New Roman Regular"/>
          <w:sz w:val="20"/>
          <w:szCs w:val="20"/>
          <w:lang w:eastAsia="zh-TW"/>
        </w:rPr>
        <w:t xml:space="preserve"> year, once every 6 months during the third and fourth years, and once yearly thereafter.</w:t>
      </w:r>
      <w:r>
        <w:rPr>
          <w:rFonts w:hint="default" w:ascii="Times New Roman Regular" w:hAnsi="Times New Roman Regular" w:cs="Times New Roman Regular"/>
          <w:sz w:val="20"/>
          <w:szCs w:val="20"/>
          <w:lang w:val="en-US" w:eastAsia="zh-CN"/>
        </w:rPr>
        <w:t xml:space="preserve"> </w:t>
      </w:r>
      <w:r>
        <w:rPr>
          <w:rFonts w:hint="default" w:ascii="Times New Roman Regular" w:hAnsi="Times New Roman Regular" w:cs="Times New Roman Regular"/>
          <w:sz w:val="20"/>
          <w:szCs w:val="20"/>
          <w:lang w:eastAsia="zh-TW"/>
        </w:rPr>
        <w:t>The follow-up contents include physical</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lang w:eastAsia="zh-TW"/>
        </w:rPr>
        <w:t>examination,</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lang w:eastAsia="zh-TW"/>
        </w:rPr>
        <w:t>serological examination</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lang w:eastAsia="zh-TW"/>
        </w:rPr>
        <w:t>(blood routine, biochemical routine, thyroid</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lang w:eastAsia="zh-TW"/>
        </w:rPr>
        <w:t>function,</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lang w:eastAsia="zh-TW"/>
        </w:rPr>
        <w:t>cortisol,</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lang w:eastAsia="zh-TW"/>
        </w:rPr>
        <w:t>etc.),</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lang w:eastAsia="zh-TW"/>
        </w:rPr>
        <w:t>esophageal</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lang w:eastAsia="zh-TW"/>
        </w:rPr>
        <w:t xml:space="preserve">barium swallowing, </w:t>
      </w:r>
      <w:r>
        <w:rPr>
          <w:rFonts w:hint="default" w:ascii="Times New Roman Regular" w:hAnsi="Times New Roman Regular" w:eastAsia="宋体" w:cs="Times New Roman Regular"/>
          <w:sz w:val="20"/>
          <w:szCs w:val="20"/>
          <w:lang w:val="en-US" w:eastAsia="zh-CN"/>
        </w:rPr>
        <w:t xml:space="preserve">neck, </w:t>
      </w:r>
      <w:r>
        <w:rPr>
          <w:rFonts w:hint="default" w:ascii="Times New Roman Regular" w:hAnsi="Times New Roman Regular" w:cs="Times New Roman Regular"/>
          <w:sz w:val="20"/>
          <w:szCs w:val="20"/>
          <w:lang w:eastAsia="zh-TW"/>
        </w:rPr>
        <w:t>chest and abdomen enhanced</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lang w:eastAsia="zh-TW"/>
        </w:rPr>
        <w:t>CT,</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lang w:eastAsia="zh-TW"/>
        </w:rPr>
        <w:t>and</w:t>
      </w:r>
      <w:r>
        <w:rPr>
          <w:rFonts w:hint="default" w:ascii="Times New Roman Regular" w:hAnsi="Times New Roman Regular" w:cs="Times New Roman Regular"/>
          <w:sz w:val="20"/>
          <w:szCs w:val="20"/>
          <w:lang w:eastAsia="zh-CN"/>
        </w:rPr>
        <w:t xml:space="preserve"> </w:t>
      </w:r>
      <w:r>
        <w:rPr>
          <w:rFonts w:hint="default" w:ascii="Times New Roman Regular" w:hAnsi="Times New Roman Regular" w:cs="Times New Roman Regular"/>
          <w:sz w:val="20"/>
          <w:szCs w:val="20"/>
          <w:lang w:eastAsia="zh-TW"/>
        </w:rPr>
        <w:t>PET-CT if necessary; The use of esophagoscopy is determined by the researcher, and pathological biopsy will be performed if necessary.</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1"/>
        <w:rPr>
          <w:rFonts w:hint="default" w:ascii="Times New Roman Regular" w:hAnsi="Times New Roman Regular" w:cs="Times New Roman Regular"/>
          <w:b/>
          <w:bCs/>
          <w:sz w:val="22"/>
          <w:szCs w:val="22"/>
        </w:rPr>
      </w:pPr>
      <w:bookmarkStart w:id="36" w:name="_Toc24628"/>
      <w:r>
        <w:rPr>
          <w:rFonts w:hint="default" w:ascii="Times New Roman Regular" w:hAnsi="Times New Roman Regular" w:cs="Times New Roman Regular"/>
          <w:b/>
          <w:bCs/>
          <w:sz w:val="22"/>
          <w:szCs w:val="22"/>
        </w:rPr>
        <w:t>5.7 Ethics</w:t>
      </w:r>
      <w:bookmarkEnd w:id="36"/>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b/>
          <w:bCs/>
          <w:sz w:val="22"/>
          <w:szCs w:val="22"/>
        </w:rPr>
      </w:pPr>
      <w:bookmarkStart w:id="37" w:name="_Toc7117"/>
      <w:r>
        <w:rPr>
          <w:rFonts w:hint="default" w:ascii="Times New Roman Regular" w:hAnsi="Times New Roman Regular" w:cs="Times New Roman Regular"/>
          <w:b/>
          <w:bCs/>
          <w:sz w:val="22"/>
          <w:szCs w:val="22"/>
        </w:rPr>
        <w:t>5.7.1 Informed consent</w:t>
      </w:r>
      <w:bookmarkEnd w:id="37"/>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Before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patients’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recruitment,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investigator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should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completely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 comprehensively explain the objective of this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study, the characteristics of drugs, and the potential toxicity and risk in the treatment, and allow the patients to be aware of their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rights,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risks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benefits.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Informed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consent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form</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should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signed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before recruitment and preserved in files as paper documentation.</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b/>
          <w:bCs/>
          <w:sz w:val="22"/>
          <w:szCs w:val="22"/>
        </w:rPr>
      </w:pPr>
      <w:bookmarkStart w:id="38" w:name="_Toc3800"/>
      <w:r>
        <w:rPr>
          <w:rFonts w:hint="default" w:ascii="Times New Roman Regular" w:hAnsi="Times New Roman Regular" w:cs="Times New Roman Regular"/>
          <w:b/>
          <w:bCs/>
          <w:sz w:val="22"/>
          <w:szCs w:val="22"/>
        </w:rPr>
        <w:t>5.7.2 Ethics and policy</w:t>
      </w:r>
      <w:bookmarkEnd w:id="38"/>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rPr>
      </w:pPr>
      <w:r>
        <w:rPr>
          <w:rFonts w:hint="default" w:ascii="Times New Roman Regular" w:hAnsi="Times New Roman Regular" w:cs="Times New Roman Regular"/>
          <w:sz w:val="20"/>
          <w:szCs w:val="20"/>
        </w:rPr>
        <w:t>This study will be conducted in accordance with the Declaration of Helsinki (2000), the Good Clinical Practice (GCP) guidelines published by the CFDA, and other relevant regulations. The study must be approved by the Ethics Committee of the study center. Any amendments to the study protocol should be re-approved by the Ethics Committee during the course of the study.</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1"/>
        <w:rPr>
          <w:rFonts w:hint="default" w:ascii="Times New Roman Regular" w:hAnsi="Times New Roman Regular" w:cs="Times New Roman Regular"/>
          <w:b/>
          <w:bCs/>
          <w:sz w:val="22"/>
          <w:szCs w:val="22"/>
        </w:rPr>
      </w:pPr>
      <w:bookmarkStart w:id="39" w:name="_Toc3233"/>
      <w:r>
        <w:rPr>
          <w:rFonts w:hint="default" w:ascii="Times New Roman Regular" w:hAnsi="Times New Roman Regular" w:cs="Times New Roman Regular"/>
          <w:b/>
          <w:bCs/>
          <w:sz w:val="22"/>
          <w:szCs w:val="22"/>
        </w:rPr>
        <w:t>5.8 Quality guarantee</w:t>
      </w:r>
      <w:bookmarkEnd w:id="39"/>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b/>
          <w:bCs/>
          <w:sz w:val="22"/>
          <w:szCs w:val="22"/>
        </w:rPr>
      </w:pPr>
      <w:bookmarkStart w:id="40" w:name="_Toc30008"/>
      <w:r>
        <w:rPr>
          <w:rFonts w:hint="default" w:ascii="Times New Roman Regular" w:hAnsi="Times New Roman Regular" w:cs="Times New Roman Regular"/>
          <w:b/>
          <w:bCs/>
          <w:sz w:val="22"/>
          <w:szCs w:val="22"/>
        </w:rPr>
        <w:t>5.8.1 Requirements</w:t>
      </w:r>
      <w:bookmarkEnd w:id="40"/>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In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order to</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ensure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that the trial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can be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carried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out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strict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accordance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with the protocol, the clinical investigator should strictly follow the requirements of the GCP</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during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whole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process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clinical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trial,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ensure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that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trial procedure is standardized, the trial data is accurate and the study conclusions are reliable.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Specific requirements are as follows:</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1)</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Obtain informed consent signed by each subject or his/her agent;</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2)</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Carefully fill in the case report form (CRF) as required;</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9"/>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3)</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Regularly follow-up;</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4)</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Maintain complete laboratory examination records, clinical records, and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subject's original medical records.</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b/>
          <w:bCs/>
          <w:sz w:val="22"/>
          <w:szCs w:val="22"/>
        </w:rPr>
      </w:pPr>
      <w:bookmarkStart w:id="41" w:name="_Toc8588"/>
      <w:r>
        <w:rPr>
          <w:rFonts w:hint="default" w:ascii="Times New Roman Regular" w:hAnsi="Times New Roman Regular" w:cs="Times New Roman Regular"/>
          <w:b/>
          <w:bCs/>
          <w:sz w:val="22"/>
          <w:szCs w:val="22"/>
        </w:rPr>
        <w:t>5.8.2 Data processing and preservation</w:t>
      </w:r>
      <w:bookmarkEnd w:id="41"/>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1)</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Case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Report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Form</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(CRF):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CRF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should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filled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timely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 assure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information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accuracy and prompt summary. CRF should generally not be altered. If there is indeed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 mistake that need to be corrected, the investigator should sign at the site of alteration. CRF shall be filled out in duplicate and handed out to the sponsor and the investigator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after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study.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Data</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will be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input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into</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database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after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being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reviewed by 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Clinical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Research</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Associate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(CRA), and all 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content 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CRF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can no longer be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amended afterwards.</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2)</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Establishment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database: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Once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CRF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received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statisticians,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 queries about the data should be answered by the investigator who filled in the CRF. The statisticians will then establish the database which is then reviewed and locked by the major investigators,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sponsors,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statisticians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CRA.</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Irrelevant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persons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have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no access to the database. The database should be backed up.</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3)</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Preservation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 materials: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According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GCP,</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documentations should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 xml:space="preserve">be properly preserved by the investigators for more than </w:t>
      </w:r>
      <w:r>
        <w:rPr>
          <w:rFonts w:hint="default" w:ascii="Times New Roman Regular" w:hAnsi="Times New Roman Regular" w:eastAsia="宋体" w:cs="Times New Roman Regular"/>
          <w:sz w:val="20"/>
          <w:szCs w:val="20"/>
          <w:lang w:val="en-US" w:eastAsia="zh-CN"/>
        </w:rPr>
        <w:t>five</w:t>
      </w:r>
      <w:r>
        <w:rPr>
          <w:rFonts w:hint="default" w:ascii="Times New Roman Regular" w:hAnsi="Times New Roman Regular" w:cs="Times New Roman Regular"/>
          <w:sz w:val="20"/>
          <w:szCs w:val="20"/>
        </w:rPr>
        <w:t xml:space="preserve"> years.</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1"/>
        <w:rPr>
          <w:rFonts w:hint="default" w:ascii="Times New Roman Regular" w:hAnsi="Times New Roman Regular" w:cs="Times New Roman Regular"/>
          <w:b/>
          <w:bCs/>
          <w:sz w:val="22"/>
          <w:szCs w:val="22"/>
        </w:rPr>
      </w:pPr>
      <w:bookmarkStart w:id="42" w:name="_Toc1653"/>
      <w:r>
        <w:rPr>
          <w:rFonts w:hint="default" w:ascii="Times New Roman Regular" w:hAnsi="Times New Roman Regular" w:cs="Times New Roman Regular"/>
          <w:b/>
          <w:bCs/>
          <w:sz w:val="22"/>
          <w:szCs w:val="22"/>
        </w:rPr>
        <w:t>5.9 Security measures</w:t>
      </w:r>
      <w:bookmarkEnd w:id="42"/>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Results of studies conducted through this program may be published in medical journals, but we will keep patient information confidential as required by law.</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When necessary,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government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administrative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departments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 hospital Ethics Committees and their relevant personnel may consult the patient's data according to regulations.</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1"/>
        <w:rPr>
          <w:rFonts w:hint="default" w:ascii="Times New Roman Regular" w:hAnsi="Times New Roman Regular" w:cs="Times New Roman Regular"/>
          <w:b/>
          <w:bCs/>
          <w:sz w:val="22"/>
          <w:szCs w:val="22"/>
        </w:rPr>
      </w:pPr>
      <w:bookmarkStart w:id="43" w:name="_Toc1405"/>
      <w:r>
        <w:rPr>
          <w:rFonts w:hint="default" w:ascii="Times New Roman Regular" w:hAnsi="Times New Roman Regular" w:cs="Times New Roman Regular"/>
          <w:b/>
          <w:bCs/>
          <w:sz w:val="22"/>
          <w:szCs w:val="22"/>
        </w:rPr>
        <w:t>5.10 Safety assessment</w:t>
      </w:r>
      <w:bookmarkEnd w:id="43"/>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information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below</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based 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 results of non-clinical and clinical studies, as well as published data on similar drugs.</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b/>
          <w:bCs/>
          <w:sz w:val="22"/>
          <w:szCs w:val="22"/>
        </w:rPr>
      </w:pPr>
      <w:bookmarkStart w:id="44" w:name="_Toc31947"/>
      <w:r>
        <w:rPr>
          <w:rFonts w:hint="default" w:ascii="Times New Roman Regular" w:hAnsi="Times New Roman Regular" w:cs="Times New Roman Regular"/>
          <w:b/>
          <w:bCs/>
          <w:sz w:val="22"/>
          <w:szCs w:val="22"/>
        </w:rPr>
        <w:t>5.10.1 Safety plan</w:t>
      </w:r>
      <w:bookmarkEnd w:id="44"/>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Various measures will be taken to ensure the safety of patient participated in this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study,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including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strict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inclusion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exclusion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criteria</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close monitoring.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Study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drug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administration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will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conducted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presence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 emergency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medical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facilities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staff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trained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emergency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surveillance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 management.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All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adverse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event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(AE) and serious adverse event (SAE)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will be recorded during the study.</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1) Risks associated with toripalimab: The PD-L1/PD-1 pathway is involved in peripheral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immune tolerance.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Thus,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such</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treatments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may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increase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risk</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 immune-mediated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particularly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inducing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exacerbating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autoimmune diseases.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Potential immune-mediated AE have been observed in ongoing clinical studies of the safety and efficacy of toripalimab injection (JS001) in solid tumors, including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interstitial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lung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disease,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hypothyroidism</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hyperthyroidism,</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liver dysfunction,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pancreatitis,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hyperglycemia,</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adrenal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insufficiency.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more details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clinical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safety,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please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see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toripalimab</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injection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(JS001) investigator's manual.</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2) AE monitoring: This study will assess safety by monitoring all serious and non-serious AE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(defined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graded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according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NCI</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CTCAE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version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eastAsia="宋体" w:cs="Times New Roman Regular"/>
          <w:sz w:val="20"/>
          <w:szCs w:val="20"/>
          <w:lang w:val="en-US" w:eastAsia="zh-CN"/>
        </w:rPr>
        <w:t>5</w:t>
      </w:r>
      <w:r>
        <w:rPr>
          <w:rFonts w:hint="default" w:ascii="Times New Roman Regular" w:hAnsi="Times New Roman Regular" w:cs="Times New Roman Regular"/>
          <w:sz w:val="20"/>
          <w:szCs w:val="20"/>
        </w:rPr>
        <w:t>.0 standard).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Patients will be assessed for safety (including laboratory values) based 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duration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 their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visit.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Laboratory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values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must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reviewed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before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each infusion.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General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safety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assessments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include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series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interphase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histories, physical examinations, and specific laboratory studies, including serum chemistry and blood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count.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Patients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will be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closely monitored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signs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symptoms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 autoimmune diseases and infections during the study.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Reporting of all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SAE will be expedited.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Patients will be followed for safety for 60 days after the last dose of 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study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drug.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After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completion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study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exit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remain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study treatment-related AE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 patients with</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follow-up,</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ease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 baseline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levels,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until 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researchers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reckon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event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has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been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stable,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start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new</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anti-cancer treatment,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patients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are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lost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follow-up,</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withdraw</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consent,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have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been confirmed in patients’ treatment or to participate in 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study is not the cause of AE.</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b/>
          <w:bCs/>
          <w:sz w:val="22"/>
          <w:szCs w:val="22"/>
        </w:rPr>
      </w:pPr>
      <w:bookmarkStart w:id="45" w:name="_Toc161"/>
      <w:r>
        <w:rPr>
          <w:rFonts w:hint="default" w:ascii="Times New Roman Regular" w:hAnsi="Times New Roman Regular" w:cs="Times New Roman Regular"/>
          <w:b/>
          <w:bCs/>
          <w:sz w:val="22"/>
          <w:szCs w:val="22"/>
        </w:rPr>
        <w:t>5.10.2 Safety parameters and definitions</w:t>
      </w:r>
      <w:bookmarkEnd w:id="45"/>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safety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assessment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includes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monitoring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recording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AE, including SAE, performing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protocol-designated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safety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laboratory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assessments,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measuring protocol-designated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vital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signs,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 performing other protocol-designated tests that are critical to the safety assessment of the study.</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1) AE: An adverse event 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any adverse medical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event, regardless of causality,</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that occurs in a clinical study subject receiving a drug product, according to the ICH Guideline for The Quality Management of Clinical Trials.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Therefore, adverse events can be any of the following:</w:t>
      </w:r>
    </w:p>
    <w:p>
      <w:pPr>
        <w:keepNext w:val="0"/>
        <w:keepLines w:val="0"/>
        <w:pageBreakBefore w:val="0"/>
        <w:widowControl/>
        <w:numPr>
          <w:ilvl w:val="0"/>
          <w:numId w:val="11"/>
        </w:numPr>
        <w:kinsoku w:val="0"/>
        <w:wordWrap/>
        <w:overflowPunct/>
        <w:topLinePunct w:val="0"/>
        <w:autoSpaceDE w:val="0"/>
        <w:autoSpaceDN w:val="0"/>
        <w:bidi w:val="0"/>
        <w:adjustRightInd w:val="0"/>
        <w:snapToGrid w:val="0"/>
        <w:spacing w:before="100" w:after="100" w:line="360" w:lineRule="exact"/>
        <w:ind w:left="420" w:leftChars="0" w:hanging="420"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Any adverse and unexpected signs (including abnormal laboratory findings), symptoms or illnesses associated with the time of drug use, whether or not they are believed to be related to the drug;</w:t>
      </w:r>
    </w:p>
    <w:p>
      <w:pPr>
        <w:keepNext w:val="0"/>
        <w:keepLines w:val="0"/>
        <w:pageBreakBefore w:val="0"/>
        <w:widowControl/>
        <w:numPr>
          <w:ilvl w:val="0"/>
          <w:numId w:val="11"/>
        </w:numPr>
        <w:kinsoku w:val="0"/>
        <w:wordWrap/>
        <w:overflowPunct/>
        <w:topLinePunct w:val="0"/>
        <w:autoSpaceDE w:val="0"/>
        <w:autoSpaceDN w:val="0"/>
        <w:bidi w:val="0"/>
        <w:adjustRightInd w:val="0"/>
        <w:snapToGrid w:val="0"/>
        <w:spacing w:before="100" w:after="100" w:line="360" w:lineRule="exact"/>
        <w:ind w:left="420" w:leftChars="0" w:hanging="420"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Any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new</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disease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exacerbation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 an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existing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disease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 increase in the characteristic, frequency or severity);</w:t>
      </w:r>
    </w:p>
    <w:p>
      <w:pPr>
        <w:keepNext w:val="0"/>
        <w:keepLines w:val="0"/>
        <w:pageBreakBefore w:val="0"/>
        <w:widowControl/>
        <w:numPr>
          <w:ilvl w:val="0"/>
          <w:numId w:val="11"/>
        </w:numPr>
        <w:kinsoku w:val="0"/>
        <w:wordWrap/>
        <w:overflowPunct/>
        <w:topLinePunct w:val="0"/>
        <w:autoSpaceDE w:val="0"/>
        <w:autoSpaceDN w:val="0"/>
        <w:bidi w:val="0"/>
        <w:adjustRightInd w:val="0"/>
        <w:snapToGrid w:val="0"/>
        <w:spacing w:before="100" w:after="100" w:line="360" w:lineRule="exact"/>
        <w:ind w:left="420" w:leftChars="0" w:hanging="420"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The condition is intermittent and recurrent (e.g.headache) and does not exist at baseline;</w:t>
      </w:r>
    </w:p>
    <w:p>
      <w:pPr>
        <w:keepNext w:val="0"/>
        <w:keepLines w:val="0"/>
        <w:pageBreakBefore w:val="0"/>
        <w:widowControl/>
        <w:numPr>
          <w:ilvl w:val="0"/>
          <w:numId w:val="11"/>
        </w:numPr>
        <w:kinsoku w:val="0"/>
        <w:wordWrap/>
        <w:overflowPunct/>
        <w:topLinePunct w:val="0"/>
        <w:autoSpaceDE w:val="0"/>
        <w:autoSpaceDN w:val="0"/>
        <w:bidi w:val="0"/>
        <w:adjustRightInd w:val="0"/>
        <w:snapToGrid w:val="0"/>
        <w:spacing w:before="100" w:after="100" w:line="360" w:lineRule="exact"/>
        <w:ind w:left="420" w:leftChars="0" w:hanging="420"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Deterioration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laboratory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values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other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clinical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findings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ECG, X-ray);</w:t>
      </w:r>
    </w:p>
    <w:p>
      <w:pPr>
        <w:keepNext w:val="0"/>
        <w:keepLines w:val="0"/>
        <w:pageBreakBefore w:val="0"/>
        <w:widowControl/>
        <w:numPr>
          <w:ilvl w:val="0"/>
          <w:numId w:val="11"/>
        </w:numPr>
        <w:kinsoku w:val="0"/>
        <w:wordWrap/>
        <w:overflowPunct/>
        <w:topLinePunct w:val="0"/>
        <w:autoSpaceDE w:val="0"/>
        <w:autoSpaceDN w:val="0"/>
        <w:bidi w:val="0"/>
        <w:adjustRightInd w:val="0"/>
        <w:snapToGrid w:val="0"/>
        <w:spacing w:before="100" w:after="100" w:line="360" w:lineRule="exact"/>
        <w:ind w:left="420" w:leftChars="0" w:hanging="420"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associated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with</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protocol-required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interventions,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including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those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that occurred before the study treatment was assigned (e.g. invasive procedures during screening, such as tissue biopsies).</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2)</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SAE: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serious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adverse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event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adverse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event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that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meets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any of the following criteria:</w:t>
      </w:r>
    </w:p>
    <w:p>
      <w:pPr>
        <w:keepNext w:val="0"/>
        <w:keepLines w:val="0"/>
        <w:pageBreakBefore w:val="0"/>
        <w:widowControl/>
        <w:numPr>
          <w:ilvl w:val="0"/>
          <w:numId w:val="12"/>
        </w:numPr>
        <w:kinsoku w:val="0"/>
        <w:wordWrap/>
        <w:overflowPunct/>
        <w:topLinePunct w:val="0"/>
        <w:autoSpaceDE w:val="0"/>
        <w:autoSpaceDN w:val="0"/>
        <w:bidi w:val="0"/>
        <w:adjustRightInd w:val="0"/>
        <w:snapToGrid w:val="0"/>
        <w:spacing w:before="100" w:after="100" w:line="360" w:lineRule="exact"/>
        <w:ind w:left="420" w:leftChars="0" w:hanging="420"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Results in death;</w:t>
      </w:r>
    </w:p>
    <w:p>
      <w:pPr>
        <w:keepNext w:val="0"/>
        <w:keepLines w:val="0"/>
        <w:pageBreakBefore w:val="0"/>
        <w:widowControl/>
        <w:numPr>
          <w:ilvl w:val="0"/>
          <w:numId w:val="12"/>
        </w:numPr>
        <w:kinsoku w:val="0"/>
        <w:wordWrap/>
        <w:overflowPunct/>
        <w:topLinePunct w:val="0"/>
        <w:autoSpaceDE w:val="0"/>
        <w:autoSpaceDN w:val="0"/>
        <w:bidi w:val="0"/>
        <w:adjustRightInd w:val="0"/>
        <w:snapToGrid w:val="0"/>
        <w:spacing w:before="100" w:after="100" w:line="360" w:lineRule="exact"/>
        <w:ind w:left="420" w:leftChars="0" w:hanging="420"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Is life-threatening (defined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as when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subject is in danger of death at the time of the event);</w:t>
      </w:r>
    </w:p>
    <w:p>
      <w:pPr>
        <w:keepNext w:val="0"/>
        <w:keepLines w:val="0"/>
        <w:pageBreakBefore w:val="0"/>
        <w:widowControl/>
        <w:numPr>
          <w:ilvl w:val="0"/>
          <w:numId w:val="12"/>
        </w:numPr>
        <w:kinsoku w:val="0"/>
        <w:wordWrap/>
        <w:overflowPunct/>
        <w:topLinePunct w:val="0"/>
        <w:autoSpaceDE w:val="0"/>
        <w:autoSpaceDN w:val="0"/>
        <w:bidi w:val="0"/>
        <w:adjustRightInd w:val="0"/>
        <w:snapToGrid w:val="0"/>
        <w:spacing w:before="100" w:after="100" w:line="360" w:lineRule="exact"/>
        <w:ind w:left="420" w:leftChars="0" w:hanging="420"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Requires hospitalization or prolonged hospital stay;</w:t>
      </w:r>
    </w:p>
    <w:p>
      <w:pPr>
        <w:keepNext w:val="0"/>
        <w:keepLines w:val="0"/>
        <w:pageBreakBefore w:val="0"/>
        <w:widowControl/>
        <w:numPr>
          <w:ilvl w:val="0"/>
          <w:numId w:val="12"/>
        </w:numPr>
        <w:kinsoku w:val="0"/>
        <w:wordWrap/>
        <w:overflowPunct/>
        <w:topLinePunct w:val="0"/>
        <w:autoSpaceDE w:val="0"/>
        <w:autoSpaceDN w:val="0"/>
        <w:bidi w:val="0"/>
        <w:adjustRightInd w:val="0"/>
        <w:snapToGrid w:val="0"/>
        <w:spacing w:before="100" w:after="100" w:line="360" w:lineRule="exact"/>
        <w:ind w:left="420" w:leftChars="0" w:hanging="420"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Results in persistent or significant disability/incapacity;</w:t>
      </w:r>
    </w:p>
    <w:p>
      <w:pPr>
        <w:keepNext w:val="0"/>
        <w:keepLines w:val="0"/>
        <w:pageBreakBefore w:val="0"/>
        <w:widowControl/>
        <w:numPr>
          <w:ilvl w:val="0"/>
          <w:numId w:val="12"/>
        </w:numPr>
        <w:kinsoku w:val="0"/>
        <w:wordWrap/>
        <w:overflowPunct/>
        <w:topLinePunct w:val="0"/>
        <w:autoSpaceDE w:val="0"/>
        <w:autoSpaceDN w:val="0"/>
        <w:bidi w:val="0"/>
        <w:adjustRightInd w:val="0"/>
        <w:snapToGrid w:val="0"/>
        <w:spacing w:before="100" w:after="100" w:line="360" w:lineRule="exact"/>
        <w:ind w:left="420" w:leftChars="0" w:hanging="420"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Leads to congenital anomalies or birth defects;</w:t>
      </w:r>
    </w:p>
    <w:p>
      <w:pPr>
        <w:keepNext w:val="0"/>
        <w:keepLines w:val="0"/>
        <w:pageBreakBefore w:val="0"/>
        <w:widowControl/>
        <w:numPr>
          <w:ilvl w:val="0"/>
          <w:numId w:val="12"/>
        </w:numPr>
        <w:kinsoku w:val="0"/>
        <w:wordWrap/>
        <w:overflowPunct/>
        <w:topLinePunct w:val="0"/>
        <w:autoSpaceDE w:val="0"/>
        <w:autoSpaceDN w:val="0"/>
        <w:bidi w:val="0"/>
        <w:adjustRightInd w:val="0"/>
        <w:snapToGrid w:val="0"/>
        <w:spacing w:before="100" w:after="100" w:line="360" w:lineRule="exact"/>
        <w:ind w:left="420" w:leftChars="0" w:hanging="420"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Other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significant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medical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events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requiring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intervention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prevent permanent injuries or damages.</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b/>
          <w:bCs/>
          <w:sz w:val="22"/>
          <w:szCs w:val="22"/>
        </w:rPr>
      </w:pPr>
      <w:bookmarkStart w:id="46" w:name="_Toc8973"/>
      <w:r>
        <w:rPr>
          <w:rFonts w:hint="default" w:ascii="Times New Roman Regular" w:hAnsi="Times New Roman Regular" w:cs="Times New Roman Regular"/>
          <w:b/>
          <w:bCs/>
          <w:sz w:val="22"/>
          <w:szCs w:val="22"/>
        </w:rPr>
        <w:t>5.10.3 Collect AE information</w:t>
      </w:r>
      <w:bookmarkEnd w:id="46"/>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information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should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be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solicited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using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consistent,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non-guided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inquiry method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all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patient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evaluation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time points.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Example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non-leading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question: "How</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are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you</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feeling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since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your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last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clinic</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visit?"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"Have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you</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had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new</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health problems or changes in your health since your last departure?"</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b/>
          <w:bCs/>
          <w:sz w:val="22"/>
          <w:szCs w:val="22"/>
        </w:rPr>
      </w:pPr>
      <w:bookmarkStart w:id="47" w:name="_Toc12401"/>
      <w:r>
        <w:rPr>
          <w:rFonts w:hint="default" w:ascii="Times New Roman Regular" w:hAnsi="Times New Roman Regular" w:cs="Times New Roman Regular"/>
          <w:b/>
          <w:bCs/>
          <w:sz w:val="22"/>
          <w:szCs w:val="22"/>
        </w:rPr>
        <w:t>5.10.4 Severity judgement of AE</w:t>
      </w:r>
      <w:bookmarkEnd w:id="47"/>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 xml:space="preserve">Refer to the CTCAE Version </w:t>
      </w:r>
      <w:r>
        <w:rPr>
          <w:rFonts w:hint="default" w:ascii="Times New Roman Regular" w:hAnsi="Times New Roman Regular" w:eastAsia="宋体" w:cs="Times New Roman Regular"/>
          <w:sz w:val="20"/>
          <w:szCs w:val="20"/>
          <w:lang w:val="en-US" w:eastAsia="zh-CN"/>
        </w:rPr>
        <w:t>5</w:t>
      </w:r>
      <w:r>
        <w:rPr>
          <w:rFonts w:hint="default" w:ascii="Times New Roman Regular" w:hAnsi="Times New Roman Regular" w:cs="Times New Roman Regular"/>
          <w:sz w:val="20"/>
          <w:szCs w:val="20"/>
        </w:rPr>
        <w:t xml:space="preserve"> classification criteria for adverse drug reactions. The following criteria can be used as references if unlisted adverse reactions occur:</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Grade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Mild,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asymptomatic</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mild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symptoms;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clinical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laboratory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test abnormality only; treatment not indicated.</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Grade II: Moderate; minimal, local or non-invasive intervention required; limited age-appropriate instrumental activities of daily living (e.g., cooking, shopping, using the telephone and counting money, etc.).</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Grade III:</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Severe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 medically significant but not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immediately life-threatening; leading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hospitalization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prolongation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hospitalization;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leading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disabling; limiting self-care activities of daily living, but not bedridden. Self-care ADL: refers to bathing,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dressing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undressing,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feeding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self, using the toilet, taking medications, and not bedridden.</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Grade IV: Life-threatening consequences; urgent intervention indicated. Grade V: Death related to AEs.</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b/>
          <w:bCs/>
          <w:sz w:val="22"/>
          <w:szCs w:val="22"/>
        </w:rPr>
      </w:pPr>
      <w:bookmarkStart w:id="48" w:name="_Toc28408"/>
      <w:r>
        <w:rPr>
          <w:rFonts w:hint="default" w:ascii="Times New Roman Regular" w:hAnsi="Times New Roman Regular" w:cs="Times New Roman Regular"/>
          <w:b/>
          <w:bCs/>
          <w:sz w:val="22"/>
          <w:szCs w:val="22"/>
        </w:rPr>
        <w:t>5.10.5 Causality judgement of AE</w:t>
      </w:r>
      <w:bookmarkEnd w:id="48"/>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investigator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should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determine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whether an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adverse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event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is related to the investigational drug based on the knowledge of patient, the context in which the event occurred, and an assessment of any possible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alternative causes, and state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"related" or "unrelated" accordingly. The following guidance should be considered:</w:t>
      </w:r>
    </w:p>
    <w:p>
      <w:pPr>
        <w:keepNext w:val="0"/>
        <w:keepLines w:val="0"/>
        <w:pageBreakBefore w:val="0"/>
        <w:widowControl/>
        <w:numPr>
          <w:ilvl w:val="0"/>
          <w:numId w:val="12"/>
        </w:numPr>
        <w:kinsoku w:val="0"/>
        <w:wordWrap/>
        <w:overflowPunct/>
        <w:topLinePunct w:val="0"/>
        <w:autoSpaceDE w:val="0"/>
        <w:autoSpaceDN w:val="0"/>
        <w:bidi w:val="0"/>
        <w:adjustRightInd w:val="0"/>
        <w:snapToGrid w:val="0"/>
        <w:spacing w:before="100" w:after="100" w:line="360" w:lineRule="exact"/>
        <w:ind w:left="420" w:leftChars="0" w:hanging="420"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Event occur in a plausible time relationship to drug administration;</w:t>
      </w:r>
    </w:p>
    <w:p>
      <w:pPr>
        <w:keepNext w:val="0"/>
        <w:keepLines w:val="0"/>
        <w:pageBreakBefore w:val="0"/>
        <w:widowControl/>
        <w:numPr>
          <w:ilvl w:val="0"/>
          <w:numId w:val="12"/>
        </w:numPr>
        <w:kinsoku w:val="0"/>
        <w:wordWrap/>
        <w:overflowPunct/>
        <w:topLinePunct w:val="0"/>
        <w:autoSpaceDE w:val="0"/>
        <w:autoSpaceDN w:val="0"/>
        <w:bidi w:val="0"/>
        <w:adjustRightInd w:val="0"/>
        <w:snapToGrid w:val="0"/>
        <w:spacing w:before="100" w:after="100" w:line="360" w:lineRule="exact"/>
        <w:ind w:left="420" w:leftChars="0" w:hanging="420"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course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events,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with</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special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consideration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effects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dose reduction, discontinuation of 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study drug, or re-use of 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study drug,</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if applicable;</w:t>
      </w:r>
    </w:p>
    <w:p>
      <w:pPr>
        <w:keepNext w:val="0"/>
        <w:keepLines w:val="0"/>
        <w:pageBreakBefore w:val="0"/>
        <w:widowControl/>
        <w:numPr>
          <w:ilvl w:val="0"/>
          <w:numId w:val="12"/>
        </w:numPr>
        <w:kinsoku w:val="0"/>
        <w:wordWrap/>
        <w:overflowPunct/>
        <w:topLinePunct w:val="0"/>
        <w:autoSpaceDE w:val="0"/>
        <w:autoSpaceDN w:val="0"/>
        <w:bidi w:val="0"/>
        <w:adjustRightInd w:val="0"/>
        <w:snapToGrid w:val="0"/>
        <w:spacing w:before="100" w:after="100" w:line="360" w:lineRule="exact"/>
        <w:ind w:left="420" w:leftChars="0" w:hanging="420"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Known associations of events with the study drug or similar treatment; .</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Known associations of events with study diseases;</w:t>
      </w:r>
    </w:p>
    <w:p>
      <w:pPr>
        <w:keepNext w:val="0"/>
        <w:keepLines w:val="0"/>
        <w:pageBreakBefore w:val="0"/>
        <w:widowControl/>
        <w:numPr>
          <w:ilvl w:val="0"/>
          <w:numId w:val="12"/>
        </w:numPr>
        <w:kinsoku w:val="0"/>
        <w:wordWrap/>
        <w:overflowPunct/>
        <w:topLinePunct w:val="0"/>
        <w:autoSpaceDE w:val="0"/>
        <w:autoSpaceDN w:val="0"/>
        <w:bidi w:val="0"/>
        <w:adjustRightInd w:val="0"/>
        <w:snapToGrid w:val="0"/>
        <w:spacing w:before="100" w:after="100" w:line="360" w:lineRule="exact"/>
        <w:ind w:left="420" w:leftChars="0" w:hanging="420"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Patients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with</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risk</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factors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use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concomitant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medications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known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 increase event rates;</w:t>
      </w:r>
    </w:p>
    <w:p>
      <w:pPr>
        <w:keepNext w:val="0"/>
        <w:keepLines w:val="0"/>
        <w:pageBreakBefore w:val="0"/>
        <w:widowControl/>
        <w:numPr>
          <w:ilvl w:val="0"/>
          <w:numId w:val="12"/>
        </w:numPr>
        <w:kinsoku w:val="0"/>
        <w:wordWrap/>
        <w:overflowPunct/>
        <w:topLinePunct w:val="0"/>
        <w:autoSpaceDE w:val="0"/>
        <w:autoSpaceDN w:val="0"/>
        <w:bidi w:val="0"/>
        <w:adjustRightInd w:val="0"/>
        <w:snapToGrid w:val="0"/>
        <w:spacing w:before="100" w:after="100" w:line="360" w:lineRule="exact"/>
        <w:ind w:left="420" w:leftChars="0" w:hanging="420"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Non-therapeutic</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factors known to be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associated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with 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occurrence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 the event;</w:t>
      </w:r>
    </w:p>
    <w:p>
      <w:pPr>
        <w:keepNext w:val="0"/>
        <w:keepLines w:val="0"/>
        <w:pageBreakBefore w:val="0"/>
        <w:widowControl/>
        <w:numPr>
          <w:ilvl w:val="0"/>
          <w:numId w:val="12"/>
        </w:numPr>
        <w:kinsoku w:val="0"/>
        <w:wordWrap/>
        <w:overflowPunct/>
        <w:topLinePunct w:val="0"/>
        <w:autoSpaceDE w:val="0"/>
        <w:autoSpaceDN w:val="0"/>
        <w:bidi w:val="0"/>
        <w:adjustRightInd w:val="0"/>
        <w:snapToGrid w:val="0"/>
        <w:spacing w:before="100" w:after="100" w:line="360" w:lineRule="exact"/>
        <w:ind w:left="420" w:leftChars="0" w:hanging="420" w:firstLineChars="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Patients receiving combination therapy are separately assessed for causality between adverse events and the treatment prescribed by the protocol.</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b/>
          <w:bCs/>
          <w:sz w:val="22"/>
          <w:szCs w:val="22"/>
        </w:rPr>
      </w:pPr>
      <w:bookmarkStart w:id="49" w:name="_Toc28984"/>
      <w:r>
        <w:rPr>
          <w:rFonts w:hint="default" w:ascii="Times New Roman Regular" w:hAnsi="Times New Roman Regular" w:cs="Times New Roman Regular"/>
          <w:b/>
          <w:bCs/>
          <w:sz w:val="22"/>
          <w:szCs w:val="22"/>
        </w:rPr>
        <w:t>5.10.6 AE recording procedure</w:t>
      </w:r>
      <w:bookmarkEnd w:id="49"/>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The investigator should document AE on the AE page of the CRF using the correct medical terminology/concepts. Avoid colloquialisms and abbreviations. In the EVENT column of the AE page of CRF, only one AE term can be recorded for an event.</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b/>
          <w:bCs/>
          <w:sz w:val="22"/>
          <w:szCs w:val="22"/>
        </w:rPr>
      </w:pPr>
      <w:bookmarkStart w:id="50" w:name="_Toc6954"/>
      <w:r>
        <w:rPr>
          <w:rFonts w:hint="default" w:ascii="Times New Roman Regular" w:hAnsi="Times New Roman Regular" w:cs="Times New Roman Regular"/>
          <w:b/>
          <w:bCs/>
          <w:sz w:val="22"/>
          <w:szCs w:val="22"/>
        </w:rPr>
        <w:t>5.10.7 AE reporting</w:t>
      </w:r>
      <w:bookmarkEnd w:id="50"/>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All SAE and AE of particular concern will be evaluated in a timely manner and reported promptly to the appropriate regulatory authorities and Ethics Committees in</w:t>
      </w:r>
      <w:r>
        <w:rPr>
          <w:rFonts w:hint="default"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accordance with applicable legal requirements.</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1"/>
        <w:rPr>
          <w:rFonts w:hint="default" w:ascii="Times New Roman Regular" w:hAnsi="Times New Roman Regular" w:cs="Times New Roman Regular"/>
          <w:b/>
          <w:bCs/>
          <w:sz w:val="24"/>
          <w:szCs w:val="24"/>
        </w:rPr>
      </w:pPr>
      <w:bookmarkStart w:id="51" w:name="_Toc3248"/>
      <w:r>
        <w:rPr>
          <w:rFonts w:hint="default" w:ascii="Times New Roman Regular" w:hAnsi="Times New Roman Regular" w:cs="Times New Roman Regular"/>
          <w:b/>
          <w:bCs/>
          <w:sz w:val="24"/>
          <w:szCs w:val="24"/>
        </w:rPr>
        <w:t>5.11 Statistical analysis</w:t>
      </w:r>
      <w:bookmarkEnd w:id="51"/>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b/>
          <w:bCs/>
          <w:sz w:val="22"/>
          <w:szCs w:val="22"/>
        </w:rPr>
      </w:pPr>
      <w:bookmarkStart w:id="52" w:name="_Toc9662"/>
      <w:r>
        <w:rPr>
          <w:rFonts w:hint="default" w:ascii="Times New Roman Regular" w:hAnsi="Times New Roman Regular" w:cs="Times New Roman Regular"/>
          <w:b/>
          <w:bCs/>
          <w:sz w:val="22"/>
          <w:szCs w:val="22"/>
        </w:rPr>
        <w:t>5.11.1</w:t>
      </w:r>
      <w:bookmarkEnd w:id="52"/>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Professional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statisticians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will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undertake the task 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statistical analysis and participate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whole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process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from</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experimental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design,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implementation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to analysis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summary.</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After</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completion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of the test protocol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CRF,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they will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formulate 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statistical</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analysis plan,</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make necessary modifications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during the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test,</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and</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provide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the statistical analysis report after the completion of</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data analysis.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Data analysis</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will be</w:t>
      </w:r>
      <w:r>
        <w:rPr>
          <w:rFonts w:hint="default" w:ascii="Times New Roman Regular" w:hAnsi="Times New Roman Regular" w:eastAsia="宋体" w:cs="Times New Roman Regular"/>
          <w:sz w:val="20"/>
          <w:szCs w:val="20"/>
          <w:lang w:eastAsia="zh-CN"/>
        </w:rPr>
        <w:t xml:space="preserve"> </w:t>
      </w:r>
      <w:r>
        <w:rPr>
          <w:rFonts w:hint="default" w:ascii="Times New Roman Regular" w:hAnsi="Times New Roman Regular" w:cs="Times New Roman Regular"/>
          <w:sz w:val="20"/>
          <w:szCs w:val="20"/>
        </w:rPr>
        <w:t>performed according to the “Intention to treat” (ITT) principle.</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b/>
          <w:bCs/>
          <w:sz w:val="22"/>
          <w:szCs w:val="22"/>
        </w:rPr>
      </w:pPr>
      <w:bookmarkStart w:id="53" w:name="_Toc7848"/>
      <w:r>
        <w:rPr>
          <w:rFonts w:hint="default" w:ascii="Times New Roman Regular" w:hAnsi="Times New Roman Regular" w:cs="Times New Roman Regular"/>
          <w:b/>
          <w:bCs/>
          <w:sz w:val="22"/>
          <w:szCs w:val="22"/>
        </w:rPr>
        <w:t>5.11.2 Sample size determination</w:t>
      </w:r>
      <w:bookmarkEnd w:id="53"/>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 xml:space="preserve">The primary endpoint of this study is </w:t>
      </w:r>
      <w:r>
        <w:rPr>
          <w:rFonts w:hint="default" w:ascii="Times New Roman Regular" w:hAnsi="Times New Roman Regular" w:eastAsia="宋体" w:cs="Times New Roman Regular"/>
          <w:sz w:val="20"/>
          <w:szCs w:val="20"/>
          <w:lang w:val="en-US" w:eastAsia="zh-CN"/>
        </w:rPr>
        <w:t>PFS</w:t>
      </w:r>
      <w:r>
        <w:rPr>
          <w:rFonts w:hint="default" w:ascii="Times New Roman Regular" w:hAnsi="Times New Roman Regular" w:cs="Times New Roman Regular"/>
          <w:sz w:val="20"/>
          <w:szCs w:val="20"/>
        </w:rPr>
        <w:t>. Based on the literature, the m</w:t>
      </w:r>
      <w:r>
        <w:rPr>
          <w:rFonts w:hint="default" w:ascii="Times New Roman Regular" w:hAnsi="Times New Roman Regular" w:eastAsia="宋体" w:cs="Times New Roman Regular"/>
          <w:sz w:val="20"/>
          <w:szCs w:val="20"/>
          <w:lang w:val="en-US" w:eastAsia="zh-CN"/>
        </w:rPr>
        <w:t xml:space="preserve">edian </w:t>
      </w:r>
      <w:r>
        <w:rPr>
          <w:rFonts w:hint="default" w:ascii="Times New Roman Regular" w:hAnsi="Times New Roman Regular" w:cs="Times New Roman Regular"/>
          <w:sz w:val="20"/>
          <w:szCs w:val="20"/>
        </w:rPr>
        <w:t>PFS of  Pembrolizuma</w:t>
      </w:r>
      <w:r>
        <w:rPr>
          <w:rFonts w:hint="default" w:ascii="Times New Roman Regular" w:hAnsi="Times New Roman Regular" w:eastAsia="宋体" w:cs="Times New Roman Regular"/>
          <w:sz w:val="20"/>
          <w:szCs w:val="20"/>
          <w:lang w:val="en-US" w:eastAsia="zh-CN"/>
        </w:rPr>
        <w:t>b</w:t>
      </w:r>
      <w:r>
        <w:rPr>
          <w:rFonts w:hint="default" w:ascii="Times New Roman Regular" w:hAnsi="Times New Roman Regular" w:cs="Times New Roman Regular"/>
          <w:sz w:val="20"/>
          <w:szCs w:val="20"/>
        </w:rPr>
        <w:t xml:space="preserve"> combined with cisplatin and 5-fluorouracil as the first-line treatment of unresectable locally advanced or metastatic esophageal cancer was 6.3 months. Our preliminary work showed that the mPFS of toripalimab in combination with induction chemotherapy and subsequent chemoradiation in the treatment of primary stage IV ESCC was 12.0 months or more. We hypothesized that the m</w:t>
      </w:r>
      <w:r>
        <w:rPr>
          <w:rFonts w:hint="default" w:ascii="Times New Roman Regular" w:hAnsi="Times New Roman Regular" w:cs="Times New Roman Regular"/>
          <w:sz w:val="20"/>
          <w:szCs w:val="20"/>
          <w:lang w:val="en-US" w:eastAsia="zh-CN"/>
        </w:rPr>
        <w:t xml:space="preserve">edian </w:t>
      </w:r>
      <w:r>
        <w:rPr>
          <w:rFonts w:hint="default" w:ascii="Times New Roman Regular" w:hAnsi="Times New Roman Regular" w:cs="Times New Roman Regular"/>
          <w:sz w:val="20"/>
          <w:szCs w:val="20"/>
        </w:rPr>
        <w:t>PFS of our trial can reach 12 months. The type I error rate is 5%, and the power is 80%.</w:t>
      </w:r>
      <w:r>
        <w:rPr>
          <w:rFonts w:hint="eastAsia" w:ascii="Times New Roman Regular" w:hAnsi="Times New Roman Regular" w:eastAsia="宋体" w:cs="Times New Roman Regular"/>
          <w:sz w:val="20"/>
          <w:szCs w:val="20"/>
          <w:lang w:val="en-US" w:eastAsia="zh-CN"/>
        </w:rPr>
        <w:t xml:space="preserve"> </w:t>
      </w:r>
      <w:r>
        <w:rPr>
          <w:rFonts w:hint="eastAsia" w:ascii="Times New Roman Regular" w:hAnsi="Times New Roman Regular" w:cs="Times New Roman Regular"/>
          <w:sz w:val="20"/>
          <w:szCs w:val="20"/>
          <w:lang w:val="en-US" w:eastAsia="zh-CN"/>
        </w:rPr>
        <w:t>F</w:t>
      </w:r>
      <w:r>
        <w:rPr>
          <w:rFonts w:hint="eastAsia" w:ascii="Times New Roman Regular" w:hAnsi="Times New Roman Regular" w:cs="Times New Roman Regular"/>
          <w:sz w:val="20"/>
          <w:szCs w:val="20"/>
          <w:lang w:val="en-GB" w:eastAsia="zh-TW"/>
        </w:rPr>
        <w:t>ollow-up duration was calculated from enrollment to the date of the last follow-up.</w:t>
      </w:r>
      <w:r>
        <w:rPr>
          <w:rFonts w:hint="eastAsia" w:ascii="Times New Roman Regular" w:hAnsi="Times New Roman Regular" w:cs="Times New Roman Regular"/>
          <w:sz w:val="20"/>
          <w:szCs w:val="20"/>
          <w:lang w:val="en-US" w:eastAsia="zh-CN"/>
        </w:rPr>
        <w:t xml:space="preserve"> Assuming a uniform accrual accomplished over a period of about 12 months, </w:t>
      </w:r>
      <w:r>
        <w:rPr>
          <w:rFonts w:hint="eastAsia" w:ascii="Times New Roman Regular" w:hAnsi="Times New Roman Regular" w:cs="Times New Roman Regular"/>
          <w:sz w:val="20"/>
          <w:szCs w:val="20"/>
          <w:lang w:val="en-GB" w:eastAsia="zh-TW"/>
        </w:rPr>
        <w:t>with an additional 12 months of follow-up subsequent to the enrollment of the last patient</w:t>
      </w:r>
      <w:r>
        <w:rPr>
          <w:rFonts w:hint="eastAsia" w:ascii="Times New Roman Regular" w:hAnsi="Times New Roman Regular" w:cs="Times New Roman Regular"/>
          <w:sz w:val="20"/>
          <w:szCs w:val="20"/>
          <w:lang w:val="en-US" w:eastAsia="zh-CN"/>
        </w:rPr>
        <w:t>, t</w:t>
      </w:r>
      <w:r>
        <w:rPr>
          <w:rFonts w:hint="eastAsia" w:ascii="Times New Roman Regular" w:hAnsi="Times New Roman Regular" w:cs="Times New Roman Regular"/>
          <w:sz w:val="20"/>
          <w:szCs w:val="20"/>
          <w:lang w:val="en-GB" w:eastAsia="zh-TW"/>
        </w:rPr>
        <w:t xml:space="preserve">o observe 16 PFS events, a calculation determined that </w:t>
      </w:r>
      <w:r>
        <w:rPr>
          <w:rFonts w:hint="default" w:ascii="Times New Roman Regular" w:hAnsi="Times New Roman Regular" w:cs="Times New Roman Regular"/>
          <w:sz w:val="20"/>
          <w:szCs w:val="20"/>
        </w:rPr>
        <w:t>25 cases (or a minimum of 25 patients)</w:t>
      </w:r>
      <w:r>
        <w:rPr>
          <w:rFonts w:hint="eastAsia" w:ascii="Times New Roman Regular" w:hAnsi="Times New Roman Regular" w:eastAsia="宋体" w:cs="Times New Roman Regular"/>
          <w:sz w:val="20"/>
          <w:szCs w:val="20"/>
          <w:lang w:val="en-US" w:eastAsia="zh-CN"/>
        </w:rPr>
        <w:t xml:space="preserve"> </w:t>
      </w:r>
      <w:r>
        <w:rPr>
          <w:rFonts w:hint="eastAsia" w:ascii="Times New Roman Regular" w:hAnsi="Times New Roman Regular" w:cs="Times New Roman Regular"/>
          <w:sz w:val="20"/>
          <w:szCs w:val="20"/>
          <w:lang w:val="en-GB" w:eastAsia="zh-TW"/>
        </w:rPr>
        <w:t>were needed.</w:t>
      </w:r>
      <w:r>
        <w:rPr>
          <w:rFonts w:hint="eastAsia"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In consideration of a 20% drop-out rate, the final sample size is set at 3</w:t>
      </w:r>
      <w:r>
        <w:rPr>
          <w:rFonts w:hint="default" w:ascii="Times New Roman Regular" w:hAnsi="Times New Roman Regular" w:eastAsia="宋体" w:cs="Times New Roman Regular"/>
          <w:sz w:val="20"/>
          <w:szCs w:val="20"/>
          <w:lang w:val="en-US" w:eastAsia="zh-CN"/>
        </w:rPr>
        <w:t>2</w:t>
      </w:r>
      <w:r>
        <w:rPr>
          <w:rFonts w:hint="default" w:ascii="Times New Roman Regular" w:hAnsi="Times New Roman Regular" w:cs="Times New Roman Regular"/>
          <w:sz w:val="20"/>
          <w:szCs w:val="20"/>
        </w:rPr>
        <w:t xml:space="preserve"> cases.</w:t>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outlineLvl w:val="2"/>
        <w:rPr>
          <w:rFonts w:hint="default" w:ascii="Times New Roman Regular" w:hAnsi="Times New Roman Regular" w:cs="Times New Roman Regular"/>
        </w:rPr>
      </w:pPr>
      <w:bookmarkStart w:id="54" w:name="_Toc219"/>
      <w:r>
        <w:rPr>
          <w:rFonts w:hint="default" w:ascii="Times New Roman Regular" w:hAnsi="Times New Roman Regular" w:cs="Times New Roman Regular"/>
          <w:b/>
          <w:bCs/>
          <w:sz w:val="22"/>
          <w:szCs w:val="22"/>
        </w:rPr>
        <w:t>5.11.3 Statistical methods</w:t>
      </w:r>
      <w:bookmarkEnd w:id="54"/>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ind w:firstLine="400" w:firstLineChars="200"/>
        <w:jc w:val="both"/>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lang w:val="en-US" w:eastAsia="zh-CN"/>
        </w:rPr>
        <w:t>All patients who receive the experimental drugs at least once and have had at least one safety evaluation will be included in the Safety Set (SS) analysis. According to the principle of intentionto-treat (ITT) analysis, the full analysis set (FAS) will include data from the last observation of all the cases that had used drugs at least once and were followed up at least once; the entire treatment process cannot be observed until the final results. The FAS data set will be used for fall-out analysis, equilibrium analysis of basic indicators, analysis of the main efficacy indicators, and analysis of safety indicators. The per protocol set (PPS) analysis is a statistical analysis of case data that can meet all the prescribed requirements in accordance with the protocol. This analysis method does not include cases that violate the trial protocol, such as cases lost on follow-up or where patients used prohibited drugs. In this study, the SPSS22.0 software will be used for statistical analysis. Quantitative data satisfies the requirements of normal distribution using the mean ± standard deviation and meets the requirements expressed by median (P25, P75). Qualitative data will be expressed as percentage (%), and a confidence level of 95% will be used for confidential intervals. The Kaplan–Meier method will be used to estimate survival rates and median survival time and to draw the survival curve. The LogRank test will be used to compare the survival rate. A two-sided test will be conducted for all statistical tests, and P&lt;0.05 will indicate that the differences were significant.</w:t>
      </w:r>
    </w:p>
    <w:p>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hint="default" w:ascii="Times New Roman Regular" w:hAnsi="Times New Roman Regular" w:cs="Times New Roman Regular"/>
        </w:rPr>
      </w:pPr>
    </w:p>
    <w:p>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hint="default" w:ascii="Times New Roman Regular" w:hAnsi="Times New Roman Regular" w:cs="Times New Roman Regular"/>
        </w:rPr>
      </w:pPr>
    </w:p>
    <w:p>
      <w:pPr>
        <w:rPr>
          <w:rFonts w:hint="default" w:ascii="Times New Roman Regular" w:hAnsi="Times New Roman Regular" w:cs="Times New Roman Regular"/>
        </w:rPr>
      </w:pPr>
      <w:r>
        <w:rPr>
          <w:rFonts w:hint="default" w:ascii="Times New Roman Regular" w:hAnsi="Times New Roman Regular" w:cs="Times New Roman Regular"/>
        </w:rPr>
        <w:br w:type="page"/>
      </w:r>
    </w:p>
    <w:p>
      <w:pPr>
        <w:keepNext w:val="0"/>
        <w:keepLines w:val="0"/>
        <w:pageBreakBefore w:val="0"/>
        <w:widowControl/>
        <w:numPr>
          <w:ilvl w:val="0"/>
          <w:numId w:val="13"/>
        </w:numPr>
        <w:kinsoku w:val="0"/>
        <w:wordWrap/>
        <w:overflowPunct/>
        <w:topLinePunct w:val="0"/>
        <w:autoSpaceDE w:val="0"/>
        <w:autoSpaceDN w:val="0"/>
        <w:bidi w:val="0"/>
        <w:adjustRightInd w:val="0"/>
        <w:snapToGrid w:val="0"/>
        <w:jc w:val="both"/>
        <w:textAlignment w:val="baseline"/>
        <w:outlineLvl w:val="0"/>
        <w:rPr>
          <w:rFonts w:hint="default" w:ascii="Times New Roman Regular" w:hAnsi="Times New Roman Regular" w:cs="Times New Roman Regular"/>
          <w:b/>
          <w:bCs/>
          <w:sz w:val="28"/>
          <w:szCs w:val="28"/>
        </w:rPr>
      </w:pPr>
      <w:bookmarkStart w:id="55" w:name="_Toc26587"/>
      <w:r>
        <w:rPr>
          <w:rFonts w:hint="default" w:ascii="Times New Roman Regular" w:hAnsi="Times New Roman Regular" w:cs="Times New Roman Regular"/>
          <w:b/>
          <w:bCs/>
          <w:sz w:val="28"/>
          <w:szCs w:val="28"/>
        </w:rPr>
        <w:t>Route</w:t>
      </w:r>
      <w:bookmarkEnd w:id="55"/>
    </w:p>
    <w:p>
      <w:pPr>
        <w:keepNext w:val="0"/>
        <w:keepLines w:val="0"/>
        <w:pageBreakBefore w:val="0"/>
        <w:widowControl/>
        <w:numPr>
          <w:ilvl w:val="0"/>
          <w:numId w:val="0"/>
        </w:numPr>
        <w:kinsoku w:val="0"/>
        <w:wordWrap/>
        <w:overflowPunct/>
        <w:topLinePunct w:val="0"/>
        <w:autoSpaceDE w:val="0"/>
        <w:autoSpaceDN w:val="0"/>
        <w:bidi w:val="0"/>
        <w:adjustRightInd w:val="0"/>
        <w:snapToGrid w:val="0"/>
        <w:jc w:val="both"/>
        <w:textAlignment w:val="baseline"/>
        <w:rPr>
          <w:rFonts w:hint="default" w:ascii="Times New Roman Regular" w:hAnsi="Times New Roman Regular" w:cs="Times New Roman Regular"/>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jc w:val="both"/>
        <w:textAlignment w:val="baseline"/>
        <w:rPr>
          <w:rFonts w:hint="default" w:ascii="Times New Roman Regular" w:hAnsi="Times New Roman Regular" w:cs="Times New Roman Regular"/>
        </w:rPr>
      </w:pPr>
    </w:p>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Times New Roman Regular" w:hAnsi="Times New Roman Regular" w:eastAsia="宋体" w:cs="Times New Roman Regular"/>
          <w:lang w:eastAsia="zh-CN"/>
        </w:rPr>
      </w:pPr>
      <w:r>
        <w:rPr>
          <w:rFonts w:hint="default" w:ascii="Times New Roman Regular" w:hAnsi="Times New Roman Regular" w:eastAsia="宋体" w:cs="Times New Roman Regular"/>
          <w:lang w:eastAsia="zh-CN"/>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285740" cy="3769995"/>
            <wp:effectExtent l="0" t="0" r="10160" b="1905"/>
            <wp:wrapTopAndBottom/>
            <wp:docPr id="11" name="图片 11" descr="f952f6879c3352cdd42e0b1582c997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f952f6879c3352cdd42e0b1582c997c6"/>
                    <pic:cNvPicPr>
                      <a:picLocks noChangeAspect="1"/>
                    </pic:cNvPicPr>
                  </pic:nvPicPr>
                  <pic:blipFill>
                    <a:blip r:embed="rId15"/>
                    <a:stretch>
                      <a:fillRect/>
                    </a:stretch>
                  </pic:blipFill>
                  <pic:spPr>
                    <a:xfrm>
                      <a:off x="0" y="0"/>
                      <a:ext cx="5285740" cy="3769995"/>
                    </a:xfrm>
                    <a:prstGeom prst="rect">
                      <a:avLst/>
                    </a:prstGeom>
                  </pic:spPr>
                </pic:pic>
              </a:graphicData>
            </a:graphic>
          </wp:anchor>
        </w:drawing>
      </w: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jc w:val="both"/>
        <w:textAlignment w:val="baseline"/>
        <w:rPr>
          <w:rFonts w:hint="default" w:ascii="Times New Roman Regular" w:hAnsi="Times New Roman Regular" w:cs="Times New Roman Regular"/>
          <w:sz w:val="20"/>
          <w:szCs w:val="20"/>
          <w:lang w:eastAsia="zh-CN"/>
        </w:rPr>
      </w:pPr>
      <w:r>
        <w:rPr>
          <w:rFonts w:hint="default" w:ascii="Times New Roman Regular" w:hAnsi="Times New Roman Regular" w:cs="Times New Roman Regular"/>
          <w:sz w:val="20"/>
          <w:szCs w:val="20"/>
          <w:lang w:val="en-US" w:eastAsia="zh-CN"/>
        </w:rPr>
        <w:t>Figure1: Flowchart of the phase II study. ESCC, esophageal squamous cell carcinoma; AJCC, American Joint Committee on Cancer; d1, day 1; AUC, area under the curve, IMRT, intensity-modulated radiation therapy; GTV-M, gross tumor volume of the primary metastatic lesions; GTVnd, gross tumor volume of lymph nodes; GTVp, primary gross tumor volume.</w:t>
      </w:r>
    </w:p>
    <w:p>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hint="default" w:ascii="Times New Roman Regular" w:hAnsi="Times New Roman Regular" w:eastAsia="宋体" w:cs="Times New Roman Regular"/>
          <w:lang w:eastAsia="zh-CN"/>
        </w:rPr>
      </w:pPr>
    </w:p>
    <w:p>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hint="default" w:ascii="Times New Roman Regular" w:hAnsi="Times New Roman Regular" w:eastAsia="宋体" w:cs="Times New Roman Regular"/>
          <w:lang w:eastAsia="zh-CN"/>
        </w:rPr>
      </w:pPr>
    </w:p>
    <w:p>
      <w:pPr>
        <w:keepNext w:val="0"/>
        <w:keepLines w:val="0"/>
        <w:pageBreakBefore w:val="0"/>
        <w:widowControl/>
        <w:kinsoku w:val="0"/>
        <w:wordWrap/>
        <w:overflowPunct/>
        <w:topLinePunct w:val="0"/>
        <w:autoSpaceDE w:val="0"/>
        <w:autoSpaceDN w:val="0"/>
        <w:bidi w:val="0"/>
        <w:adjustRightInd w:val="0"/>
        <w:snapToGrid w:val="0"/>
        <w:jc w:val="both"/>
        <w:textAlignment w:val="baseline"/>
        <w:rPr>
          <w:rFonts w:hint="default" w:ascii="Times New Roman Regular" w:hAnsi="Times New Roman Regular" w:eastAsia="宋体" w:cs="Times New Roman Regular"/>
          <w:lang w:eastAsia="zh-CN"/>
        </w:rPr>
      </w:pPr>
    </w:p>
    <w:p>
      <w:pPr>
        <w:rPr>
          <w:rFonts w:hint="default" w:ascii="Times New Roman Regular" w:hAnsi="Times New Roman Regular" w:eastAsia="宋体" w:cs="Times New Roman Regular"/>
          <w:lang w:eastAsia="zh-CN"/>
        </w:rPr>
      </w:pPr>
      <w:r>
        <w:rPr>
          <w:rFonts w:hint="default" w:ascii="Times New Roman Regular" w:hAnsi="Times New Roman Regular" w:eastAsia="宋体" w:cs="Times New Roman Regular"/>
          <w:lang w:eastAsia="zh-CN"/>
        </w:rPr>
        <w:br w:type="page"/>
      </w:r>
    </w:p>
    <w:p>
      <w:pPr>
        <w:keepNext w:val="0"/>
        <w:keepLines w:val="0"/>
        <w:pageBreakBefore w:val="0"/>
        <w:widowControl/>
        <w:numPr>
          <w:ilvl w:val="0"/>
          <w:numId w:val="13"/>
        </w:numPr>
        <w:kinsoku w:val="0"/>
        <w:wordWrap/>
        <w:overflowPunct/>
        <w:topLinePunct w:val="0"/>
        <w:autoSpaceDE w:val="0"/>
        <w:autoSpaceDN w:val="0"/>
        <w:bidi w:val="0"/>
        <w:adjustRightInd w:val="0"/>
        <w:snapToGrid w:val="0"/>
        <w:spacing w:before="100" w:after="100"/>
        <w:jc w:val="both"/>
        <w:textAlignment w:val="baseline"/>
        <w:outlineLvl w:val="0"/>
        <w:rPr>
          <w:rFonts w:hint="default" w:ascii="Times New Roman Regular" w:hAnsi="Times New Roman Regular" w:cs="Times New Roman Regular"/>
          <w:b/>
          <w:bCs/>
          <w:sz w:val="28"/>
          <w:szCs w:val="28"/>
        </w:rPr>
      </w:pPr>
      <w:bookmarkStart w:id="56" w:name="_Toc27840"/>
      <w:r>
        <w:rPr>
          <w:rFonts w:hint="default" w:ascii="Times New Roman Regular" w:hAnsi="Times New Roman Regular" w:eastAsia="宋体" w:cs="Times New Roman Regular"/>
          <w:b/>
          <w:bCs/>
          <w:sz w:val="28"/>
          <w:szCs w:val="28"/>
          <w:lang w:val="en-US" w:eastAsia="zh-CN"/>
        </w:rPr>
        <w:t>References</w:t>
      </w:r>
      <w:bookmarkEnd w:id="56"/>
    </w:p>
    <w:p>
      <w:pPr>
        <w:spacing w:after="0" w:line="480" w:lineRule="auto"/>
        <w:contextualSpacing/>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 xml:space="preserve">1. Siegel RL, Miller KD, Jemal A. Cancer statistics, 2018. </w:t>
      </w:r>
      <w:r>
        <w:rPr>
          <w:rFonts w:hint="default" w:ascii="Times New Roman Regular" w:hAnsi="Times New Roman Regular" w:cs="Times New Roman Regular"/>
          <w:i w:val="0"/>
          <w:iCs w:val="0"/>
          <w:sz w:val="20"/>
          <w:szCs w:val="20"/>
        </w:rPr>
        <w:t>CA Cancer J Clin</w:t>
      </w:r>
      <w:r>
        <w:rPr>
          <w:rFonts w:hint="default" w:ascii="Times New Roman Regular" w:hAnsi="Times New Roman Regular" w:cs="Times New Roman Regular"/>
          <w:sz w:val="20"/>
          <w:szCs w:val="20"/>
        </w:rPr>
        <w:t xml:space="preserve"> 2018;68:7–30.</w:t>
      </w:r>
    </w:p>
    <w:p>
      <w:pPr>
        <w:spacing w:after="0" w:line="480" w:lineRule="auto"/>
        <w:contextualSpacing/>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 xml:space="preserve">2. Zheng RS, Sun KX, Zhang SW, et al. Report of cancer epidemiology in China, 2015. </w:t>
      </w:r>
      <w:r>
        <w:rPr>
          <w:rFonts w:hint="default" w:ascii="Times New Roman Regular" w:hAnsi="Times New Roman Regular" w:cs="Times New Roman Regular"/>
          <w:i w:val="0"/>
          <w:iCs w:val="0"/>
          <w:sz w:val="20"/>
          <w:szCs w:val="20"/>
        </w:rPr>
        <w:t>Zhonghua Zhong Liu Za Zhi</w:t>
      </w:r>
      <w:r>
        <w:rPr>
          <w:rFonts w:hint="default" w:ascii="Times New Roman Regular" w:hAnsi="Times New Roman Regular" w:cs="Times New Roman Regular"/>
          <w:sz w:val="20"/>
          <w:szCs w:val="20"/>
        </w:rPr>
        <w:t xml:space="preserve"> (2019) 4:19–28.</w:t>
      </w:r>
    </w:p>
    <w:p>
      <w:pPr>
        <w:spacing w:after="0" w:line="480" w:lineRule="auto"/>
        <w:contextualSpacing/>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 xml:space="preserve">3. Sun JM, Shen L, Shah MA, et al. Pembrolizumab plus chemotherapy versus chemotherapy alone for first-line treatment of advanced oesophageal cancer (KEYNOTE-590): a randomised, placebo-controlled, phase 3 study. </w:t>
      </w:r>
      <w:r>
        <w:rPr>
          <w:rFonts w:hint="default" w:ascii="Times New Roman Regular" w:hAnsi="Times New Roman Regular" w:cs="Times New Roman Regular"/>
          <w:i w:val="0"/>
          <w:iCs w:val="0"/>
          <w:sz w:val="20"/>
          <w:szCs w:val="20"/>
        </w:rPr>
        <w:t>Lancet</w:t>
      </w:r>
      <w:r>
        <w:rPr>
          <w:rFonts w:hint="default" w:ascii="Times New Roman Regular" w:hAnsi="Times New Roman Regular" w:cs="Times New Roman Regular"/>
          <w:sz w:val="20"/>
          <w:szCs w:val="20"/>
        </w:rPr>
        <w:t xml:space="preserve"> (2021) 398:759</w:t>
      </w:r>
      <w:r>
        <w:rPr>
          <w:rFonts w:hint="default" w:ascii="Times New Roman Regular" w:hAnsi="Times New Roman Regular" w:cs="Times New Roman Regular"/>
          <w:sz w:val="20"/>
          <w:szCs w:val="20"/>
        </w:rPr>
        <w:softHyphen/>
      </w:r>
      <w:r>
        <w:rPr>
          <w:rFonts w:hint="default" w:ascii="Times New Roman Regular" w:hAnsi="Times New Roman Regular" w:cs="Times New Roman Regular"/>
          <w:sz w:val="20"/>
          <w:szCs w:val="20"/>
        </w:rPr>
        <w:t>–71.</w:t>
      </w:r>
    </w:p>
    <w:p>
      <w:pPr>
        <w:spacing w:after="0" w:line="480" w:lineRule="auto"/>
        <w:contextualSpacing/>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4. Luo H, Lu J, Bai Y, et al. Effect of Camrelizumab vs Placebo Added to Chemotherapy on Survival and Progression-Free Survival in Patients With Advanced or Metastatic Esophageal Squamous Cell Carcinoma: The ESCORT-1st Randomized Clinical Trial. JAMA  (2021) 326:916–925.</w:t>
      </w:r>
    </w:p>
    <w:p>
      <w:pPr>
        <w:spacing w:after="0" w:line="480" w:lineRule="auto"/>
        <w:contextualSpacing/>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5. Suzuki G, Yamazaki H, Aibe N, et al. Palliative radiotherapy in the local management of stage IVB esophageal cancer: factors affecting swallowing and survival. </w:t>
      </w:r>
      <w:r>
        <w:rPr>
          <w:rFonts w:hint="default" w:ascii="Times New Roman Regular" w:hAnsi="Times New Roman Regular" w:cs="Times New Roman Regular"/>
          <w:i w:val="0"/>
          <w:iCs w:val="0"/>
          <w:sz w:val="20"/>
          <w:szCs w:val="20"/>
        </w:rPr>
        <w:t>Anticancer Res</w:t>
      </w:r>
      <w:r>
        <w:rPr>
          <w:rFonts w:hint="default" w:ascii="Times New Roman Regular" w:hAnsi="Times New Roman Regular" w:cs="Times New Roman Regular"/>
          <w:sz w:val="20"/>
          <w:szCs w:val="20"/>
        </w:rPr>
        <w:t xml:space="preserve"> 2017;37:3085–92.</w:t>
      </w:r>
    </w:p>
    <w:p>
      <w:pPr>
        <w:spacing w:after="0" w:line="480" w:lineRule="auto"/>
        <w:contextualSpacing/>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 xml:space="preserve">6. Li J, Wen Y, Xiang Z, et al. Radical radiotherapy for metachronous oligometastasis after initial treatment of esophageal cancer. </w:t>
      </w:r>
      <w:r>
        <w:rPr>
          <w:rFonts w:hint="default" w:ascii="Times New Roman Regular" w:hAnsi="Times New Roman Regular" w:cs="Times New Roman Regular"/>
          <w:i w:val="0"/>
          <w:iCs w:val="0"/>
          <w:sz w:val="20"/>
          <w:szCs w:val="20"/>
        </w:rPr>
        <w:t>Radiother Oncol</w:t>
      </w:r>
      <w:r>
        <w:rPr>
          <w:rFonts w:hint="default" w:ascii="Times New Roman Regular" w:hAnsi="Times New Roman Regular" w:cs="Times New Roman Regular"/>
          <w:sz w:val="20"/>
          <w:szCs w:val="20"/>
        </w:rPr>
        <w:t xml:space="preserve"> (2021) 154:201–6.</w:t>
      </w:r>
    </w:p>
    <w:p>
      <w:pPr>
        <w:spacing w:after="0" w:line="480" w:lineRule="auto"/>
        <w:contextualSpacing/>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 xml:space="preserve">7. Lee S, Ahn BC, Park SY, et al. A phase II trial of preoperative chemoradiotherapy and pembrolizumab for locally advanced esophageal squamous cell carcinoma (ESCC). </w:t>
      </w:r>
      <w:r>
        <w:rPr>
          <w:rFonts w:hint="default" w:ascii="Times New Roman Regular" w:hAnsi="Times New Roman Regular" w:cs="Times New Roman Regular"/>
          <w:i w:val="0"/>
          <w:iCs w:val="0"/>
          <w:sz w:val="20"/>
          <w:szCs w:val="20"/>
        </w:rPr>
        <w:t>Ann Oncol</w:t>
      </w:r>
      <w:r>
        <w:rPr>
          <w:rFonts w:hint="default" w:ascii="Times New Roman Regular" w:hAnsi="Times New Roman Regular" w:cs="Times New Roman Regular"/>
          <w:sz w:val="20"/>
          <w:szCs w:val="20"/>
        </w:rPr>
        <w:t xml:space="preserve"> (2019) 30 (Suppl 5):v754.</w:t>
      </w:r>
    </w:p>
    <w:p>
      <w:pPr>
        <w:spacing w:after="0" w:line="480" w:lineRule="auto"/>
        <w:contextualSpacing/>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8. van den Ende T, de Clercq NC, van Berge Henegouwen MI, et al. Neoadjuvant chemoradiotherapy combined with atezolizumab for resectable esophageal adenocarcinoma: a single-arm phase II feasibility trial (PERFECT). </w:t>
      </w:r>
      <w:r>
        <w:rPr>
          <w:rFonts w:hint="default" w:ascii="Times New Roman Regular" w:hAnsi="Times New Roman Regular" w:cs="Times New Roman Regular"/>
          <w:i w:val="0"/>
          <w:iCs w:val="0"/>
          <w:sz w:val="20"/>
          <w:szCs w:val="20"/>
        </w:rPr>
        <w:t>Clin Cancer Res</w:t>
      </w:r>
      <w:r>
        <w:rPr>
          <w:rFonts w:hint="default" w:ascii="Times New Roman Regular" w:hAnsi="Times New Roman Regular" w:cs="Times New Roman Regular"/>
          <w:sz w:val="20"/>
          <w:szCs w:val="20"/>
        </w:rPr>
        <w:t xml:space="preserve"> (2021) 27:3351–9.</w:t>
      </w:r>
    </w:p>
    <w:p>
      <w:pPr>
        <w:spacing w:after="0" w:line="480" w:lineRule="auto"/>
        <w:contextualSpacing/>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 xml:space="preserve">9. Liao XY, Liu CY, He JF, et al. Combination of checkpoint inhibitors with radiotherapy in esophageal squamous cell carcinoma treatment: a novel strategy. </w:t>
      </w:r>
      <w:r>
        <w:rPr>
          <w:rFonts w:hint="default" w:ascii="Times New Roman Regular" w:hAnsi="Times New Roman Regular" w:cs="Times New Roman Regular"/>
          <w:i w:val="0"/>
          <w:iCs w:val="0"/>
          <w:sz w:val="20"/>
          <w:szCs w:val="20"/>
        </w:rPr>
        <w:t>Oncol Lett</w:t>
      </w:r>
      <w:r>
        <w:rPr>
          <w:rFonts w:hint="default" w:ascii="Times New Roman Regular" w:hAnsi="Times New Roman Regular" w:cs="Times New Roman Regular"/>
          <w:sz w:val="20"/>
          <w:szCs w:val="20"/>
        </w:rPr>
        <w:t xml:space="preserve"> 2019;18:5011–21.</w:t>
      </w:r>
    </w:p>
    <w:p>
      <w:pPr>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br w:type="page"/>
      </w:r>
    </w:p>
    <w:p>
      <w:pPr>
        <w:keepNext w:val="0"/>
        <w:keepLines w:val="0"/>
        <w:pageBreakBefore w:val="0"/>
        <w:widowControl/>
        <w:kinsoku w:val="0"/>
        <w:wordWrap/>
        <w:overflowPunct/>
        <w:topLinePunct w:val="0"/>
        <w:autoSpaceDE w:val="0"/>
        <w:autoSpaceDN w:val="0"/>
        <w:bidi w:val="0"/>
        <w:adjustRightInd w:val="0"/>
        <w:snapToGrid w:val="0"/>
        <w:spacing w:line="440" w:lineRule="exact"/>
        <w:jc w:val="center"/>
        <w:textAlignment w:val="baseline"/>
        <w:outlineLvl w:val="0"/>
        <w:rPr>
          <w:rFonts w:hint="default" w:ascii="Times New Roman Regular" w:hAnsi="Times New Roman Regular" w:cs="Times New Roman Regular"/>
          <w:b/>
          <w:bCs/>
          <w:caps w:val="0"/>
          <w:smallCaps w:val="0"/>
          <w:sz w:val="24"/>
          <w:szCs w:val="24"/>
        </w:rPr>
      </w:pPr>
      <w:bookmarkStart w:id="57" w:name="_Toc18515"/>
      <w:r>
        <w:rPr>
          <w:rFonts w:hint="default" w:ascii="Times New Roman Regular" w:hAnsi="Times New Roman Regular" w:eastAsia="宋体" w:cs="Times New Roman Regular"/>
          <w:b/>
          <w:bCs/>
          <w:caps w:val="0"/>
          <w:smallCaps w:val="0"/>
          <w:sz w:val="24"/>
          <w:szCs w:val="24"/>
          <w:lang w:val="en-US" w:eastAsia="zh-CN"/>
        </w:rPr>
        <w:t>S</w:t>
      </w:r>
      <w:r>
        <w:rPr>
          <w:rFonts w:hint="default" w:ascii="Times New Roman Regular" w:hAnsi="Times New Roman Regular" w:cs="Times New Roman Regular"/>
          <w:b/>
          <w:bCs/>
          <w:caps w:val="0"/>
          <w:smallCaps w:val="0"/>
          <w:sz w:val="24"/>
          <w:szCs w:val="24"/>
        </w:rPr>
        <w:t xml:space="preserve">ummary of Amendments to Protocol of </w:t>
      </w:r>
      <w:r>
        <w:rPr>
          <w:rFonts w:hint="default" w:ascii="Times New Roman Regular" w:hAnsi="Times New Roman Regular" w:cs="Times New Roman Regular"/>
          <w:b/>
          <w:bCs/>
          <w:caps w:val="0"/>
          <w:smallCaps w:val="0"/>
          <w:sz w:val="24"/>
          <w:szCs w:val="24"/>
        </w:rPr>
        <w:fldChar w:fldCharType="begin"/>
      </w:r>
      <w:r>
        <w:rPr>
          <w:rFonts w:hint="default" w:ascii="Times New Roman Regular" w:hAnsi="Times New Roman Regular" w:cs="Times New Roman Regular"/>
          <w:b/>
          <w:bCs/>
          <w:caps w:val="0"/>
          <w:smallCaps w:val="0"/>
          <w:sz w:val="24"/>
          <w:szCs w:val="24"/>
        </w:rPr>
        <w:instrText xml:space="preserve"> HYPERLINK "http://www.frontiersin.org/Journal/Abstract.aspx?d=0&amp;name=Radiation_Oncology&amp;ART_DOI=10.3389/fonc.2022.878851" \t "https://review.frontiersin.org/review/878851/17/1513055/" \l "tab/_blank" </w:instrText>
      </w:r>
      <w:r>
        <w:rPr>
          <w:rFonts w:hint="default" w:ascii="Times New Roman Regular" w:hAnsi="Times New Roman Regular" w:cs="Times New Roman Regular"/>
          <w:b/>
          <w:bCs/>
          <w:caps w:val="0"/>
          <w:smallCaps w:val="0"/>
          <w:sz w:val="24"/>
          <w:szCs w:val="24"/>
        </w:rPr>
        <w:fldChar w:fldCharType="separate"/>
      </w:r>
      <w:r>
        <w:rPr>
          <w:rFonts w:hint="default" w:ascii="Times New Roman Regular" w:hAnsi="Times New Roman Regular" w:cs="Times New Roman Regular"/>
          <w:b/>
          <w:bCs/>
          <w:caps w:val="0"/>
          <w:smallCaps w:val="0"/>
          <w:sz w:val="24"/>
          <w:szCs w:val="24"/>
        </w:rPr>
        <w:t xml:space="preserve">Toripalimab in </w:t>
      </w:r>
      <w:r>
        <w:rPr>
          <w:rFonts w:hint="default" w:ascii="Times New Roman Regular" w:hAnsi="Times New Roman Regular" w:eastAsia="宋体" w:cs="Times New Roman Regular"/>
          <w:b/>
          <w:bCs/>
          <w:caps w:val="0"/>
          <w:smallCaps w:val="0"/>
          <w:sz w:val="24"/>
          <w:szCs w:val="24"/>
          <w:lang w:val="en-US" w:eastAsia="zh-CN"/>
        </w:rPr>
        <w:t>C</w:t>
      </w:r>
      <w:r>
        <w:rPr>
          <w:rFonts w:hint="default" w:ascii="Times New Roman Regular" w:hAnsi="Times New Roman Regular" w:cs="Times New Roman Regular"/>
          <w:b/>
          <w:bCs/>
          <w:caps w:val="0"/>
          <w:smallCaps w:val="0"/>
          <w:sz w:val="24"/>
          <w:szCs w:val="24"/>
        </w:rPr>
        <w:t xml:space="preserve">ombination with </w:t>
      </w:r>
      <w:r>
        <w:rPr>
          <w:rFonts w:hint="default" w:ascii="Times New Roman Regular" w:hAnsi="Times New Roman Regular" w:eastAsia="宋体" w:cs="Times New Roman Regular"/>
          <w:b/>
          <w:bCs/>
          <w:caps w:val="0"/>
          <w:smallCaps w:val="0"/>
          <w:sz w:val="24"/>
          <w:szCs w:val="24"/>
          <w:lang w:val="en-US" w:eastAsia="zh-CN"/>
        </w:rPr>
        <w:t>I</w:t>
      </w:r>
      <w:r>
        <w:rPr>
          <w:rFonts w:hint="default" w:ascii="Times New Roman Regular" w:hAnsi="Times New Roman Regular" w:cs="Times New Roman Regular"/>
          <w:b/>
          <w:bCs/>
          <w:caps w:val="0"/>
          <w:smallCaps w:val="0"/>
          <w:sz w:val="24"/>
          <w:szCs w:val="24"/>
        </w:rPr>
        <w:t xml:space="preserve">nduction </w:t>
      </w:r>
      <w:r>
        <w:rPr>
          <w:rFonts w:hint="default" w:ascii="Times New Roman Regular" w:hAnsi="Times New Roman Regular" w:eastAsia="宋体" w:cs="Times New Roman Regular"/>
          <w:b/>
          <w:bCs/>
          <w:caps w:val="0"/>
          <w:smallCaps w:val="0"/>
          <w:sz w:val="24"/>
          <w:szCs w:val="24"/>
          <w:lang w:val="en-US" w:eastAsia="zh-CN"/>
        </w:rPr>
        <w:t>C</w:t>
      </w:r>
      <w:r>
        <w:rPr>
          <w:rFonts w:hint="default" w:ascii="Times New Roman Regular" w:hAnsi="Times New Roman Regular" w:cs="Times New Roman Regular"/>
          <w:b/>
          <w:bCs/>
          <w:caps w:val="0"/>
          <w:smallCaps w:val="0"/>
          <w:sz w:val="24"/>
          <w:szCs w:val="24"/>
        </w:rPr>
        <w:t xml:space="preserve">hemotherapy and </w:t>
      </w:r>
      <w:r>
        <w:rPr>
          <w:rFonts w:hint="default" w:ascii="Times New Roman Regular" w:hAnsi="Times New Roman Regular" w:eastAsia="宋体" w:cs="Times New Roman Regular"/>
          <w:b/>
          <w:bCs/>
          <w:caps w:val="0"/>
          <w:smallCaps w:val="0"/>
          <w:sz w:val="24"/>
          <w:szCs w:val="24"/>
          <w:lang w:val="en-US" w:eastAsia="zh-CN"/>
        </w:rPr>
        <w:t>S</w:t>
      </w:r>
      <w:r>
        <w:rPr>
          <w:rFonts w:hint="default" w:ascii="Times New Roman Regular" w:hAnsi="Times New Roman Regular" w:cs="Times New Roman Regular"/>
          <w:b/>
          <w:bCs/>
          <w:caps w:val="0"/>
          <w:smallCaps w:val="0"/>
          <w:sz w:val="24"/>
          <w:szCs w:val="24"/>
        </w:rPr>
        <w:t xml:space="preserve">ubsequent </w:t>
      </w:r>
      <w:r>
        <w:rPr>
          <w:rFonts w:hint="default" w:ascii="Times New Roman Regular" w:hAnsi="Times New Roman Regular" w:eastAsia="宋体" w:cs="Times New Roman Regular"/>
          <w:b/>
          <w:bCs/>
          <w:caps w:val="0"/>
          <w:smallCaps w:val="0"/>
          <w:sz w:val="24"/>
          <w:szCs w:val="24"/>
          <w:lang w:val="en-US" w:eastAsia="zh-CN"/>
        </w:rPr>
        <w:t>C</w:t>
      </w:r>
      <w:r>
        <w:rPr>
          <w:rFonts w:hint="default" w:ascii="Times New Roman Regular" w:hAnsi="Times New Roman Regular" w:cs="Times New Roman Regular"/>
          <w:b/>
          <w:bCs/>
          <w:caps w:val="0"/>
          <w:smallCaps w:val="0"/>
          <w:sz w:val="24"/>
          <w:szCs w:val="24"/>
        </w:rPr>
        <w:t xml:space="preserve">hemoradiation as </w:t>
      </w:r>
      <w:r>
        <w:rPr>
          <w:rFonts w:hint="default" w:ascii="Times New Roman Regular" w:hAnsi="Times New Roman Regular" w:eastAsia="宋体" w:cs="Times New Roman Regular"/>
          <w:b/>
          <w:bCs/>
          <w:caps w:val="0"/>
          <w:smallCaps w:val="0"/>
          <w:sz w:val="24"/>
          <w:szCs w:val="24"/>
          <w:lang w:val="en-US" w:eastAsia="zh-CN"/>
        </w:rPr>
        <w:t>F</w:t>
      </w:r>
      <w:r>
        <w:rPr>
          <w:rFonts w:hint="default" w:ascii="Times New Roman Regular" w:hAnsi="Times New Roman Regular" w:cs="Times New Roman Regular"/>
          <w:b/>
          <w:bCs/>
          <w:caps w:val="0"/>
          <w:smallCaps w:val="0"/>
          <w:sz w:val="24"/>
          <w:szCs w:val="24"/>
        </w:rPr>
        <w:t xml:space="preserve">irst-line </w:t>
      </w:r>
      <w:r>
        <w:rPr>
          <w:rFonts w:hint="default" w:ascii="Times New Roman Regular" w:hAnsi="Times New Roman Regular" w:eastAsia="宋体" w:cs="Times New Roman Regular"/>
          <w:b/>
          <w:bCs/>
          <w:caps w:val="0"/>
          <w:smallCaps w:val="0"/>
          <w:sz w:val="24"/>
          <w:szCs w:val="24"/>
          <w:lang w:val="en-US" w:eastAsia="zh-CN"/>
        </w:rPr>
        <w:t>T</w:t>
      </w:r>
      <w:r>
        <w:rPr>
          <w:rFonts w:hint="default" w:ascii="Times New Roman Regular" w:hAnsi="Times New Roman Regular" w:cs="Times New Roman Regular"/>
          <w:b/>
          <w:bCs/>
          <w:caps w:val="0"/>
          <w:smallCaps w:val="0"/>
          <w:sz w:val="24"/>
          <w:szCs w:val="24"/>
        </w:rPr>
        <w:t xml:space="preserve">reatment in </w:t>
      </w:r>
      <w:r>
        <w:rPr>
          <w:rFonts w:hint="default" w:ascii="Times New Roman Regular" w:hAnsi="Times New Roman Regular" w:eastAsia="宋体" w:cs="Times New Roman Regular"/>
          <w:b/>
          <w:bCs/>
          <w:caps w:val="0"/>
          <w:smallCaps w:val="0"/>
          <w:sz w:val="24"/>
          <w:szCs w:val="24"/>
          <w:lang w:val="en-US" w:eastAsia="zh-CN"/>
        </w:rPr>
        <w:t>P</w:t>
      </w:r>
      <w:r>
        <w:rPr>
          <w:rFonts w:hint="default" w:ascii="Times New Roman Regular" w:hAnsi="Times New Roman Regular" w:cs="Times New Roman Regular"/>
          <w:b/>
          <w:bCs/>
          <w:caps w:val="0"/>
          <w:smallCaps w:val="0"/>
          <w:sz w:val="24"/>
          <w:szCs w:val="24"/>
        </w:rPr>
        <w:t xml:space="preserve">atients with </w:t>
      </w:r>
      <w:r>
        <w:rPr>
          <w:rFonts w:hint="default" w:ascii="Times New Roman Regular" w:hAnsi="Times New Roman Regular" w:eastAsia="宋体" w:cs="Times New Roman Regular"/>
          <w:b/>
          <w:bCs/>
          <w:caps w:val="0"/>
          <w:smallCaps w:val="0"/>
          <w:sz w:val="24"/>
          <w:szCs w:val="24"/>
          <w:lang w:val="en-US" w:eastAsia="zh-CN"/>
        </w:rPr>
        <w:t>A</w:t>
      </w:r>
      <w:r>
        <w:rPr>
          <w:rFonts w:hint="default" w:ascii="Times New Roman Regular" w:hAnsi="Times New Roman Regular" w:cs="Times New Roman Regular"/>
          <w:b/>
          <w:bCs/>
          <w:caps w:val="0"/>
          <w:smallCaps w:val="0"/>
          <w:sz w:val="24"/>
          <w:szCs w:val="24"/>
        </w:rPr>
        <w:t xml:space="preserve">dvanced </w:t>
      </w:r>
      <w:r>
        <w:rPr>
          <w:rFonts w:hint="default" w:ascii="Times New Roman Regular" w:hAnsi="Times New Roman Regular" w:eastAsia="宋体" w:cs="Times New Roman Regular"/>
          <w:b/>
          <w:bCs/>
          <w:caps w:val="0"/>
          <w:smallCaps w:val="0"/>
          <w:sz w:val="24"/>
          <w:szCs w:val="24"/>
          <w:lang w:val="en-US" w:eastAsia="zh-CN"/>
        </w:rPr>
        <w:t>E</w:t>
      </w:r>
      <w:r>
        <w:rPr>
          <w:rFonts w:hint="default" w:ascii="Times New Roman Regular" w:hAnsi="Times New Roman Regular" w:cs="Times New Roman Regular"/>
          <w:b/>
          <w:bCs/>
          <w:caps w:val="0"/>
          <w:smallCaps w:val="0"/>
          <w:sz w:val="24"/>
          <w:szCs w:val="24"/>
        </w:rPr>
        <w:t xml:space="preserve">sophageal </w:t>
      </w:r>
      <w:r>
        <w:rPr>
          <w:rFonts w:hint="default" w:ascii="Times New Roman Regular" w:hAnsi="Times New Roman Regular" w:eastAsia="宋体" w:cs="Times New Roman Regular"/>
          <w:b/>
          <w:bCs/>
          <w:caps w:val="0"/>
          <w:smallCaps w:val="0"/>
          <w:sz w:val="24"/>
          <w:szCs w:val="24"/>
          <w:lang w:val="en-US" w:eastAsia="zh-CN"/>
        </w:rPr>
        <w:t>C</w:t>
      </w:r>
      <w:r>
        <w:rPr>
          <w:rFonts w:hint="default" w:ascii="Times New Roman Regular" w:hAnsi="Times New Roman Regular" w:cs="Times New Roman Regular"/>
          <w:b/>
          <w:bCs/>
          <w:caps w:val="0"/>
          <w:smallCaps w:val="0"/>
          <w:sz w:val="24"/>
          <w:szCs w:val="24"/>
        </w:rPr>
        <w:t>arcinoma</w:t>
      </w:r>
      <w:r>
        <w:rPr>
          <w:rFonts w:hint="default" w:ascii="Times New Roman Regular" w:hAnsi="Times New Roman Regular" w:eastAsia="宋体" w:cs="Times New Roman Regular"/>
          <w:b/>
          <w:bCs/>
          <w:caps w:val="0"/>
          <w:smallCaps w:val="0"/>
          <w:sz w:val="24"/>
          <w:szCs w:val="24"/>
          <w:lang w:val="en-US" w:eastAsia="zh-CN"/>
        </w:rPr>
        <w:t>: A</w:t>
      </w:r>
      <w:r>
        <w:rPr>
          <w:rFonts w:hint="default" w:ascii="Times New Roman Regular" w:hAnsi="Times New Roman Regular" w:cs="Times New Roman Regular"/>
          <w:b/>
          <w:bCs/>
          <w:caps w:val="0"/>
          <w:smallCaps w:val="0"/>
          <w:sz w:val="24"/>
          <w:szCs w:val="24"/>
        </w:rPr>
        <w:t xml:space="preserve"> </w:t>
      </w:r>
      <w:r>
        <w:rPr>
          <w:rFonts w:hint="default" w:ascii="Times New Roman Regular" w:hAnsi="Times New Roman Regular" w:eastAsia="宋体" w:cs="Times New Roman Regular"/>
          <w:b/>
          <w:bCs/>
          <w:caps w:val="0"/>
          <w:smallCaps w:val="0"/>
          <w:sz w:val="24"/>
          <w:szCs w:val="24"/>
          <w:lang w:val="en-US" w:eastAsia="zh-CN"/>
        </w:rPr>
        <w:t>S</w:t>
      </w:r>
      <w:r>
        <w:rPr>
          <w:rFonts w:hint="default" w:ascii="Times New Roman Regular" w:hAnsi="Times New Roman Regular" w:cs="Times New Roman Regular"/>
          <w:b/>
          <w:bCs/>
          <w:caps w:val="0"/>
          <w:smallCaps w:val="0"/>
          <w:sz w:val="24"/>
          <w:szCs w:val="24"/>
        </w:rPr>
        <w:t xml:space="preserve">ingle-arm, </w:t>
      </w:r>
      <w:r>
        <w:rPr>
          <w:rFonts w:hint="default" w:ascii="Times New Roman Regular" w:hAnsi="Times New Roman Regular" w:eastAsia="宋体" w:cs="Times New Roman Regular"/>
          <w:b/>
          <w:bCs/>
          <w:caps w:val="0"/>
          <w:smallCaps w:val="0"/>
          <w:sz w:val="24"/>
          <w:szCs w:val="24"/>
          <w:lang w:val="en-US" w:eastAsia="zh-CN"/>
        </w:rPr>
        <w:t>P</w:t>
      </w:r>
      <w:r>
        <w:rPr>
          <w:rFonts w:hint="default" w:ascii="Times New Roman Regular" w:hAnsi="Times New Roman Regular" w:cs="Times New Roman Regular"/>
          <w:b/>
          <w:bCs/>
          <w:caps w:val="0"/>
          <w:smallCaps w:val="0"/>
          <w:sz w:val="24"/>
          <w:szCs w:val="24"/>
        </w:rPr>
        <w:t xml:space="preserve">rospective, </w:t>
      </w:r>
      <w:r>
        <w:rPr>
          <w:rFonts w:hint="default" w:ascii="Times New Roman Regular" w:hAnsi="Times New Roman Regular" w:eastAsia="宋体" w:cs="Times New Roman Regular"/>
          <w:b/>
          <w:bCs/>
          <w:caps w:val="0"/>
          <w:smallCaps w:val="0"/>
          <w:sz w:val="24"/>
          <w:szCs w:val="24"/>
          <w:lang w:val="en-US" w:eastAsia="zh-CN"/>
        </w:rPr>
        <w:t>O</w:t>
      </w:r>
      <w:r>
        <w:rPr>
          <w:rFonts w:hint="default" w:ascii="Times New Roman Regular" w:hAnsi="Times New Roman Regular" w:cs="Times New Roman Regular"/>
          <w:b/>
          <w:bCs/>
          <w:caps w:val="0"/>
          <w:smallCaps w:val="0"/>
          <w:sz w:val="24"/>
          <w:szCs w:val="24"/>
        </w:rPr>
        <w:t xml:space="preserve">pen-label, </w:t>
      </w:r>
      <w:r>
        <w:rPr>
          <w:rFonts w:hint="default" w:ascii="Times New Roman Regular" w:hAnsi="Times New Roman Regular" w:eastAsia="宋体" w:cs="Times New Roman Regular"/>
          <w:b/>
          <w:bCs/>
          <w:caps w:val="0"/>
          <w:smallCaps w:val="0"/>
          <w:sz w:val="24"/>
          <w:szCs w:val="24"/>
          <w:lang w:val="en-US" w:eastAsia="zh-CN"/>
        </w:rPr>
        <w:t>P</w:t>
      </w:r>
      <w:r>
        <w:rPr>
          <w:rFonts w:hint="default" w:ascii="Times New Roman Regular" w:hAnsi="Times New Roman Regular" w:cs="Times New Roman Regular"/>
          <w:b/>
          <w:bCs/>
          <w:caps w:val="0"/>
          <w:smallCaps w:val="0"/>
          <w:sz w:val="24"/>
          <w:szCs w:val="24"/>
        </w:rPr>
        <w:t xml:space="preserve">hase II </w:t>
      </w:r>
      <w:r>
        <w:rPr>
          <w:rFonts w:hint="default" w:ascii="Times New Roman Regular" w:hAnsi="Times New Roman Regular" w:eastAsia="宋体" w:cs="Times New Roman Regular"/>
          <w:b/>
          <w:bCs/>
          <w:caps w:val="0"/>
          <w:smallCaps w:val="0"/>
          <w:sz w:val="24"/>
          <w:szCs w:val="24"/>
          <w:lang w:val="en-US" w:eastAsia="zh-CN"/>
        </w:rPr>
        <w:t>C</w:t>
      </w:r>
      <w:r>
        <w:rPr>
          <w:rFonts w:hint="default" w:ascii="Times New Roman Regular" w:hAnsi="Times New Roman Regular" w:cs="Times New Roman Regular"/>
          <w:b/>
          <w:bCs/>
          <w:caps w:val="0"/>
          <w:smallCaps w:val="0"/>
          <w:sz w:val="24"/>
          <w:szCs w:val="24"/>
        </w:rPr>
        <w:t xml:space="preserve">linical </w:t>
      </w:r>
      <w:r>
        <w:rPr>
          <w:rFonts w:hint="default" w:ascii="Times New Roman Regular" w:hAnsi="Times New Roman Regular" w:eastAsia="宋体" w:cs="Times New Roman Regular"/>
          <w:b/>
          <w:bCs/>
          <w:caps w:val="0"/>
          <w:smallCaps w:val="0"/>
          <w:sz w:val="24"/>
          <w:szCs w:val="24"/>
          <w:lang w:val="en-US" w:eastAsia="zh-CN"/>
        </w:rPr>
        <w:t>T</w:t>
      </w:r>
      <w:r>
        <w:rPr>
          <w:rFonts w:hint="default" w:ascii="Times New Roman Regular" w:hAnsi="Times New Roman Regular" w:cs="Times New Roman Regular"/>
          <w:b/>
          <w:bCs/>
          <w:caps w:val="0"/>
          <w:smallCaps w:val="0"/>
          <w:sz w:val="24"/>
          <w:szCs w:val="24"/>
        </w:rPr>
        <w:t>rial (TR-EAT)</w:t>
      </w:r>
      <w:r>
        <w:rPr>
          <w:rFonts w:hint="default" w:ascii="Times New Roman Regular" w:hAnsi="Times New Roman Regular" w:cs="Times New Roman Regular"/>
          <w:b/>
          <w:bCs/>
          <w:caps w:val="0"/>
          <w:smallCaps w:val="0"/>
          <w:sz w:val="24"/>
          <w:szCs w:val="24"/>
        </w:rPr>
        <w:fldChar w:fldCharType="end"/>
      </w:r>
      <w:bookmarkEnd w:id="57"/>
    </w:p>
    <w:p>
      <w:pPr>
        <w:pStyle w:val="5"/>
        <w:spacing w:before="123" w:line="191" w:lineRule="auto"/>
        <w:ind w:left="1303"/>
        <w:rPr>
          <w:rFonts w:hint="default" w:ascii="Times New Roman Regular" w:hAnsi="Times New Roman Regular" w:cs="Times New Roman Regular"/>
          <w:sz w:val="20"/>
          <w:szCs w:val="20"/>
        </w:rPr>
      </w:pPr>
      <w:r>
        <w:rPr>
          <w:rFonts w:hint="default" w:ascii="Times New Roman Regular" w:hAnsi="Times New Roman Regular" w:cs="Times New Roman Regular"/>
          <w:spacing w:val="-1"/>
          <w:sz w:val="20"/>
          <w:szCs w:val="20"/>
        </w:rPr>
        <w:t>(Version</w:t>
      </w:r>
      <w:r>
        <w:rPr>
          <w:rFonts w:hint="default" w:ascii="Times New Roman Regular" w:hAnsi="Times New Roman Regular" w:cs="Times New Roman Regular"/>
          <w:spacing w:val="28"/>
          <w:w w:val="101"/>
          <w:sz w:val="20"/>
          <w:szCs w:val="20"/>
        </w:rPr>
        <w:t xml:space="preserve"> </w:t>
      </w:r>
      <w:r>
        <w:rPr>
          <w:rFonts w:hint="default" w:ascii="Times New Roman Regular" w:hAnsi="Times New Roman Regular" w:cs="Times New Roman Regular"/>
          <w:spacing w:val="-1"/>
          <w:sz w:val="20"/>
          <w:szCs w:val="20"/>
        </w:rPr>
        <w:t xml:space="preserve">1.0, Date: </w:t>
      </w:r>
      <w:r>
        <w:rPr>
          <w:rFonts w:hint="default" w:ascii="Times New Roman Regular" w:hAnsi="Times New Roman Regular" w:eastAsia="宋体" w:cs="Times New Roman Regular"/>
          <w:spacing w:val="-1"/>
          <w:sz w:val="20"/>
          <w:szCs w:val="20"/>
          <w:lang w:val="en-US" w:eastAsia="zh-CN"/>
        </w:rPr>
        <w:t>5</w:t>
      </w:r>
      <w:r>
        <w:rPr>
          <w:rFonts w:hint="default" w:ascii="Times New Roman Regular" w:hAnsi="Times New Roman Regular" w:cs="Times New Roman Regular"/>
          <w:spacing w:val="-1"/>
          <w:sz w:val="20"/>
          <w:szCs w:val="20"/>
        </w:rPr>
        <w:t xml:space="preserve"> </w:t>
      </w:r>
      <w:r>
        <w:rPr>
          <w:rFonts w:hint="default" w:ascii="Times New Roman Regular" w:hAnsi="Times New Roman Regular" w:eastAsia="宋体" w:cs="Times New Roman Regular"/>
          <w:spacing w:val="-1"/>
          <w:sz w:val="20"/>
          <w:szCs w:val="20"/>
          <w:lang w:val="en-US" w:eastAsia="zh-CN"/>
        </w:rPr>
        <w:t>Feb</w:t>
      </w:r>
      <w:r>
        <w:rPr>
          <w:rFonts w:hint="default" w:ascii="Times New Roman Regular" w:hAnsi="Times New Roman Regular" w:cs="Times New Roman Regular"/>
          <w:spacing w:val="-1"/>
          <w:sz w:val="20"/>
          <w:szCs w:val="20"/>
        </w:rPr>
        <w:t>., 20</w:t>
      </w:r>
      <w:r>
        <w:rPr>
          <w:rFonts w:hint="default" w:ascii="Times New Roman Regular" w:hAnsi="Times New Roman Regular" w:eastAsia="宋体" w:cs="Times New Roman Regular"/>
          <w:spacing w:val="-1"/>
          <w:sz w:val="20"/>
          <w:szCs w:val="20"/>
          <w:lang w:val="en-US" w:eastAsia="zh-CN"/>
        </w:rPr>
        <w:t>21</w:t>
      </w:r>
      <w:r>
        <w:rPr>
          <w:rFonts w:hint="default" w:ascii="Times New Roman Regular" w:hAnsi="Times New Roman Regular" w:cs="Times New Roman Regular"/>
          <w:spacing w:val="-1"/>
          <w:sz w:val="20"/>
          <w:szCs w:val="20"/>
        </w:rPr>
        <w:t xml:space="preserve"> - Version 2.0, Date:</w:t>
      </w:r>
      <w:r>
        <w:rPr>
          <w:rFonts w:hint="default" w:ascii="Times New Roman Regular" w:hAnsi="Times New Roman Regular" w:cs="Times New Roman Regular"/>
          <w:spacing w:val="24"/>
          <w:sz w:val="20"/>
          <w:szCs w:val="20"/>
        </w:rPr>
        <w:t xml:space="preserve"> </w:t>
      </w:r>
      <w:r>
        <w:rPr>
          <w:rFonts w:hint="default" w:ascii="Times New Roman Regular" w:hAnsi="Times New Roman Regular" w:eastAsia="宋体" w:cs="Times New Roman Regular"/>
          <w:spacing w:val="24"/>
          <w:sz w:val="20"/>
          <w:szCs w:val="20"/>
          <w:lang w:val="en-US" w:eastAsia="zh-CN"/>
        </w:rPr>
        <w:t>07</w:t>
      </w:r>
      <w:r>
        <w:rPr>
          <w:rFonts w:hint="default" w:ascii="Times New Roman Regular" w:hAnsi="Times New Roman Regular" w:cs="Times New Roman Regular"/>
          <w:spacing w:val="-1"/>
          <w:sz w:val="20"/>
          <w:szCs w:val="20"/>
        </w:rPr>
        <w:t xml:space="preserve"> </w:t>
      </w:r>
      <w:r>
        <w:rPr>
          <w:rFonts w:hint="default" w:ascii="Times New Roman Regular" w:hAnsi="Times New Roman Regular" w:eastAsia="宋体" w:cs="Times New Roman Regular"/>
          <w:spacing w:val="-1"/>
          <w:sz w:val="20"/>
          <w:szCs w:val="20"/>
          <w:lang w:val="en-US" w:eastAsia="zh-CN"/>
        </w:rPr>
        <w:t>May</w:t>
      </w:r>
      <w:r>
        <w:rPr>
          <w:rFonts w:hint="default" w:ascii="Times New Roman Regular" w:hAnsi="Times New Roman Regular" w:cs="Times New Roman Regular"/>
          <w:spacing w:val="-1"/>
          <w:sz w:val="20"/>
          <w:szCs w:val="20"/>
        </w:rPr>
        <w:t>.,</w:t>
      </w:r>
      <w:r>
        <w:rPr>
          <w:rFonts w:hint="default" w:ascii="Times New Roman Regular" w:hAnsi="Times New Roman Regular" w:cs="Times New Roman Regular"/>
          <w:spacing w:val="4"/>
          <w:sz w:val="20"/>
          <w:szCs w:val="20"/>
        </w:rPr>
        <w:t xml:space="preserve"> </w:t>
      </w:r>
      <w:r>
        <w:rPr>
          <w:rFonts w:hint="default" w:ascii="Times New Roman Regular" w:hAnsi="Times New Roman Regular" w:cs="Times New Roman Regular"/>
          <w:spacing w:val="-1"/>
          <w:sz w:val="20"/>
          <w:szCs w:val="20"/>
        </w:rPr>
        <w:t>202</w:t>
      </w:r>
      <w:r>
        <w:rPr>
          <w:rFonts w:hint="default" w:ascii="Times New Roman Regular" w:hAnsi="Times New Roman Regular" w:eastAsia="宋体" w:cs="Times New Roman Regular"/>
          <w:spacing w:val="-1"/>
          <w:sz w:val="20"/>
          <w:szCs w:val="20"/>
          <w:lang w:val="en-US" w:eastAsia="zh-CN"/>
        </w:rPr>
        <w:t>2</w:t>
      </w:r>
      <w:r>
        <w:rPr>
          <w:rFonts w:hint="default" w:ascii="Times New Roman Regular" w:hAnsi="Times New Roman Regular" w:cs="Times New Roman Regular"/>
          <w:spacing w:val="-1"/>
          <w:sz w:val="20"/>
          <w:szCs w:val="20"/>
        </w:rPr>
        <w:t>)</w:t>
      </w:r>
    </w:p>
    <w:p>
      <w:pPr>
        <w:spacing w:before="41"/>
        <w:rPr>
          <w:rFonts w:hint="default" w:ascii="Times New Roman Regular" w:hAnsi="Times New Roman Regular" w:cs="Times New Roman Regular"/>
        </w:rPr>
      </w:pPr>
    </w:p>
    <w:p>
      <w:pPr>
        <w:spacing w:before="41"/>
        <w:rPr>
          <w:rFonts w:hint="default" w:ascii="Times New Roman Regular" w:hAnsi="Times New Roman Regular" w:cs="Times New Roman Regular"/>
        </w:rPr>
      </w:pPr>
    </w:p>
    <w:tbl>
      <w:tblPr>
        <w:tblStyle w:val="17"/>
        <w:tblW w:w="4999"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416"/>
        <w:gridCol w:w="2215"/>
        <w:gridCol w:w="2487"/>
        <w:gridCol w:w="222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821" w:type="pct"/>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center"/>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Page/title</w:t>
            </w:r>
          </w:p>
        </w:tc>
        <w:tc>
          <w:tcPr>
            <w:tcW w:w="1337" w:type="pct"/>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center"/>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Original content</w:t>
            </w:r>
          </w:p>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center"/>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Version 1.0</w:t>
            </w:r>
          </w:p>
        </w:tc>
        <w:tc>
          <w:tcPr>
            <w:tcW w:w="1500" w:type="pct"/>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center"/>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Revision</w:t>
            </w:r>
          </w:p>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center"/>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Version 2.0</w:t>
            </w:r>
          </w:p>
        </w:tc>
        <w:tc>
          <w:tcPr>
            <w:tcW w:w="1341" w:type="pct"/>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center"/>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Reason for modification</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38" w:hRule="atLeast"/>
        </w:trPr>
        <w:tc>
          <w:tcPr>
            <w:tcW w:w="821" w:type="pct"/>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left"/>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Page 1 and 7</w:t>
            </w:r>
          </w:p>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left"/>
              <w:textAlignment w:val="baseline"/>
              <w:rPr>
                <w:rFonts w:hint="default" w:ascii="Times New Roman Regular" w:hAnsi="Times New Roman Regular" w:cs="Times New Roman Regular"/>
                <w:sz w:val="20"/>
                <w:szCs w:val="20"/>
              </w:rPr>
            </w:pPr>
          </w:p>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left"/>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lang w:val="en-US" w:eastAsia="en-US"/>
              </w:rPr>
              <w:t>“</w:t>
            </w:r>
            <w:r>
              <w:rPr>
                <w:rFonts w:hint="default" w:ascii="Times New Roman Regular" w:hAnsi="Times New Roman Regular" w:cs="Times New Roman Regular"/>
                <w:sz w:val="20"/>
                <w:szCs w:val="20"/>
              </w:rPr>
              <w:t>Inclusion criteria</w:t>
            </w:r>
            <w:r>
              <w:rPr>
                <w:rFonts w:hint="default" w:ascii="Times New Roman Regular" w:hAnsi="Times New Roman Regular" w:cs="Times New Roman Regular"/>
                <w:sz w:val="20"/>
                <w:szCs w:val="20"/>
                <w:lang w:val="en-US" w:eastAsia="en-US"/>
              </w:rPr>
              <w:t>”</w:t>
            </w:r>
            <w:r>
              <w:rPr>
                <w:rFonts w:hint="default" w:ascii="Times New Roman Regular" w:hAnsi="Times New Roman Regular" w:cs="Times New Roman Regular"/>
                <w:sz w:val="20"/>
                <w:szCs w:val="20"/>
                <w:lang w:val="en-US" w:eastAsia="zh-CN"/>
              </w:rPr>
              <w:t xml:space="preserve"> and </w:t>
            </w:r>
            <w:r>
              <w:rPr>
                <w:rFonts w:hint="default" w:ascii="Times New Roman Regular" w:hAnsi="Times New Roman Regular" w:cs="Times New Roman Regular"/>
                <w:sz w:val="20"/>
                <w:szCs w:val="20"/>
                <w:lang w:val="en-US" w:eastAsia="en-US"/>
              </w:rPr>
              <w:t>“</w:t>
            </w:r>
            <w:r>
              <w:rPr>
                <w:rFonts w:hint="default" w:ascii="Times New Roman Regular" w:hAnsi="Times New Roman Regular" w:cs="Times New Roman Regular"/>
                <w:sz w:val="20"/>
                <w:szCs w:val="20"/>
              </w:rPr>
              <w:t>5.1.1 Inclusion criteria</w:t>
            </w:r>
            <w:r>
              <w:rPr>
                <w:rFonts w:hint="default" w:ascii="Times New Roman Regular" w:hAnsi="Times New Roman Regular" w:cs="Times New Roman Regular"/>
                <w:sz w:val="20"/>
                <w:szCs w:val="20"/>
                <w:lang w:val="en-US" w:eastAsia="en-US"/>
              </w:rPr>
              <w:t>”</w:t>
            </w:r>
          </w:p>
        </w:tc>
        <w:tc>
          <w:tcPr>
            <w:tcW w:w="1337" w:type="pct"/>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left"/>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lang w:val="en-US" w:eastAsia="en-US"/>
              </w:rPr>
              <w:t>“</w:t>
            </w:r>
            <w:r>
              <w:rPr>
                <w:rFonts w:hint="default" w:ascii="Times New Roman Regular" w:hAnsi="Times New Roman Regular" w:cs="Times New Roman Regular"/>
                <w:sz w:val="20"/>
                <w:szCs w:val="20"/>
                <w:lang w:val="en-US" w:eastAsia="zh-CN"/>
              </w:rPr>
              <w:t>Pathologically confirmed unresectable esophageal squamous cell carcinoma Multiple lymph node metastases (N3) and/or distant oligometastasis (M1)</w:t>
            </w:r>
            <w:r>
              <w:rPr>
                <w:rFonts w:hint="default" w:ascii="Times New Roman Regular" w:hAnsi="Times New Roman Regular" w:cs="Times New Roman Regular"/>
                <w:sz w:val="20"/>
                <w:szCs w:val="20"/>
                <w:lang w:val="en-US" w:eastAsia="en-US"/>
              </w:rPr>
              <w:t>”</w:t>
            </w:r>
          </w:p>
        </w:tc>
        <w:tc>
          <w:tcPr>
            <w:tcW w:w="1500" w:type="pct"/>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left"/>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lang w:val="en-US" w:eastAsia="en-US"/>
              </w:rPr>
              <w:t>“</w:t>
            </w:r>
            <w:r>
              <w:rPr>
                <w:rFonts w:hint="default" w:ascii="Times New Roman Regular" w:hAnsi="Times New Roman Regular" w:cs="Times New Roman Regular"/>
                <w:sz w:val="20"/>
                <w:szCs w:val="20"/>
                <w:lang w:val="en-US" w:eastAsia="zh-CN"/>
              </w:rPr>
              <w:t>Pathologically confirmed unresectable, treatment-naive stage IV esophageal squamous cell carcinoma, suitable for cCRT (T1b-4b, N3, M0, or TanyNanyM1 with oligometastases as per AJCC 8th edition)</w:t>
            </w:r>
            <w:r>
              <w:rPr>
                <w:rFonts w:hint="default" w:ascii="Times New Roman Regular" w:hAnsi="Times New Roman Regular" w:cs="Times New Roman Regular"/>
                <w:sz w:val="20"/>
                <w:szCs w:val="20"/>
                <w:lang w:val="en-US" w:eastAsia="en-US"/>
              </w:rPr>
              <w:t>”</w:t>
            </w:r>
          </w:p>
        </w:tc>
        <w:tc>
          <w:tcPr>
            <w:tcW w:w="1341" w:type="pct"/>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left"/>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A more detailed definition has been provided for the primary inclusion criteria.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63" w:hRule="atLeast"/>
        </w:trPr>
        <w:tc>
          <w:tcPr>
            <w:tcW w:w="821" w:type="pct"/>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left"/>
              <w:textAlignment w:val="baseline"/>
              <w:rPr>
                <w:rFonts w:hint="default" w:ascii="Times New Roman Regular" w:hAnsi="Times New Roman Regular" w:cs="Times New Roman Regular"/>
                <w:sz w:val="20"/>
                <w:szCs w:val="20"/>
                <w:lang w:val="en-US" w:eastAsia="zh-CN"/>
              </w:rPr>
            </w:pPr>
            <w:r>
              <w:rPr>
                <w:rFonts w:hint="default" w:ascii="Times New Roman Regular" w:hAnsi="Times New Roman Regular" w:cs="Times New Roman Regular"/>
                <w:sz w:val="20"/>
                <w:szCs w:val="20"/>
              </w:rPr>
              <w:t xml:space="preserve">Page </w:t>
            </w:r>
            <w:r>
              <w:rPr>
                <w:rFonts w:hint="default" w:ascii="Times New Roman Regular" w:hAnsi="Times New Roman Regular" w:cs="Times New Roman Regular"/>
                <w:sz w:val="20"/>
                <w:szCs w:val="20"/>
                <w:lang w:val="en-US" w:eastAsia="zh-CN"/>
              </w:rPr>
              <w:t>8</w:t>
            </w:r>
          </w:p>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left"/>
              <w:textAlignment w:val="baseline"/>
              <w:rPr>
                <w:rFonts w:hint="default" w:ascii="Times New Roman Regular" w:hAnsi="Times New Roman Regular" w:cs="Times New Roman Regular"/>
                <w:sz w:val="20"/>
                <w:szCs w:val="20"/>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left"/>
              <w:textAlignment w:val="baseline"/>
              <w:rPr>
                <w:rFonts w:hint="default" w:ascii="Times New Roman Regular" w:hAnsi="Times New Roman Regular" w:cs="Times New Roman Regular"/>
                <w:sz w:val="20"/>
                <w:szCs w:val="20"/>
                <w:lang w:val="en-US" w:eastAsia="zh-CN"/>
              </w:rPr>
            </w:pPr>
            <w:r>
              <w:rPr>
                <w:rFonts w:hint="default" w:ascii="Times New Roman Regular" w:hAnsi="Times New Roman Regular" w:cs="Times New Roman Regular"/>
                <w:sz w:val="20"/>
                <w:szCs w:val="20"/>
                <w:lang w:val="en-US" w:eastAsia="en-US"/>
              </w:rPr>
              <w:t>“</w:t>
            </w:r>
            <w:r>
              <w:rPr>
                <w:rFonts w:hint="default" w:ascii="Times New Roman Regular" w:hAnsi="Times New Roman Regular" w:cs="Times New Roman Regular"/>
                <w:sz w:val="20"/>
                <w:szCs w:val="20"/>
              </w:rPr>
              <w:t>5.1.2</w:t>
            </w:r>
            <w:r>
              <w:rPr>
                <w:rFonts w:hint="default" w:ascii="Times New Roman Regular" w:hAnsi="Times New Roman Regular" w:cs="Times New Roman Regular"/>
                <w:sz w:val="20"/>
                <w:szCs w:val="20"/>
                <w:lang w:val="en-US" w:eastAsia="zh-CN"/>
              </w:rPr>
              <w:t xml:space="preserve"> </w:t>
            </w:r>
            <w:r>
              <w:rPr>
                <w:rFonts w:hint="default" w:ascii="Times New Roman Regular" w:hAnsi="Times New Roman Regular" w:cs="Times New Roman Regular"/>
                <w:sz w:val="20"/>
                <w:szCs w:val="20"/>
              </w:rPr>
              <w:t>Exclusion criteria</w:t>
            </w:r>
            <w:r>
              <w:rPr>
                <w:rFonts w:hint="default" w:ascii="Times New Roman Regular" w:hAnsi="Times New Roman Regular" w:cs="Times New Roman Regular"/>
                <w:sz w:val="20"/>
                <w:szCs w:val="20"/>
                <w:lang w:val="en-US" w:eastAsia="en-US"/>
              </w:rPr>
              <w:t>”</w:t>
            </w:r>
          </w:p>
        </w:tc>
        <w:tc>
          <w:tcPr>
            <w:tcW w:w="1337" w:type="pct"/>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left"/>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w:t>
            </w:r>
            <w:r>
              <w:rPr>
                <w:rFonts w:hint="default" w:ascii="Times New Roman Regular" w:hAnsi="Times New Roman Regular" w:cs="Times New Roman Regular"/>
                <w:sz w:val="20"/>
                <w:szCs w:val="20"/>
                <w:lang w:val="en-US" w:eastAsia="zh-CN"/>
              </w:rPr>
              <w:t>Severe malnutrition (PG-SGA ≥ 9)</w:t>
            </w:r>
            <w:r>
              <w:rPr>
                <w:rFonts w:hint="default" w:ascii="Times New Roman Regular" w:hAnsi="Times New Roman Regular" w:cs="Times New Roman Regular"/>
                <w:sz w:val="20"/>
                <w:szCs w:val="20"/>
              </w:rPr>
              <w:t>”</w:t>
            </w:r>
          </w:p>
        </w:tc>
        <w:tc>
          <w:tcPr>
            <w:tcW w:w="1500" w:type="pct"/>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left"/>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w:t>
            </w:r>
            <w:r>
              <w:rPr>
                <w:rFonts w:hint="default" w:ascii="Times New Roman Regular" w:hAnsi="Times New Roman Regular" w:cs="Times New Roman Regular"/>
                <w:sz w:val="20"/>
                <w:szCs w:val="20"/>
                <w:lang w:val="en-US" w:eastAsia="zh-CN"/>
              </w:rPr>
              <w:t xml:space="preserve">Severe malnutrition (PG-SGA ≥ 9), and the </w:t>
            </w:r>
            <w:r>
              <w:rPr>
                <w:rFonts w:hint="default" w:ascii="Times New Roman Regular" w:hAnsi="Times New Roman Regular" w:cs="Times New Roman Regular"/>
                <w:sz w:val="20"/>
                <w:szCs w:val="20"/>
              </w:rPr>
              <w:t>nutritional status fails to improve despite 1 to 2 weeks of intensive nutritional intervention</w:t>
            </w:r>
            <w:r>
              <w:rPr>
                <w:rFonts w:hint="default" w:ascii="Times New Roman Regular" w:hAnsi="Times New Roman Regular" w:cs="Times New Roman Regular"/>
                <w:sz w:val="20"/>
                <w:szCs w:val="20"/>
                <w:lang w:val="en-US" w:eastAsia="zh-CN"/>
              </w:rPr>
              <w:t>.</w:t>
            </w:r>
            <w:r>
              <w:rPr>
                <w:rFonts w:hint="default" w:ascii="Times New Roman Regular" w:hAnsi="Times New Roman Regular" w:cs="Times New Roman Regular"/>
                <w:sz w:val="20"/>
                <w:szCs w:val="20"/>
              </w:rPr>
              <w:t>”</w:t>
            </w:r>
          </w:p>
        </w:tc>
        <w:tc>
          <w:tcPr>
            <w:tcW w:w="1341" w:type="pct"/>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left"/>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Malnutrition is frequently observed in patients with advanced esophageal cancer. Improvement in physical status through active nutritional support therapy can still lead to benefits from systemic and localized treatments for these patients.</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1" w:hRule="atLeast"/>
        </w:trPr>
        <w:tc>
          <w:tcPr>
            <w:tcW w:w="821" w:type="pct"/>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left"/>
              <w:textAlignment w:val="baseline"/>
              <w:rPr>
                <w:rFonts w:hint="default" w:ascii="Times New Roman Regular" w:hAnsi="Times New Roman Regular" w:cs="Times New Roman Regular"/>
                <w:sz w:val="20"/>
                <w:szCs w:val="20"/>
                <w:lang w:val="en-US" w:eastAsia="zh-CN"/>
              </w:rPr>
            </w:pPr>
            <w:r>
              <w:rPr>
                <w:rFonts w:hint="default" w:ascii="Times New Roman Regular" w:hAnsi="Times New Roman Regular" w:cs="Times New Roman Regular"/>
                <w:sz w:val="20"/>
                <w:szCs w:val="20"/>
                <w:lang w:val="en-US" w:eastAsia="zh-CN"/>
              </w:rPr>
              <w:t>P</w:t>
            </w:r>
            <w:r>
              <w:rPr>
                <w:rFonts w:hint="default" w:ascii="Times New Roman Regular" w:hAnsi="Times New Roman Regular" w:cs="Times New Roman Regular"/>
                <w:sz w:val="20"/>
                <w:szCs w:val="20"/>
              </w:rPr>
              <w:t xml:space="preserve">age </w:t>
            </w:r>
            <w:r>
              <w:rPr>
                <w:rFonts w:hint="default" w:ascii="Times New Roman Regular" w:hAnsi="Times New Roman Regular" w:cs="Times New Roman Regular"/>
                <w:sz w:val="20"/>
                <w:szCs w:val="20"/>
                <w:lang w:val="en-US" w:eastAsia="zh-CN"/>
              </w:rPr>
              <w:t xml:space="preserve">16 </w:t>
            </w:r>
            <w:r>
              <w:rPr>
                <w:rFonts w:hint="default" w:ascii="Times New Roman Regular" w:hAnsi="Times New Roman Regular" w:cs="Times New Roman Regular"/>
                <w:sz w:val="20"/>
                <w:szCs w:val="20"/>
              </w:rPr>
              <w:t xml:space="preserve">and </w:t>
            </w:r>
            <w:r>
              <w:rPr>
                <w:rFonts w:hint="default" w:ascii="Times New Roman Regular" w:hAnsi="Times New Roman Regular" w:cs="Times New Roman Regular"/>
                <w:sz w:val="20"/>
                <w:szCs w:val="20"/>
                <w:lang w:val="en-US" w:eastAsia="zh-CN"/>
              </w:rPr>
              <w:t>25 (</w:t>
            </w:r>
            <w:r>
              <w:rPr>
                <w:rFonts w:hint="default" w:ascii="Times New Roman Regular" w:hAnsi="Times New Roman Regular" w:cs="Times New Roman Regular"/>
                <w:sz w:val="20"/>
                <w:szCs w:val="20"/>
              </w:rPr>
              <w:t>Figure 1</w:t>
            </w:r>
            <w:r>
              <w:rPr>
                <w:rFonts w:hint="default" w:ascii="Times New Roman Regular" w:hAnsi="Times New Roman Regular" w:cs="Times New Roman Regular"/>
                <w:sz w:val="20"/>
                <w:szCs w:val="20"/>
                <w:lang w:val="en-US"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left"/>
              <w:textAlignment w:val="baseline"/>
              <w:rPr>
                <w:rFonts w:hint="default" w:ascii="Times New Roman Regular" w:hAnsi="Times New Roman Regular" w:cs="Times New Roman Regular"/>
                <w:sz w:val="20"/>
                <w:szCs w:val="20"/>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left"/>
              <w:textAlignment w:val="baseline"/>
              <w:rPr>
                <w:rFonts w:hint="default" w:ascii="Times New Roman Regular" w:hAnsi="Times New Roman Regular" w:cs="Times New Roman Regular"/>
                <w:sz w:val="20"/>
                <w:szCs w:val="20"/>
                <w:lang w:val="en-US" w:eastAsia="zh-CN"/>
              </w:rPr>
            </w:pPr>
            <w:r>
              <w:rPr>
                <w:rFonts w:hint="default" w:ascii="Times New Roman Regular" w:hAnsi="Times New Roman Regular" w:cs="Times New Roman Regular"/>
                <w:sz w:val="20"/>
                <w:szCs w:val="20"/>
                <w:lang w:val="en-US" w:eastAsia="en-US"/>
              </w:rPr>
              <w:t>“</w:t>
            </w:r>
            <w:r>
              <w:rPr>
                <w:rFonts w:hint="default" w:ascii="Times New Roman Regular" w:hAnsi="Times New Roman Regular" w:cs="Times New Roman Regular"/>
                <w:sz w:val="20"/>
                <w:szCs w:val="20"/>
              </w:rPr>
              <w:t>5.3.6 Radiotherapy scheme</w:t>
            </w:r>
            <w:r>
              <w:rPr>
                <w:rFonts w:hint="default" w:ascii="Times New Roman Regular" w:hAnsi="Times New Roman Regular" w:cs="Times New Roman Regular"/>
                <w:sz w:val="20"/>
                <w:szCs w:val="20"/>
                <w:lang w:val="en-US" w:eastAsia="en-US"/>
              </w:rPr>
              <w:t>”</w:t>
            </w:r>
            <w:r>
              <w:rPr>
                <w:rFonts w:hint="default" w:ascii="Times New Roman Regular" w:hAnsi="Times New Roman Regular" w:cs="Times New Roman Regular"/>
                <w:sz w:val="20"/>
                <w:szCs w:val="20"/>
                <w:lang w:val="en-US" w:eastAsia="zh-CN"/>
              </w:rPr>
              <w:t xml:space="preserve"> and</w:t>
            </w:r>
          </w:p>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left"/>
              <w:textAlignment w:val="baseline"/>
              <w:rPr>
                <w:rFonts w:hint="default" w:ascii="Times New Roman Regular" w:hAnsi="Times New Roman Regular" w:cs="Times New Roman Regular"/>
                <w:sz w:val="20"/>
                <w:szCs w:val="20"/>
                <w:lang w:val="en-US" w:eastAsia="zh-CN"/>
              </w:rPr>
            </w:pPr>
            <w:r>
              <w:rPr>
                <w:rFonts w:hint="default" w:ascii="Times New Roman Regular" w:hAnsi="Times New Roman Regular" w:cs="Times New Roman Regular"/>
                <w:sz w:val="20"/>
                <w:szCs w:val="20"/>
                <w:lang w:val="en-US" w:eastAsia="en-US"/>
              </w:rPr>
              <w:t>“</w:t>
            </w:r>
            <w:r>
              <w:rPr>
                <w:rFonts w:hint="default" w:ascii="Times New Roman Regular" w:hAnsi="Times New Roman Regular" w:cs="Times New Roman Regular"/>
                <w:sz w:val="20"/>
                <w:szCs w:val="20"/>
                <w:lang w:val="en-US" w:eastAsia="zh-CN"/>
              </w:rPr>
              <w:t>6.</w:t>
            </w:r>
            <w:r>
              <w:rPr>
                <w:rFonts w:hint="default" w:ascii="Times New Roman Regular" w:hAnsi="Times New Roman Regular" w:cs="Times New Roman Regular"/>
                <w:sz w:val="20"/>
                <w:szCs w:val="20"/>
              </w:rPr>
              <w:t>Route</w:t>
            </w:r>
            <w:r>
              <w:rPr>
                <w:rFonts w:hint="default" w:ascii="Times New Roman Regular" w:hAnsi="Times New Roman Regular" w:cs="Times New Roman Regular"/>
                <w:sz w:val="20"/>
                <w:szCs w:val="20"/>
                <w:lang w:val="en-US" w:eastAsia="en-US"/>
              </w:rPr>
              <w:t>”</w:t>
            </w:r>
          </w:p>
        </w:tc>
        <w:tc>
          <w:tcPr>
            <w:tcW w:w="1337" w:type="pct"/>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left"/>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w:t>
            </w:r>
            <w:r>
              <w:rPr>
                <w:rFonts w:hint="default" w:ascii="Times New Roman Regular" w:hAnsi="Times New Roman Regular" w:cs="Times New Roman Regular"/>
                <w:sz w:val="20"/>
                <w:szCs w:val="20"/>
                <w:lang w:val="en-GB" w:eastAsia="zh-CN"/>
              </w:rPr>
              <w:t xml:space="preserve">Primary lesions were treated with intensity modulated radiotherapy (IMRT) at </w:t>
            </w:r>
            <w:r>
              <w:rPr>
                <w:rFonts w:hint="default" w:ascii="Times New Roman Regular" w:hAnsi="Times New Roman Regular" w:cs="Times New Roman Regular"/>
                <w:sz w:val="20"/>
                <w:szCs w:val="20"/>
                <w:lang w:val="en-US" w:eastAsia="zh-CN"/>
              </w:rPr>
              <w:t>30</w:t>
            </w:r>
            <w:r>
              <w:rPr>
                <w:rFonts w:hint="default" w:ascii="Times New Roman Regular" w:hAnsi="Times New Roman Regular" w:cs="Times New Roman Regular"/>
                <w:sz w:val="20"/>
                <w:szCs w:val="20"/>
                <w:lang w:val="en-GB" w:eastAsia="zh-TW"/>
              </w:rPr>
              <w:t>–</w:t>
            </w:r>
            <w:r>
              <w:rPr>
                <w:rFonts w:hint="default" w:ascii="Times New Roman Regular" w:hAnsi="Times New Roman Regular" w:cs="Times New Roman Regular"/>
                <w:sz w:val="20"/>
                <w:szCs w:val="20"/>
                <w:lang w:val="en-GB" w:eastAsia="zh-CN"/>
              </w:rPr>
              <w:t>50 Gy</w:t>
            </w:r>
            <w:r>
              <w:rPr>
                <w:rFonts w:hint="default" w:ascii="Times New Roman Regular" w:hAnsi="Times New Roman Regular" w:cs="Times New Roman Regular"/>
                <w:sz w:val="20"/>
                <w:szCs w:val="20"/>
                <w:lang w:val="en-GB" w:eastAsia="zh-TW"/>
              </w:rPr>
              <w:t xml:space="preserve"> in </w:t>
            </w:r>
            <w:r>
              <w:rPr>
                <w:rFonts w:hint="default" w:ascii="Times New Roman Regular" w:hAnsi="Times New Roman Regular" w:cs="Times New Roman Regular"/>
                <w:sz w:val="20"/>
                <w:szCs w:val="20"/>
                <w:lang w:val="en-US" w:eastAsia="zh-CN"/>
              </w:rPr>
              <w:t>1</w:t>
            </w:r>
            <w:r>
              <w:rPr>
                <w:rFonts w:hint="default" w:ascii="Times New Roman Regular" w:hAnsi="Times New Roman Regular" w:cs="Times New Roman Regular"/>
                <w:sz w:val="20"/>
                <w:szCs w:val="20"/>
                <w:lang w:val="en-GB" w:eastAsia="zh-CN"/>
              </w:rPr>
              <w:t>5</w:t>
            </w:r>
            <w:r>
              <w:rPr>
                <w:rFonts w:hint="default" w:ascii="Times New Roman Regular" w:hAnsi="Times New Roman Regular" w:cs="Times New Roman Regular"/>
                <w:sz w:val="20"/>
                <w:szCs w:val="20"/>
                <w:lang w:val="en-GB" w:eastAsia="zh-TW"/>
              </w:rPr>
              <w:t>–</w:t>
            </w:r>
            <w:r>
              <w:rPr>
                <w:rFonts w:hint="default" w:ascii="Times New Roman Regular" w:hAnsi="Times New Roman Regular" w:cs="Times New Roman Regular"/>
                <w:sz w:val="20"/>
                <w:szCs w:val="20"/>
                <w:lang w:val="en-GB" w:eastAsia="zh-CN"/>
              </w:rPr>
              <w:t>2</w:t>
            </w:r>
            <w:r>
              <w:rPr>
                <w:rFonts w:hint="default" w:ascii="Times New Roman Regular" w:hAnsi="Times New Roman Regular" w:cs="Times New Roman Regular"/>
                <w:sz w:val="20"/>
                <w:szCs w:val="20"/>
                <w:lang w:val="en-US" w:eastAsia="zh-CN"/>
              </w:rPr>
              <w:t>5</w:t>
            </w:r>
            <w:r>
              <w:rPr>
                <w:rFonts w:hint="default" w:ascii="Times New Roman Regular" w:hAnsi="Times New Roman Regular" w:cs="Times New Roman Regular"/>
                <w:sz w:val="20"/>
                <w:szCs w:val="20"/>
                <w:lang w:val="en-GB" w:eastAsia="zh-CN"/>
              </w:rPr>
              <w:t xml:space="preserve"> fractions 5 d a week.</w:t>
            </w:r>
            <w:r>
              <w:rPr>
                <w:rFonts w:hint="default" w:ascii="Times New Roman Regular" w:hAnsi="Times New Roman Regular" w:cs="Times New Roman Regular"/>
                <w:sz w:val="20"/>
                <w:szCs w:val="20"/>
              </w:rPr>
              <w:t>”</w:t>
            </w:r>
          </w:p>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left"/>
              <w:textAlignment w:val="baseline"/>
              <w:rPr>
                <w:rFonts w:hint="default" w:ascii="Times New Roman Regular" w:hAnsi="Times New Roman Regular" w:cs="Times New Roman Regular"/>
                <w:sz w:val="20"/>
                <w:szCs w:val="20"/>
                <w:lang w:val="en-US" w:eastAsia="zh-CN"/>
              </w:rPr>
            </w:pPr>
            <w:r>
              <w:rPr>
                <w:rFonts w:hint="default" w:ascii="Times New Roman Regular" w:hAnsi="Times New Roman Regular" w:cs="Times New Roman Regular"/>
                <w:sz w:val="20"/>
                <w:szCs w:val="20"/>
                <w:lang w:val="en-US" w:eastAsia="zh-CN"/>
              </w:rPr>
              <w:t xml:space="preserve">and </w:t>
            </w:r>
            <w:r>
              <w:rPr>
                <w:rFonts w:hint="default" w:ascii="Times New Roman Regular" w:hAnsi="Times New Roman Regular" w:cs="Times New Roman Regular"/>
                <w:sz w:val="20"/>
                <w:szCs w:val="20"/>
              </w:rPr>
              <w:t>“</w:t>
            </w:r>
            <w:r>
              <w:rPr>
                <w:rFonts w:hint="default" w:ascii="Times New Roman Regular" w:hAnsi="Times New Roman Regular" w:cs="Times New Roman Regular"/>
                <w:sz w:val="20"/>
                <w:szCs w:val="20"/>
                <w:lang w:val="en-GB" w:eastAsia="zh-CN"/>
              </w:rPr>
              <w:t xml:space="preserve">SBRT was administered to all metastatic lesions at doses of </w:t>
            </w:r>
            <w:r>
              <w:rPr>
                <w:rFonts w:hint="default" w:ascii="Times New Roman Regular" w:hAnsi="Times New Roman Regular" w:cs="Times New Roman Regular"/>
                <w:sz w:val="20"/>
                <w:szCs w:val="20"/>
                <w:lang w:val="en-US" w:eastAsia="zh-CN"/>
              </w:rPr>
              <w:t>4-8</w:t>
            </w:r>
            <w:r>
              <w:rPr>
                <w:rFonts w:hint="default" w:ascii="Times New Roman Regular" w:hAnsi="Times New Roman Regular" w:cs="Times New Roman Regular"/>
                <w:sz w:val="20"/>
                <w:szCs w:val="20"/>
                <w:lang w:val="en-GB" w:eastAsia="zh-CN"/>
              </w:rPr>
              <w:t xml:space="preserve"> Gy </w:t>
            </w:r>
            <w:r>
              <w:rPr>
                <w:rFonts w:hint="default" w:ascii="Times New Roman Regular" w:hAnsi="Times New Roman Regular" w:cs="Times New Roman Regular"/>
                <w:sz w:val="20"/>
                <w:szCs w:val="20"/>
                <w:lang w:val="en-US" w:eastAsia="zh-CN"/>
              </w:rPr>
              <w:t>for</w:t>
            </w:r>
            <w:r>
              <w:rPr>
                <w:rFonts w:hint="default" w:ascii="Times New Roman Regular" w:hAnsi="Times New Roman Regular" w:cs="Times New Roman Regular"/>
                <w:sz w:val="20"/>
                <w:szCs w:val="20"/>
                <w:lang w:val="en-GB" w:eastAsia="zh-CN"/>
              </w:rPr>
              <w:t xml:space="preserve"> 3–5 fractions.</w:t>
            </w:r>
            <w:r>
              <w:rPr>
                <w:rFonts w:hint="default" w:ascii="Times New Roman Regular" w:hAnsi="Times New Roman Regular" w:cs="Times New Roman Regular"/>
                <w:sz w:val="20"/>
                <w:szCs w:val="20"/>
              </w:rPr>
              <w:t>”</w:t>
            </w:r>
          </w:p>
        </w:tc>
        <w:tc>
          <w:tcPr>
            <w:tcW w:w="1500" w:type="pct"/>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left"/>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w:t>
            </w:r>
            <w:r>
              <w:rPr>
                <w:rFonts w:hint="default" w:ascii="Times New Roman Regular" w:hAnsi="Times New Roman Regular" w:cs="Times New Roman Regular"/>
                <w:sz w:val="20"/>
                <w:szCs w:val="20"/>
                <w:lang w:val="en-GB" w:eastAsia="zh-CN"/>
              </w:rPr>
              <w:t xml:space="preserve">Primary lesions were treated with intensity modulated radiotherapy (IMRT) at </w:t>
            </w:r>
            <w:r>
              <w:rPr>
                <w:rFonts w:hint="default" w:ascii="Times New Roman Regular" w:hAnsi="Times New Roman Regular" w:cs="Times New Roman Regular"/>
                <w:sz w:val="20"/>
                <w:szCs w:val="20"/>
                <w:lang w:val="en-US" w:eastAsia="zh-CN"/>
              </w:rPr>
              <w:t>45</w:t>
            </w:r>
            <w:r>
              <w:rPr>
                <w:rFonts w:hint="default" w:ascii="Times New Roman Regular" w:hAnsi="Times New Roman Regular" w:cs="Times New Roman Regular"/>
                <w:sz w:val="20"/>
                <w:szCs w:val="20"/>
                <w:lang w:val="en-GB" w:eastAsia="zh-TW"/>
              </w:rPr>
              <w:t>–</w:t>
            </w:r>
            <w:r>
              <w:rPr>
                <w:rFonts w:hint="default" w:ascii="Times New Roman Regular" w:hAnsi="Times New Roman Regular" w:cs="Times New Roman Regular"/>
                <w:sz w:val="20"/>
                <w:szCs w:val="20"/>
                <w:lang w:val="en-GB" w:eastAsia="zh-CN"/>
              </w:rPr>
              <w:t>50</w:t>
            </w:r>
            <w:r>
              <w:rPr>
                <w:rFonts w:hint="default" w:ascii="Times New Roman Regular" w:hAnsi="Times New Roman Regular" w:cs="Times New Roman Regular"/>
                <w:sz w:val="20"/>
                <w:szCs w:val="20"/>
                <w:lang w:val="en-US" w:eastAsia="zh-CN"/>
              </w:rPr>
              <w:t>.4</w:t>
            </w:r>
            <w:r>
              <w:rPr>
                <w:rFonts w:hint="default" w:ascii="Times New Roman Regular" w:hAnsi="Times New Roman Regular" w:cs="Times New Roman Regular"/>
                <w:sz w:val="20"/>
                <w:szCs w:val="20"/>
                <w:lang w:val="en-GB" w:eastAsia="zh-CN"/>
              </w:rPr>
              <w:t xml:space="preserve"> Gy</w:t>
            </w:r>
            <w:r>
              <w:rPr>
                <w:rFonts w:hint="default" w:ascii="Times New Roman Regular" w:hAnsi="Times New Roman Regular" w:cs="Times New Roman Regular"/>
                <w:sz w:val="20"/>
                <w:szCs w:val="20"/>
                <w:lang w:val="en-GB" w:eastAsia="zh-TW"/>
              </w:rPr>
              <w:t xml:space="preserve"> in </w:t>
            </w:r>
            <w:r>
              <w:rPr>
                <w:rFonts w:hint="default" w:ascii="Times New Roman Regular" w:hAnsi="Times New Roman Regular" w:cs="Times New Roman Regular"/>
                <w:sz w:val="20"/>
                <w:szCs w:val="20"/>
                <w:lang w:val="en-US" w:eastAsia="zh-CN"/>
              </w:rPr>
              <w:t>2</w:t>
            </w:r>
            <w:r>
              <w:rPr>
                <w:rFonts w:hint="default" w:ascii="Times New Roman Regular" w:hAnsi="Times New Roman Regular" w:cs="Times New Roman Regular"/>
                <w:sz w:val="20"/>
                <w:szCs w:val="20"/>
                <w:lang w:val="en-GB" w:eastAsia="zh-CN"/>
              </w:rPr>
              <w:t>5</w:t>
            </w:r>
            <w:r>
              <w:rPr>
                <w:rFonts w:hint="default" w:ascii="Times New Roman Regular" w:hAnsi="Times New Roman Regular" w:cs="Times New Roman Regular"/>
                <w:sz w:val="20"/>
                <w:szCs w:val="20"/>
                <w:lang w:val="en-GB" w:eastAsia="zh-TW"/>
              </w:rPr>
              <w:t>–</w:t>
            </w:r>
            <w:r>
              <w:rPr>
                <w:rFonts w:hint="default" w:ascii="Times New Roman Regular" w:hAnsi="Times New Roman Regular" w:cs="Times New Roman Regular"/>
                <w:sz w:val="20"/>
                <w:szCs w:val="20"/>
                <w:lang w:val="en-GB" w:eastAsia="zh-CN"/>
              </w:rPr>
              <w:t>2</w:t>
            </w:r>
            <w:r>
              <w:rPr>
                <w:rFonts w:hint="default" w:ascii="Times New Roman Regular" w:hAnsi="Times New Roman Regular" w:cs="Times New Roman Regular"/>
                <w:sz w:val="20"/>
                <w:szCs w:val="20"/>
                <w:lang w:val="en-US" w:eastAsia="zh-CN"/>
              </w:rPr>
              <w:t>8</w:t>
            </w:r>
            <w:r>
              <w:rPr>
                <w:rFonts w:hint="default" w:ascii="Times New Roman Regular" w:hAnsi="Times New Roman Regular" w:cs="Times New Roman Regular"/>
                <w:sz w:val="20"/>
                <w:szCs w:val="20"/>
                <w:lang w:val="en-GB" w:eastAsia="zh-CN"/>
              </w:rPr>
              <w:t xml:space="preserve"> fractions 5 d a week.</w:t>
            </w:r>
            <w:r>
              <w:rPr>
                <w:rFonts w:hint="default" w:ascii="Times New Roman Regular" w:hAnsi="Times New Roman Regular" w:cs="Times New Roman Regular"/>
                <w:sz w:val="20"/>
                <w:szCs w:val="20"/>
              </w:rPr>
              <w:t>”</w:t>
            </w:r>
          </w:p>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left"/>
              <w:textAlignment w:val="baseline"/>
              <w:rPr>
                <w:rFonts w:hint="default" w:ascii="Times New Roman Regular" w:hAnsi="Times New Roman Regular" w:cs="Times New Roman Regular"/>
                <w:sz w:val="20"/>
                <w:szCs w:val="20"/>
                <w:lang w:val="en-US" w:eastAsia="en-US"/>
              </w:rPr>
            </w:pPr>
            <w:r>
              <w:rPr>
                <w:rFonts w:hint="default" w:ascii="Times New Roman Regular" w:hAnsi="Times New Roman Regular" w:cs="Times New Roman Regular"/>
                <w:sz w:val="20"/>
                <w:szCs w:val="20"/>
                <w:lang w:val="en-US" w:eastAsia="zh-CN"/>
              </w:rPr>
              <w:t xml:space="preserve">and </w:t>
            </w:r>
            <w:r>
              <w:rPr>
                <w:rFonts w:hint="default" w:ascii="Times New Roman Regular" w:hAnsi="Times New Roman Regular" w:cs="Times New Roman Regular"/>
                <w:sz w:val="20"/>
                <w:szCs w:val="20"/>
              </w:rPr>
              <w:t>“</w:t>
            </w:r>
            <w:r>
              <w:rPr>
                <w:rFonts w:hint="default" w:ascii="Times New Roman Regular" w:hAnsi="Times New Roman Regular" w:cs="Times New Roman Regular"/>
                <w:sz w:val="20"/>
                <w:szCs w:val="20"/>
                <w:lang w:val="en-GB" w:eastAsia="zh-CN"/>
              </w:rPr>
              <w:t>SBRT was administered to all metastatic lesions at doses of 30–40 Gy in 3–5 fractions.</w:t>
            </w:r>
            <w:r>
              <w:rPr>
                <w:rFonts w:hint="default" w:ascii="Times New Roman Regular" w:hAnsi="Times New Roman Regular" w:cs="Times New Roman Regular"/>
                <w:sz w:val="20"/>
                <w:szCs w:val="20"/>
              </w:rPr>
              <w:t>”</w:t>
            </w:r>
          </w:p>
        </w:tc>
        <w:tc>
          <w:tcPr>
            <w:tcW w:w="1341" w:type="pct"/>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left"/>
              <w:textAlignment w:val="baseline"/>
              <w:rPr>
                <w:rFonts w:hint="default" w:ascii="Times New Roman Regular" w:hAnsi="Times New Roman Regular" w:cs="Times New Roman Regular"/>
                <w:sz w:val="20"/>
                <w:szCs w:val="20"/>
                <w:lang w:val="en-US" w:eastAsia="en-US"/>
              </w:rPr>
            </w:pPr>
            <w:r>
              <w:rPr>
                <w:rFonts w:hint="default" w:ascii="Times New Roman Regular" w:hAnsi="Times New Roman Regular" w:cs="Times New Roman Regular"/>
                <w:sz w:val="20"/>
                <w:szCs w:val="20"/>
              </w:rPr>
              <w:br w:type="textWrapping"/>
            </w:r>
            <w:r>
              <w:rPr>
                <w:rFonts w:hint="default" w:ascii="Times New Roman Regular" w:hAnsi="Times New Roman Regular" w:cs="Times New Roman Regular"/>
                <w:sz w:val="20"/>
                <w:szCs w:val="20"/>
              </w:rPr>
              <w:t>In our study, we uniformly employed a higher radiation dose, with the primary lesion receiving a radiotherapy dose ranging from 50 to 50.4 Gy</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8" w:hRule="atLeast"/>
        </w:trPr>
        <w:tc>
          <w:tcPr>
            <w:tcW w:w="821" w:type="pct"/>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left"/>
              <w:textAlignment w:val="baseline"/>
              <w:rPr>
                <w:rFonts w:hint="default" w:ascii="Times New Roman Regular" w:hAnsi="Times New Roman Regular" w:cs="Times New Roman Regular"/>
                <w:sz w:val="20"/>
                <w:szCs w:val="20"/>
                <w:lang w:val="en-US" w:eastAsia="zh-CN"/>
              </w:rPr>
            </w:pPr>
            <w:r>
              <w:rPr>
                <w:rFonts w:hint="default" w:ascii="Times New Roman Regular" w:hAnsi="Times New Roman Regular" w:cs="Times New Roman Regular"/>
                <w:sz w:val="20"/>
                <w:szCs w:val="20"/>
              </w:rPr>
              <w:t xml:space="preserve">Page </w:t>
            </w:r>
            <w:r>
              <w:rPr>
                <w:rFonts w:hint="default" w:ascii="Times New Roman Regular" w:hAnsi="Times New Roman Regular" w:cs="Times New Roman Regular"/>
                <w:sz w:val="20"/>
                <w:szCs w:val="20"/>
                <w:lang w:val="en-US" w:eastAsia="zh-CN"/>
              </w:rPr>
              <w:t>19-20</w:t>
            </w:r>
          </w:p>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left"/>
              <w:textAlignment w:val="baseline"/>
              <w:rPr>
                <w:rFonts w:hint="default" w:ascii="Times New Roman Regular" w:hAnsi="Times New Roman Regular" w:cs="Times New Roman Regular"/>
                <w:sz w:val="20"/>
                <w:szCs w:val="20"/>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left"/>
              <w:textAlignment w:val="baseline"/>
              <w:rPr>
                <w:rFonts w:hint="default" w:ascii="Times New Roman Regular" w:hAnsi="Times New Roman Regular" w:cs="Times New Roman Regular"/>
                <w:sz w:val="20"/>
                <w:szCs w:val="20"/>
                <w:lang w:val="en-US" w:eastAsia="zh-CN"/>
              </w:rPr>
            </w:pPr>
            <w:r>
              <w:rPr>
                <w:rFonts w:hint="default" w:ascii="Times New Roman Regular" w:hAnsi="Times New Roman Regular" w:cs="Times New Roman Regular"/>
                <w:sz w:val="20"/>
                <w:szCs w:val="20"/>
                <w:lang w:val="en-US" w:eastAsia="en-US"/>
              </w:rPr>
              <w:t>“</w:t>
            </w:r>
            <w:r>
              <w:rPr>
                <w:rFonts w:hint="default" w:ascii="Times New Roman Regular" w:hAnsi="Times New Roman Regular" w:cs="Times New Roman Regular"/>
                <w:sz w:val="20"/>
                <w:szCs w:val="20"/>
              </w:rPr>
              <w:t>5.6.4 Follow-up</w:t>
            </w:r>
            <w:r>
              <w:rPr>
                <w:rFonts w:hint="default" w:ascii="Times New Roman Regular" w:hAnsi="Times New Roman Regular" w:cs="Times New Roman Regular"/>
                <w:sz w:val="20"/>
                <w:szCs w:val="20"/>
                <w:lang w:val="en-US" w:eastAsia="en-US"/>
              </w:rPr>
              <w:t>”</w:t>
            </w:r>
          </w:p>
        </w:tc>
        <w:tc>
          <w:tcPr>
            <w:tcW w:w="1337" w:type="pct"/>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left"/>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w:t>
            </w:r>
            <w:r>
              <w:rPr>
                <w:rFonts w:hint="default" w:ascii="Times New Roman Regular" w:hAnsi="Times New Roman Regular" w:cs="Times New Roman Regular"/>
                <w:sz w:val="20"/>
                <w:szCs w:val="20"/>
                <w:lang w:val="en-US" w:eastAsia="zh-CN"/>
              </w:rPr>
              <w:t>Patients will undergo tumor assessments at baseline (screening period) and every 6 weeks ( ± 7 days) for the first 12 months after</w:t>
            </w:r>
          </w:p>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left"/>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lang w:val="en-US" w:eastAsia="zh-CN"/>
              </w:rPr>
              <w:t>treatment initiation. Patients will be followed up once every 3 months in the first two years, once every 6 months in the third to fifth year, and once a year thereafter.</w:t>
            </w:r>
            <w:r>
              <w:rPr>
                <w:rFonts w:hint="default" w:ascii="Times New Roman Regular" w:hAnsi="Times New Roman Regular" w:cs="Times New Roman Regular"/>
                <w:sz w:val="20"/>
                <w:szCs w:val="20"/>
              </w:rPr>
              <w:t>”</w:t>
            </w:r>
          </w:p>
        </w:tc>
        <w:tc>
          <w:tcPr>
            <w:tcW w:w="1500" w:type="pct"/>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left"/>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w:t>
            </w:r>
            <w:r>
              <w:rPr>
                <w:rFonts w:hint="default" w:ascii="Times New Roman Regular" w:hAnsi="Times New Roman Regular" w:cs="Times New Roman Regular"/>
                <w:sz w:val="20"/>
                <w:szCs w:val="20"/>
                <w:lang w:val="en-GB" w:eastAsia="zh-TW"/>
              </w:rPr>
              <w:t xml:space="preserve">Tumour assessments were performed once every </w:t>
            </w:r>
            <w:r>
              <w:rPr>
                <w:rFonts w:hint="default" w:ascii="Times New Roman Regular" w:hAnsi="Times New Roman Regular" w:cs="Times New Roman Regular"/>
                <w:sz w:val="20"/>
                <w:szCs w:val="20"/>
                <w:lang w:val="en-GB" w:eastAsia="zh-CN"/>
              </w:rPr>
              <w:t>6</w:t>
            </w:r>
            <w:r>
              <w:rPr>
                <w:rFonts w:hint="default" w:ascii="Times New Roman Regular" w:hAnsi="Times New Roman Regular" w:cs="Times New Roman Regular"/>
                <w:sz w:val="20"/>
                <w:szCs w:val="20"/>
                <w:lang w:val="en-GB" w:eastAsia="zh-TW"/>
              </w:rPr>
              <w:t xml:space="preserve"> weeks (</w:t>
            </w:r>
            <w:r>
              <w:rPr>
                <w:rFonts w:hint="default" w:ascii="Times New Roman Regular" w:hAnsi="Times New Roman Regular" w:cs="Times New Roman Regular"/>
                <w:sz w:val="20"/>
                <w:szCs w:val="20"/>
                <w:lang w:val="en-GB" w:eastAsia="zh-CN"/>
              </w:rPr>
              <w:t>±7</w:t>
            </w:r>
            <w:r>
              <w:rPr>
                <w:rFonts w:hint="default" w:ascii="Times New Roman Regular" w:hAnsi="Times New Roman Regular" w:cs="Times New Roman Regular"/>
                <w:sz w:val="20"/>
                <w:szCs w:val="20"/>
                <w:lang w:val="en-GB" w:eastAsia="zh-TW"/>
              </w:rPr>
              <w:t xml:space="preserve"> d) during </w:t>
            </w:r>
            <w:r>
              <w:rPr>
                <w:rFonts w:hint="default" w:ascii="Times New Roman Regular" w:hAnsi="Times New Roman Regular" w:cs="Times New Roman Regular"/>
                <w:sz w:val="20"/>
                <w:szCs w:val="20"/>
                <w:lang w:val="en-GB" w:eastAsia="zh-CN"/>
              </w:rPr>
              <w:t>chemotherapy</w:t>
            </w:r>
            <w:r>
              <w:rPr>
                <w:rFonts w:hint="default" w:ascii="Times New Roman Regular" w:hAnsi="Times New Roman Regular" w:cs="Times New Roman Regular"/>
                <w:sz w:val="20"/>
                <w:szCs w:val="20"/>
                <w:lang w:val="en-GB" w:eastAsia="zh-TW"/>
              </w:rPr>
              <w:t xml:space="preserve">, and once every </w:t>
            </w:r>
            <w:r>
              <w:rPr>
                <w:rFonts w:hint="default" w:ascii="Times New Roman Regular" w:hAnsi="Times New Roman Regular" w:cs="Times New Roman Regular"/>
                <w:sz w:val="20"/>
                <w:szCs w:val="20"/>
                <w:lang w:val="en-GB" w:eastAsia="zh-CN"/>
              </w:rPr>
              <w:t>12 weeks (±7</w:t>
            </w:r>
            <w:r>
              <w:rPr>
                <w:rFonts w:hint="default" w:ascii="Times New Roman Regular" w:hAnsi="Times New Roman Regular" w:cs="Times New Roman Regular"/>
                <w:sz w:val="20"/>
                <w:szCs w:val="20"/>
                <w:lang w:val="en-GB" w:eastAsia="zh-TW"/>
              </w:rPr>
              <w:t xml:space="preserve"> d)</w:t>
            </w:r>
            <w:r>
              <w:rPr>
                <w:rFonts w:hint="default" w:ascii="Times New Roman Regular" w:hAnsi="Times New Roman Regular" w:cs="Times New Roman Regular"/>
                <w:sz w:val="20"/>
                <w:szCs w:val="20"/>
                <w:lang w:val="en-GB" w:eastAsia="zh-CN"/>
              </w:rPr>
              <w:t xml:space="preserve"> </w:t>
            </w:r>
            <w:r>
              <w:rPr>
                <w:rFonts w:hint="default" w:ascii="Times New Roman Regular" w:hAnsi="Times New Roman Regular" w:cs="Times New Roman Regular"/>
                <w:sz w:val="20"/>
                <w:szCs w:val="20"/>
                <w:lang w:val="en-GB" w:eastAsia="zh-TW"/>
              </w:rPr>
              <w:t xml:space="preserve">from the end of chemo-radiotherapy to </w:t>
            </w:r>
            <w:r>
              <w:rPr>
                <w:rFonts w:hint="default" w:ascii="Times New Roman Regular" w:hAnsi="Times New Roman Regular" w:cs="Times New Roman Regular"/>
                <w:sz w:val="20"/>
                <w:szCs w:val="20"/>
                <w:lang w:val="en-GB" w:eastAsia="zh-CN"/>
              </w:rPr>
              <w:t>the end of the second</w:t>
            </w:r>
            <w:r>
              <w:rPr>
                <w:rFonts w:hint="default" w:ascii="Times New Roman Regular" w:hAnsi="Times New Roman Regular" w:cs="Times New Roman Regular"/>
                <w:sz w:val="20"/>
                <w:szCs w:val="20"/>
                <w:lang w:val="en-GB" w:eastAsia="zh-TW"/>
              </w:rPr>
              <w:t xml:space="preserve"> year, once every 6 months during the third and fourth years, and once yearly thereafter.</w:t>
            </w:r>
            <w:r>
              <w:rPr>
                <w:rFonts w:hint="default" w:ascii="Times New Roman Regular" w:hAnsi="Times New Roman Regular" w:cs="Times New Roman Regular"/>
                <w:sz w:val="20"/>
                <w:szCs w:val="20"/>
                <w:lang w:val="en-US" w:eastAsia="zh-CN"/>
              </w:rPr>
              <w:t>”</w:t>
            </w:r>
          </w:p>
        </w:tc>
        <w:tc>
          <w:tcPr>
            <w:tcW w:w="1341" w:type="pct"/>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left"/>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In the original protocol, the follow-up schedule was overly frequent, posing challenges for full compliance in practical research. Therefore, the follow-up timeline has been modified to ensure a more reasonable frequency and enhanced patient adherence</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8" w:hRule="atLeast"/>
        </w:trPr>
        <w:tc>
          <w:tcPr>
            <w:tcW w:w="821" w:type="pct"/>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left"/>
              <w:textAlignment w:val="baseline"/>
              <w:rPr>
                <w:rFonts w:hint="default" w:ascii="Times New Roman Regular" w:hAnsi="Times New Roman Regular" w:cs="Times New Roman Regular"/>
                <w:sz w:val="20"/>
                <w:szCs w:val="20"/>
                <w:lang w:val="en-US" w:eastAsia="zh-CN"/>
              </w:rPr>
            </w:pPr>
            <w:r>
              <w:rPr>
                <w:rFonts w:hint="default" w:ascii="Times New Roman Regular" w:hAnsi="Times New Roman Regular" w:cs="Times New Roman Regular"/>
                <w:sz w:val="20"/>
                <w:szCs w:val="20"/>
              </w:rPr>
              <w:t xml:space="preserve">Page </w:t>
            </w:r>
            <w:r>
              <w:rPr>
                <w:rFonts w:hint="default" w:ascii="Times New Roman Regular" w:hAnsi="Times New Roman Regular" w:cs="Times New Roman Regular"/>
                <w:sz w:val="20"/>
                <w:szCs w:val="20"/>
                <w:lang w:val="en-US" w:eastAsia="zh-CN"/>
              </w:rPr>
              <w:t>23-24</w:t>
            </w:r>
          </w:p>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left"/>
              <w:textAlignment w:val="baseline"/>
              <w:rPr>
                <w:rFonts w:hint="default" w:ascii="Times New Roman Regular" w:hAnsi="Times New Roman Regular" w:cs="Times New Roman Regular"/>
                <w:sz w:val="20"/>
                <w:szCs w:val="20"/>
              </w:rPr>
            </w:pPr>
          </w:p>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left"/>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lang w:val="en-US" w:eastAsia="en-US"/>
              </w:rPr>
              <w:t>“</w:t>
            </w:r>
            <w:r>
              <w:rPr>
                <w:rFonts w:hint="default" w:ascii="Times New Roman Regular" w:hAnsi="Times New Roman Regular" w:cs="Times New Roman Regular"/>
                <w:sz w:val="20"/>
                <w:szCs w:val="20"/>
              </w:rPr>
              <w:t>5.11.2 Sample size</w:t>
            </w:r>
            <w:r>
              <w:rPr>
                <w:rFonts w:hint="default" w:ascii="Times New Roman Regular" w:hAnsi="Times New Roman Regular" w:cs="Times New Roman Regular"/>
                <w:sz w:val="20"/>
                <w:szCs w:val="20"/>
                <w:lang w:val="en-US" w:eastAsia="zh-CN"/>
              </w:rPr>
              <w:t xml:space="preserve"> </w:t>
            </w:r>
            <w:r>
              <w:rPr>
                <w:rFonts w:hint="default" w:ascii="Times New Roman Regular" w:hAnsi="Times New Roman Regular" w:cs="Times New Roman Regular"/>
                <w:sz w:val="20"/>
                <w:szCs w:val="20"/>
              </w:rPr>
              <w:t>determination</w:t>
            </w:r>
            <w:r>
              <w:rPr>
                <w:rFonts w:hint="default" w:ascii="Times New Roman Regular" w:hAnsi="Times New Roman Regular" w:cs="Times New Roman Regular"/>
                <w:sz w:val="20"/>
                <w:szCs w:val="20"/>
                <w:lang w:val="en-US" w:eastAsia="en-US"/>
              </w:rPr>
              <w:t>”</w:t>
            </w:r>
          </w:p>
        </w:tc>
        <w:tc>
          <w:tcPr>
            <w:tcW w:w="1337" w:type="pct"/>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left"/>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w:t>
            </w:r>
            <w:r>
              <w:rPr>
                <w:rFonts w:hint="default" w:ascii="Times New Roman Regular" w:hAnsi="Times New Roman Regular" w:cs="Times New Roman Regular"/>
                <w:sz w:val="20"/>
                <w:szCs w:val="20"/>
                <w:lang w:val="en-US" w:eastAsia="zh-CN"/>
              </w:rPr>
              <w:t>The type I error rate is 5%, and the power is 80%. The sample size calculated by PASS 22.0 was 25 cases (or a minimum of 25 patients). In consideration of a 20% drop-out rate, the final sample size is set at 30 cases.</w:t>
            </w:r>
            <w:r>
              <w:rPr>
                <w:rFonts w:hint="default" w:ascii="Times New Roman Regular" w:hAnsi="Times New Roman Regular" w:cs="Times New Roman Regular"/>
                <w:sz w:val="20"/>
                <w:szCs w:val="20"/>
              </w:rPr>
              <w:t>”</w:t>
            </w:r>
          </w:p>
        </w:tc>
        <w:tc>
          <w:tcPr>
            <w:tcW w:w="1500" w:type="pct"/>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left"/>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“The type I error rate is 5%, and the power is 80%.</w:t>
            </w:r>
            <w:r>
              <w:rPr>
                <w:rFonts w:hint="eastAsia" w:ascii="Times New Roman Regular" w:hAnsi="Times New Roman Regular" w:eastAsia="宋体" w:cs="Times New Roman Regular"/>
                <w:sz w:val="20"/>
                <w:szCs w:val="20"/>
                <w:lang w:val="en-US" w:eastAsia="zh-CN"/>
              </w:rPr>
              <w:t xml:space="preserve"> </w:t>
            </w:r>
            <w:r>
              <w:rPr>
                <w:rFonts w:hint="eastAsia" w:ascii="Times New Roman Regular" w:hAnsi="Times New Roman Regular" w:cs="Times New Roman Regular"/>
                <w:sz w:val="20"/>
                <w:szCs w:val="20"/>
                <w:lang w:val="en-US" w:eastAsia="zh-CN"/>
              </w:rPr>
              <w:t>F</w:t>
            </w:r>
            <w:r>
              <w:rPr>
                <w:rFonts w:hint="eastAsia" w:ascii="Times New Roman Regular" w:hAnsi="Times New Roman Regular" w:cs="Times New Roman Regular"/>
                <w:sz w:val="20"/>
                <w:szCs w:val="20"/>
                <w:lang w:val="en-GB" w:eastAsia="zh-TW"/>
              </w:rPr>
              <w:t>ollow-up duration was calculated from enrollment to the date of the last follow-up.</w:t>
            </w:r>
            <w:r>
              <w:rPr>
                <w:rFonts w:hint="eastAsia" w:ascii="Times New Roman Regular" w:hAnsi="Times New Roman Regular" w:cs="Times New Roman Regular"/>
                <w:sz w:val="20"/>
                <w:szCs w:val="20"/>
                <w:lang w:val="en-US" w:eastAsia="zh-CN"/>
              </w:rPr>
              <w:t xml:space="preserve"> Assuming a uniform accrual accomplished over a period of about 12 months, </w:t>
            </w:r>
            <w:r>
              <w:rPr>
                <w:rFonts w:hint="eastAsia" w:ascii="Times New Roman Regular" w:hAnsi="Times New Roman Regular" w:cs="Times New Roman Regular"/>
                <w:sz w:val="20"/>
                <w:szCs w:val="20"/>
                <w:lang w:val="en-GB" w:eastAsia="zh-TW"/>
              </w:rPr>
              <w:t>with an additional 12 months of follow-up subsequent to the enrollment of the last patient</w:t>
            </w:r>
            <w:r>
              <w:rPr>
                <w:rFonts w:hint="eastAsia" w:ascii="Times New Roman Regular" w:hAnsi="Times New Roman Regular" w:cs="Times New Roman Regular"/>
                <w:sz w:val="20"/>
                <w:szCs w:val="20"/>
                <w:lang w:val="en-US" w:eastAsia="zh-CN"/>
              </w:rPr>
              <w:t>, t</w:t>
            </w:r>
            <w:r>
              <w:rPr>
                <w:rFonts w:hint="eastAsia" w:ascii="Times New Roman Regular" w:hAnsi="Times New Roman Regular" w:cs="Times New Roman Regular"/>
                <w:sz w:val="20"/>
                <w:szCs w:val="20"/>
                <w:lang w:val="en-GB" w:eastAsia="zh-TW"/>
              </w:rPr>
              <w:t xml:space="preserve">o observe 16 PFS events, a calculation determined that </w:t>
            </w:r>
            <w:r>
              <w:rPr>
                <w:rFonts w:hint="default" w:ascii="Times New Roman Regular" w:hAnsi="Times New Roman Regular" w:cs="Times New Roman Regular"/>
                <w:sz w:val="20"/>
                <w:szCs w:val="20"/>
              </w:rPr>
              <w:t>25 cases (or a minimum of 25 patients)</w:t>
            </w:r>
            <w:r>
              <w:rPr>
                <w:rFonts w:hint="eastAsia" w:ascii="Times New Roman Regular" w:hAnsi="Times New Roman Regular" w:eastAsia="宋体" w:cs="Times New Roman Regular"/>
                <w:sz w:val="20"/>
                <w:szCs w:val="20"/>
                <w:lang w:val="en-US" w:eastAsia="zh-CN"/>
              </w:rPr>
              <w:t xml:space="preserve"> </w:t>
            </w:r>
            <w:r>
              <w:rPr>
                <w:rFonts w:hint="eastAsia" w:ascii="Times New Roman Regular" w:hAnsi="Times New Roman Regular" w:cs="Times New Roman Regular"/>
                <w:sz w:val="20"/>
                <w:szCs w:val="20"/>
                <w:lang w:val="en-GB" w:eastAsia="zh-TW"/>
              </w:rPr>
              <w:t>were needed.</w:t>
            </w:r>
            <w:r>
              <w:rPr>
                <w:rFonts w:hint="eastAsia" w:ascii="Times New Roman Regular" w:hAnsi="Times New Roman Regular" w:eastAsia="宋体" w:cs="Times New Roman Regular"/>
                <w:sz w:val="20"/>
                <w:szCs w:val="20"/>
                <w:lang w:val="en-US" w:eastAsia="zh-CN"/>
              </w:rPr>
              <w:t xml:space="preserve"> </w:t>
            </w:r>
            <w:r>
              <w:rPr>
                <w:rFonts w:hint="default" w:ascii="Times New Roman Regular" w:hAnsi="Times New Roman Regular" w:cs="Times New Roman Regular"/>
                <w:sz w:val="20"/>
                <w:szCs w:val="20"/>
              </w:rPr>
              <w:t>In consideration of a 20% drop-out rate, the final sample size is set at 3</w:t>
            </w:r>
            <w:r>
              <w:rPr>
                <w:rFonts w:hint="default" w:ascii="Times New Roman Regular" w:hAnsi="Times New Roman Regular" w:eastAsia="宋体" w:cs="Times New Roman Regular"/>
                <w:sz w:val="20"/>
                <w:szCs w:val="20"/>
                <w:lang w:val="en-US" w:eastAsia="zh-CN"/>
              </w:rPr>
              <w:t>2</w:t>
            </w:r>
            <w:r>
              <w:rPr>
                <w:rFonts w:hint="default" w:ascii="Times New Roman Regular" w:hAnsi="Times New Roman Regular" w:cs="Times New Roman Regular"/>
                <w:sz w:val="20"/>
                <w:szCs w:val="20"/>
              </w:rPr>
              <w:t xml:space="preserve"> cases.”</w:t>
            </w:r>
          </w:p>
        </w:tc>
        <w:tc>
          <w:tcPr>
            <w:tcW w:w="1341" w:type="pct"/>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exact"/>
              <w:ind w:left="105" w:leftChars="50" w:right="105" w:rightChars="50"/>
              <w:jc w:val="left"/>
              <w:textAlignment w:val="baseline"/>
              <w:rPr>
                <w:rFonts w:hint="default" w:ascii="Times New Roman Regular" w:hAnsi="Times New Roman Regular" w:cs="Times New Roman Regular"/>
                <w:sz w:val="20"/>
                <w:szCs w:val="20"/>
              </w:rPr>
            </w:pPr>
            <w:r>
              <w:rPr>
                <w:rFonts w:hint="default" w:ascii="Times New Roman Regular" w:hAnsi="Times New Roman Regular" w:cs="Times New Roman Regular"/>
                <w:sz w:val="20"/>
                <w:szCs w:val="20"/>
              </w:rPr>
              <w:t xml:space="preserve">The original sample size calculation contained a minor error. Considering a dropout rate of 20%, the final sample size should be no less than 32 </w:t>
            </w:r>
            <w:r>
              <w:rPr>
                <w:rFonts w:hint="default" w:ascii="Times New Roman Regular" w:hAnsi="Times New Roman Regular" w:cs="Times New Roman Regular"/>
                <w:sz w:val="20"/>
                <w:szCs w:val="20"/>
                <w:lang w:val="en-US" w:eastAsia="zh-CN"/>
              </w:rPr>
              <w:t>cases.</w:t>
            </w:r>
          </w:p>
        </w:tc>
      </w:tr>
    </w:tbl>
    <w:p>
      <w:pPr>
        <w:spacing w:line="20" w:lineRule="exact"/>
        <w:jc w:val="left"/>
        <w:rPr>
          <w:rFonts w:hint="default" w:ascii="Times New Roman Regular" w:hAnsi="Times New Roman Regular" w:cs="Times New Roman Regular"/>
        </w:rPr>
      </w:pPr>
    </w:p>
    <w:p>
      <w:pPr>
        <w:spacing w:line="20" w:lineRule="exact"/>
        <w:jc w:val="left"/>
        <w:rPr>
          <w:rFonts w:hint="default" w:ascii="Times New Roman Regular" w:hAnsi="Times New Roman Regular" w:cs="Times New Roman Regular"/>
        </w:rPr>
      </w:pPr>
    </w:p>
    <w:p>
      <w:pPr>
        <w:jc w:val="left"/>
        <w:rPr>
          <w:rFonts w:hint="default" w:ascii="Times New Roman Regular" w:hAnsi="Times New Roman Regular" w:cs="Times New Roman Regular"/>
          <w:sz w:val="21"/>
        </w:rPr>
      </w:pPr>
    </w:p>
    <w:p>
      <w:pPr>
        <w:spacing w:after="0" w:line="480" w:lineRule="auto"/>
        <w:contextualSpacing/>
        <w:rPr>
          <w:rFonts w:hint="default" w:ascii="Times New Roman Regular" w:hAnsi="Times New Roman Regular" w:cs="Times New Roman Regular"/>
          <w:sz w:val="20"/>
          <w:szCs w:val="20"/>
        </w:rPr>
      </w:pPr>
    </w:p>
    <w:p>
      <w:pPr>
        <w:keepNext w:val="0"/>
        <w:keepLines w:val="0"/>
        <w:pageBreakBefore w:val="0"/>
        <w:widowControl/>
        <w:kinsoku w:val="0"/>
        <w:wordWrap/>
        <w:overflowPunct/>
        <w:topLinePunct w:val="0"/>
        <w:autoSpaceDE w:val="0"/>
        <w:autoSpaceDN w:val="0"/>
        <w:bidi w:val="0"/>
        <w:adjustRightInd w:val="0"/>
        <w:snapToGrid w:val="0"/>
        <w:spacing w:before="100" w:after="100" w:line="360" w:lineRule="exact"/>
        <w:contextualSpacing/>
        <w:jc w:val="both"/>
        <w:textAlignment w:val="baseline"/>
        <w:outlineLvl w:val="9"/>
        <w:rPr>
          <w:rFonts w:hint="default" w:ascii="Times New Roman Regular" w:hAnsi="Times New Roman Regular" w:cs="Times New Roman Regular"/>
          <w:sz w:val="20"/>
          <w:szCs w:val="20"/>
          <w:lang w:eastAsia="zh-CN"/>
        </w:rPr>
      </w:pPr>
    </w:p>
    <w:sectPr>
      <w:headerReference r:id="rId7" w:type="default"/>
      <w:footerReference r:id="rId8" w:type="default"/>
      <w:pgSz w:w="11907" w:h="16839"/>
      <w:pgMar w:top="400" w:right="1785" w:bottom="1453" w:left="1785" w:header="0" w:footer="1227"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nstantia">
    <w:panose1 w:val="02030602050306030303"/>
    <w:charset w:val="00"/>
    <w:family w:val="auto"/>
    <w:pitch w:val="default"/>
    <w:sig w:usb0="A00002EF" w:usb1="4000204B" w:usb2="00000000" w:usb3="00000000" w:csb0="2000019F" w:csb1="00000000"/>
  </w:font>
  <w:font w:name="Times New Roman Regular">
    <w:altName w:val="Times New Roman"/>
    <w:panose1 w:val="02020503050405090304"/>
    <w:charset w:val="00"/>
    <w:family w:val="auto"/>
    <w:pitch w:val="default"/>
    <w:sig w:usb0="00000000" w:usb1="00000000" w:usb2="00000001" w:usb3="00000000" w:csb0="400001BF" w:csb1="DFF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exact"/>
      <w:rPr>
        <w:rFonts w:ascii="Times New Roman" w:hAnsi="Times New Roman" w:eastAsia="Times New Roman" w:cs="Times New Roman"/>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exact"/>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- 4 -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- 4 -</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1" w:lineRule="auto"/>
      <w:ind w:left="393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- 6 -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- 6 -</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5A00F6"/>
    <w:multiLevelType w:val="singleLevel"/>
    <w:tmpl w:val="895A00F6"/>
    <w:lvl w:ilvl="0" w:tentative="0">
      <w:start w:val="6"/>
      <w:numFmt w:val="decimal"/>
      <w:suff w:val="space"/>
      <w:lvlText w:val="%1."/>
      <w:lvlJc w:val="left"/>
    </w:lvl>
  </w:abstractNum>
  <w:abstractNum w:abstractNumId="1">
    <w:nsid w:val="AEFD95EE"/>
    <w:multiLevelType w:val="singleLevel"/>
    <w:tmpl w:val="AEFD95EE"/>
    <w:lvl w:ilvl="0" w:tentative="0">
      <w:start w:val="1"/>
      <w:numFmt w:val="decimal"/>
      <w:lvlText w:val="%1)"/>
      <w:lvlJc w:val="left"/>
      <w:pPr>
        <w:ind w:left="425" w:hanging="425"/>
      </w:pPr>
      <w:rPr>
        <w:rFonts w:hint="default"/>
      </w:rPr>
    </w:lvl>
  </w:abstractNum>
  <w:abstractNum w:abstractNumId="2">
    <w:nsid w:val="B200D452"/>
    <w:multiLevelType w:val="singleLevel"/>
    <w:tmpl w:val="B200D452"/>
    <w:lvl w:ilvl="0" w:tentative="0">
      <w:start w:val="1"/>
      <w:numFmt w:val="decimal"/>
      <w:lvlText w:val="%1)"/>
      <w:lvlJc w:val="left"/>
      <w:pPr>
        <w:tabs>
          <w:tab w:val="left" w:pos="420"/>
        </w:tabs>
        <w:ind w:left="425" w:leftChars="0" w:hanging="425" w:firstLineChars="0"/>
      </w:pPr>
      <w:rPr>
        <w:rFonts w:hint="default"/>
      </w:rPr>
    </w:lvl>
  </w:abstractNum>
  <w:abstractNum w:abstractNumId="3">
    <w:nsid w:val="EFFFCEF7"/>
    <w:multiLevelType w:val="singleLevel"/>
    <w:tmpl w:val="EFFFCEF7"/>
    <w:lvl w:ilvl="0" w:tentative="0">
      <w:start w:val="1"/>
      <w:numFmt w:val="decimal"/>
      <w:lvlText w:val="%1)"/>
      <w:lvlJc w:val="left"/>
      <w:pPr>
        <w:ind w:left="425" w:hanging="425"/>
      </w:pPr>
      <w:rPr>
        <w:rFonts w:hint="default"/>
      </w:rPr>
    </w:lvl>
  </w:abstractNum>
  <w:abstractNum w:abstractNumId="4">
    <w:nsid w:val="F1C81DB3"/>
    <w:multiLevelType w:val="singleLevel"/>
    <w:tmpl w:val="F1C81DB3"/>
    <w:lvl w:ilvl="0" w:tentative="0">
      <w:start w:val="1"/>
      <w:numFmt w:val="bullet"/>
      <w:lvlText w:val=""/>
      <w:lvlJc w:val="left"/>
      <w:pPr>
        <w:ind w:left="420" w:leftChars="0" w:hanging="420" w:firstLineChars="0"/>
      </w:pPr>
      <w:rPr>
        <w:rFonts w:hint="default" w:ascii="Wingdings" w:hAnsi="Wingdings" w:cs="Wingdings"/>
      </w:rPr>
    </w:lvl>
  </w:abstractNum>
  <w:abstractNum w:abstractNumId="5">
    <w:nsid w:val="042DA2AD"/>
    <w:multiLevelType w:val="singleLevel"/>
    <w:tmpl w:val="042DA2AD"/>
    <w:lvl w:ilvl="0" w:tentative="0">
      <w:start w:val="1"/>
      <w:numFmt w:val="decimal"/>
      <w:lvlText w:val="%1)"/>
      <w:lvlJc w:val="left"/>
      <w:pPr>
        <w:ind w:left="425" w:hanging="425"/>
      </w:pPr>
      <w:rPr>
        <w:rFonts w:hint="default"/>
      </w:rPr>
    </w:lvl>
  </w:abstractNum>
  <w:abstractNum w:abstractNumId="6">
    <w:nsid w:val="1D7F1010"/>
    <w:multiLevelType w:val="singleLevel"/>
    <w:tmpl w:val="1D7F1010"/>
    <w:lvl w:ilvl="0" w:tentative="0">
      <w:start w:val="2"/>
      <w:numFmt w:val="decimal"/>
      <w:suff w:val="space"/>
      <w:lvlText w:val="%1."/>
      <w:lvlJc w:val="left"/>
    </w:lvl>
  </w:abstractNum>
  <w:abstractNum w:abstractNumId="7">
    <w:nsid w:val="1EC0601A"/>
    <w:multiLevelType w:val="multilevel"/>
    <w:tmpl w:val="1EC0601A"/>
    <w:lvl w:ilvl="0" w:tentative="0">
      <w:start w:val="1"/>
      <w:numFmt w:val="decimal"/>
      <w:lvlText w:val="%1"/>
      <w:lvlJc w:val="left"/>
      <w:pPr>
        <w:tabs>
          <w:tab w:val="left" w:pos="567"/>
        </w:tabs>
        <w:ind w:left="567" w:hanging="567"/>
      </w:pPr>
      <w:rPr>
        <w:rFonts w:hint="default"/>
      </w:rPr>
    </w:lvl>
    <w:lvl w:ilvl="1" w:tentative="0">
      <w:start w:val="1"/>
      <w:numFmt w:val="decimal"/>
      <w:lvlText w:val="%1.%2"/>
      <w:lvlJc w:val="left"/>
      <w:pPr>
        <w:tabs>
          <w:tab w:val="left" w:pos="567"/>
        </w:tabs>
        <w:ind w:left="567" w:hanging="567"/>
      </w:pPr>
      <w:rPr>
        <w:rFonts w:hint="default"/>
      </w:rPr>
    </w:lvl>
    <w:lvl w:ilvl="2" w:tentative="0">
      <w:start w:val="1"/>
      <w:numFmt w:val="decimal"/>
      <w:lvlText w:val="%1.%2.%3"/>
      <w:lvlJc w:val="left"/>
      <w:pPr>
        <w:tabs>
          <w:tab w:val="left" w:pos="567"/>
        </w:tabs>
        <w:ind w:left="567" w:hanging="567"/>
      </w:pPr>
      <w:rPr>
        <w:rFonts w:hint="default"/>
      </w:rPr>
    </w:lvl>
    <w:lvl w:ilvl="3" w:tentative="0">
      <w:start w:val="1"/>
      <w:numFmt w:val="decimal"/>
      <w:lvlText w:val="%1.%2.%3.%4"/>
      <w:lvlJc w:val="left"/>
      <w:pPr>
        <w:tabs>
          <w:tab w:val="left" w:pos="567"/>
        </w:tabs>
        <w:ind w:left="567" w:hanging="567"/>
      </w:pPr>
      <w:rPr>
        <w:rFonts w:hint="default"/>
      </w:rPr>
    </w:lvl>
    <w:lvl w:ilvl="4" w:tentative="0">
      <w:start w:val="1"/>
      <w:numFmt w:val="decimal"/>
      <w:lvlText w:val="%1.%2.%3.%4.%5"/>
      <w:lvlJc w:val="left"/>
      <w:pPr>
        <w:tabs>
          <w:tab w:val="left" w:pos="567"/>
        </w:tabs>
        <w:ind w:left="567" w:hanging="567"/>
      </w:pPr>
      <w:rPr>
        <w:rFonts w:hint="default"/>
      </w:rPr>
    </w:lvl>
    <w:lvl w:ilvl="5" w:tentative="0">
      <w:start w:val="1"/>
      <w:numFmt w:val="lowerRoman"/>
      <w:lvlText w:val="%6."/>
      <w:lvlJc w:val="right"/>
      <w:pPr>
        <w:tabs>
          <w:tab w:val="left" w:pos="567"/>
        </w:tabs>
        <w:ind w:left="567" w:hanging="567"/>
      </w:pPr>
      <w:rPr>
        <w:rFonts w:hint="default"/>
      </w:rPr>
    </w:lvl>
    <w:lvl w:ilvl="6" w:tentative="0">
      <w:start w:val="1"/>
      <w:numFmt w:val="decimal"/>
      <w:lvlText w:val="%7."/>
      <w:lvlJc w:val="left"/>
      <w:pPr>
        <w:tabs>
          <w:tab w:val="left" w:pos="567"/>
        </w:tabs>
        <w:ind w:left="567" w:hanging="567"/>
      </w:pPr>
      <w:rPr>
        <w:rFonts w:hint="default"/>
      </w:rPr>
    </w:lvl>
    <w:lvl w:ilvl="7" w:tentative="0">
      <w:start w:val="1"/>
      <w:numFmt w:val="lowerLetter"/>
      <w:lvlText w:val="%8."/>
      <w:lvlJc w:val="left"/>
      <w:pPr>
        <w:tabs>
          <w:tab w:val="left" w:pos="567"/>
        </w:tabs>
        <w:ind w:left="567" w:hanging="567"/>
      </w:pPr>
      <w:rPr>
        <w:rFonts w:hint="default"/>
      </w:rPr>
    </w:lvl>
    <w:lvl w:ilvl="8" w:tentative="0">
      <w:start w:val="1"/>
      <w:numFmt w:val="lowerRoman"/>
      <w:lvlText w:val="%9."/>
      <w:lvlJc w:val="right"/>
      <w:pPr>
        <w:tabs>
          <w:tab w:val="left" w:pos="567"/>
        </w:tabs>
        <w:ind w:left="567" w:hanging="567"/>
      </w:pPr>
      <w:rPr>
        <w:rFonts w:hint="default"/>
      </w:rPr>
    </w:lvl>
  </w:abstractNum>
  <w:abstractNum w:abstractNumId="8">
    <w:nsid w:val="225305B5"/>
    <w:multiLevelType w:val="multilevel"/>
    <w:tmpl w:val="225305B5"/>
    <w:lvl w:ilvl="0" w:tentative="0">
      <w:start w:val="1"/>
      <w:numFmt w:val="bullet"/>
      <w:pStyle w:val="3"/>
      <w:lvlText w:val=""/>
      <w:lvlJc w:val="left"/>
      <w:pPr>
        <w:ind w:left="1440" w:hanging="360"/>
      </w:pPr>
      <w:rPr>
        <w:rFonts w:hint="default" w:ascii="Symbol" w:hAnsi="Symbol"/>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9">
    <w:nsid w:val="328EF42F"/>
    <w:multiLevelType w:val="singleLevel"/>
    <w:tmpl w:val="328EF42F"/>
    <w:lvl w:ilvl="0" w:tentative="0">
      <w:start w:val="1"/>
      <w:numFmt w:val="bullet"/>
      <w:lvlText w:val=""/>
      <w:lvlJc w:val="left"/>
      <w:pPr>
        <w:ind w:left="420" w:hanging="420"/>
      </w:pPr>
      <w:rPr>
        <w:rFonts w:hint="default" w:ascii="Wingdings" w:hAnsi="Wingdings"/>
      </w:rPr>
    </w:lvl>
  </w:abstractNum>
  <w:abstractNum w:abstractNumId="10">
    <w:nsid w:val="6097156D"/>
    <w:multiLevelType w:val="singleLevel"/>
    <w:tmpl w:val="6097156D"/>
    <w:lvl w:ilvl="0" w:tentative="0">
      <w:start w:val="1"/>
      <w:numFmt w:val="decimal"/>
      <w:lvlText w:val="%1)"/>
      <w:lvlJc w:val="left"/>
      <w:pPr>
        <w:ind w:left="425" w:hanging="425"/>
      </w:pPr>
      <w:rPr>
        <w:rFonts w:hint="default"/>
      </w:rPr>
    </w:lvl>
  </w:abstractNum>
  <w:abstractNum w:abstractNumId="11">
    <w:nsid w:val="635E3AAA"/>
    <w:multiLevelType w:val="singleLevel"/>
    <w:tmpl w:val="635E3AAA"/>
    <w:lvl w:ilvl="0" w:tentative="0">
      <w:start w:val="1"/>
      <w:numFmt w:val="decimal"/>
      <w:lvlText w:val="%1)"/>
      <w:lvlJc w:val="left"/>
      <w:pPr>
        <w:ind w:left="425" w:hanging="425"/>
      </w:pPr>
      <w:rPr>
        <w:rFonts w:hint="default"/>
      </w:rPr>
    </w:lvl>
  </w:abstractNum>
  <w:abstractNum w:abstractNumId="12">
    <w:nsid w:val="677B3593"/>
    <w:multiLevelType w:val="singleLevel"/>
    <w:tmpl w:val="677B3593"/>
    <w:lvl w:ilvl="0" w:tentative="0">
      <w:start w:val="1"/>
      <w:numFmt w:val="bullet"/>
      <w:lvlText w:val=""/>
      <w:lvlJc w:val="left"/>
      <w:pPr>
        <w:ind w:left="420" w:hanging="420"/>
      </w:pPr>
      <w:rPr>
        <w:rFonts w:hint="default" w:ascii="Wingdings" w:hAnsi="Wingdings"/>
      </w:rPr>
    </w:lvl>
  </w:abstractNum>
  <w:num w:numId="1">
    <w:abstractNumId w:val="7"/>
    <w:lvlOverride w:ilvl="0">
      <w:lvl w:ilvl="0" w:tentative="1">
        <w:start w:val="1"/>
        <w:numFmt w:val="decimal"/>
        <w:pStyle w:val="2"/>
        <w:lvlText w:val="%1"/>
        <w:lvlJc w:val="left"/>
        <w:pPr>
          <w:tabs>
            <w:tab w:val="left" w:pos="567"/>
          </w:tabs>
          <w:ind w:left="567" w:hanging="567"/>
        </w:pPr>
        <w:rPr>
          <w:rFonts w:hint="default"/>
        </w:rPr>
      </w:lvl>
    </w:lvlOverride>
    <w:lvlOverride w:ilvl="1">
      <w:lvl w:ilvl="1" w:tentative="1">
        <w:start w:val="1"/>
        <w:numFmt w:val="decimal"/>
        <w:lvlText w:val="%1.%2"/>
        <w:lvlJc w:val="left"/>
        <w:pPr>
          <w:tabs>
            <w:tab w:val="left" w:pos="567"/>
          </w:tabs>
          <w:ind w:left="567" w:hanging="567"/>
        </w:pPr>
        <w:rPr>
          <w:rFonts w:hint="default"/>
        </w:rPr>
      </w:lvl>
    </w:lvlOverride>
  </w:num>
  <w:num w:numId="2">
    <w:abstractNumId w:val="8"/>
  </w:num>
  <w:num w:numId="3">
    <w:abstractNumId w:val="11"/>
  </w:num>
  <w:num w:numId="4">
    <w:abstractNumId w:val="5"/>
  </w:num>
  <w:num w:numId="5">
    <w:abstractNumId w:val="10"/>
  </w:num>
  <w:num w:numId="6">
    <w:abstractNumId w:val="12"/>
  </w:num>
  <w:num w:numId="7">
    <w:abstractNumId w:val="6"/>
  </w:num>
  <w:num w:numId="8">
    <w:abstractNumId w:val="2"/>
  </w:num>
  <w:num w:numId="9">
    <w:abstractNumId w:val="1"/>
  </w:num>
  <w:num w:numId="10">
    <w:abstractNumId w:val="3"/>
  </w:num>
  <w:num w:numId="11">
    <w:abstractNumId w:val="4"/>
  </w:num>
  <w:num w:numId="12">
    <w:abstractNumId w:val="9"/>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zI4YjRiOWQxOWYzNjNkYTI4MmQxYjIyNjg3ODk1ZTAifQ=="/>
    <w:docVar w:name="KSO_WPS_MARK_KEY" w:val="f79ad67b-af72-474f-a260-6c2eda4e031e"/>
    <w:docVar w:name="KY_MEDREF_DOCUID" w:val="{5068AA83-74D1-498A-9E22-99F0295DBD33}"/>
    <w:docVar w:name="KY_MEDREF_VERSION" w:val="3"/>
  </w:docVars>
  <w:rsids>
    <w:rsidRoot w:val="00000000"/>
    <w:rsid w:val="018267F2"/>
    <w:rsid w:val="03EE12C7"/>
    <w:rsid w:val="0BD87233"/>
    <w:rsid w:val="0F3A26DF"/>
    <w:rsid w:val="0F9D2C6D"/>
    <w:rsid w:val="0FC422DF"/>
    <w:rsid w:val="13C407C9"/>
    <w:rsid w:val="141F6AD0"/>
    <w:rsid w:val="14E65D3F"/>
    <w:rsid w:val="16D24DB5"/>
    <w:rsid w:val="17CF6FB1"/>
    <w:rsid w:val="18357EE7"/>
    <w:rsid w:val="189D20F0"/>
    <w:rsid w:val="193208CA"/>
    <w:rsid w:val="19ED659F"/>
    <w:rsid w:val="1B2B55D1"/>
    <w:rsid w:val="213276BA"/>
    <w:rsid w:val="21445A50"/>
    <w:rsid w:val="23DF33FD"/>
    <w:rsid w:val="25DC2007"/>
    <w:rsid w:val="270C4465"/>
    <w:rsid w:val="27461389"/>
    <w:rsid w:val="293E2974"/>
    <w:rsid w:val="29DA6B40"/>
    <w:rsid w:val="2A6B5CAD"/>
    <w:rsid w:val="2D23435A"/>
    <w:rsid w:val="2EFA061A"/>
    <w:rsid w:val="2F7B4956"/>
    <w:rsid w:val="30466CDD"/>
    <w:rsid w:val="35C3424E"/>
    <w:rsid w:val="36444B84"/>
    <w:rsid w:val="37C014F8"/>
    <w:rsid w:val="3B5B73B5"/>
    <w:rsid w:val="3FB6454A"/>
    <w:rsid w:val="4013025E"/>
    <w:rsid w:val="4353723E"/>
    <w:rsid w:val="471A62FD"/>
    <w:rsid w:val="472D60AA"/>
    <w:rsid w:val="4ED82367"/>
    <w:rsid w:val="4F636E90"/>
    <w:rsid w:val="506671D7"/>
    <w:rsid w:val="535B5D4C"/>
    <w:rsid w:val="53AC7D2A"/>
    <w:rsid w:val="55216FE1"/>
    <w:rsid w:val="557355CF"/>
    <w:rsid w:val="5898534D"/>
    <w:rsid w:val="59615845"/>
    <w:rsid w:val="5AF01470"/>
    <w:rsid w:val="5BB10177"/>
    <w:rsid w:val="5CF27722"/>
    <w:rsid w:val="5ECB5627"/>
    <w:rsid w:val="5F910529"/>
    <w:rsid w:val="5FEE514E"/>
    <w:rsid w:val="61696880"/>
    <w:rsid w:val="62061941"/>
    <w:rsid w:val="65A17F37"/>
    <w:rsid w:val="67FC1454"/>
    <w:rsid w:val="686F3379"/>
    <w:rsid w:val="6BF32B6E"/>
    <w:rsid w:val="6CA33751"/>
    <w:rsid w:val="6D9D5488"/>
    <w:rsid w:val="72556331"/>
    <w:rsid w:val="72EB0A43"/>
    <w:rsid w:val="74FA0C48"/>
    <w:rsid w:val="76053BCA"/>
    <w:rsid w:val="77E85551"/>
    <w:rsid w:val="78BE62B2"/>
    <w:rsid w:val="79D0629D"/>
    <w:rsid w:val="7AEA5A84"/>
    <w:rsid w:val="7D893333"/>
    <w:rsid w:val="7EF96296"/>
    <w:rsid w:val="E7EF3E92"/>
    <w:rsid w:val="F7BB232B"/>
    <w:rsid w:val="F96F88A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2"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3"/>
    <w:next w:val="1"/>
    <w:qFormat/>
    <w:uiPriority w:val="2"/>
    <w:pPr>
      <w:numPr>
        <w:ilvl w:val="0"/>
        <w:numId w:val="1"/>
      </w:numPr>
      <w:spacing w:before="240"/>
      <w:contextualSpacing w:val="0"/>
      <w:outlineLvl w:val="0"/>
    </w:pPr>
    <w:rPr>
      <w:b/>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3">
    <w:name w:val="List Paragraph"/>
    <w:basedOn w:val="1"/>
    <w:qFormat/>
    <w:uiPriority w:val="3"/>
    <w:pPr>
      <w:numPr>
        <w:ilvl w:val="0"/>
        <w:numId w:val="2"/>
      </w:numPr>
      <w:ind w:left="1434" w:hanging="357"/>
      <w:contextualSpacing/>
    </w:pPr>
    <w:rPr>
      <w:rFonts w:eastAsia="Cambria" w:cs="Times New Roman"/>
      <w:szCs w:val="24"/>
    </w:rPr>
  </w:style>
  <w:style w:type="paragraph" w:styleId="4">
    <w:name w:val="annotation text"/>
    <w:basedOn w:val="1"/>
    <w:unhideWhenUsed/>
    <w:qFormat/>
    <w:uiPriority w:val="99"/>
    <w:rPr>
      <w:rFonts w:eastAsia="宋体" w:cs="Times New Roman"/>
      <w:sz w:val="20"/>
      <w:szCs w:val="20"/>
      <w:lang w:eastAsia="zh-CN"/>
    </w:rPr>
  </w:style>
  <w:style w:type="paragraph" w:styleId="5">
    <w:name w:val="Body Text"/>
    <w:basedOn w:val="1"/>
    <w:semiHidden/>
    <w:qFormat/>
    <w:uiPriority w:val="0"/>
    <w:rPr>
      <w:rFonts w:ascii="Arial" w:hAnsi="Arial" w:eastAsia="Arial" w:cs="Arial"/>
      <w:sz w:val="24"/>
      <w:szCs w:val="24"/>
      <w:lang w:val="en-US" w:eastAsia="en-US" w:bidi="ar-SA"/>
    </w:rPr>
  </w:style>
  <w:style w:type="paragraph" w:styleId="6">
    <w:name w:val="toc 3"/>
    <w:basedOn w:val="1"/>
    <w:next w:val="1"/>
    <w:qFormat/>
    <w:uiPriority w:val="0"/>
    <w:pPr>
      <w:ind w:left="840" w:leftChars="400"/>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paragraph" w:styleId="10">
    <w:name w:val="toc 2"/>
    <w:basedOn w:val="1"/>
    <w:next w:val="1"/>
    <w:qFormat/>
    <w:uiPriority w:val="0"/>
    <w:pPr>
      <w:ind w:left="420" w:leftChars="200"/>
    </w:p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4">
    <w:name w:val="Emphasis"/>
    <w:basedOn w:val="13"/>
    <w:qFormat/>
    <w:uiPriority w:val="0"/>
    <w:rPr>
      <w:i/>
    </w:rPr>
  </w:style>
  <w:style w:type="character" w:styleId="15">
    <w:name w:val="Hyperlink"/>
    <w:basedOn w:val="13"/>
    <w:unhideWhenUsed/>
    <w:qFormat/>
    <w:uiPriority w:val="99"/>
    <w:rPr>
      <w:color w:val="0000FF"/>
      <w:u w:val="single"/>
    </w:rPr>
  </w:style>
  <w:style w:type="character" w:styleId="16">
    <w:name w:val="annotation reference"/>
    <w:basedOn w:val="13"/>
    <w:unhideWhenUsed/>
    <w:qFormat/>
    <w:uiPriority w:val="99"/>
    <w:rPr>
      <w:sz w:val="16"/>
      <w:szCs w:val="16"/>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Table Text"/>
    <w:basedOn w:val="1"/>
    <w:semiHidden/>
    <w:qFormat/>
    <w:uiPriority w:val="0"/>
    <w:rPr>
      <w:rFonts w:ascii="Constantia" w:hAnsi="Constantia" w:eastAsia="Constantia" w:cs="Constantia"/>
      <w:sz w:val="22"/>
      <w:szCs w:val="22"/>
      <w:lang w:val="en-US" w:eastAsia="en-US" w:bidi="ar-SA"/>
    </w:rPr>
  </w:style>
  <w:style w:type="paragraph" w:customStyle="1" w:styleId="19">
    <w:name w:val="WPSOffice手动目录 1"/>
    <w:qFormat/>
    <w:uiPriority w:val="0"/>
    <w:pPr>
      <w:ind w:leftChars="0"/>
    </w:pPr>
    <w:rPr>
      <w:rFonts w:ascii="Times New Roman" w:hAnsi="Times New Roman" w:eastAsia="宋体" w:cs="Times New Roman"/>
      <w:sz w:val="20"/>
      <w:szCs w:val="20"/>
    </w:rPr>
  </w:style>
  <w:style w:type="paragraph" w:customStyle="1" w:styleId="20">
    <w:name w:val="WPSOffice手动目录 2"/>
    <w:qFormat/>
    <w:uiPriority w:val="0"/>
    <w:pPr>
      <w:ind w:leftChars="200"/>
    </w:pPr>
    <w:rPr>
      <w:rFonts w:ascii="Times New Roman" w:hAnsi="Times New Roman" w:eastAsia="宋体" w:cs="Times New Roman"/>
      <w:sz w:val="20"/>
      <w:szCs w:val="20"/>
    </w:rPr>
  </w:style>
  <w:style w:type="paragraph" w:customStyle="1" w:styleId="21">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6.png"/><Relationship Id="rId14" Type="http://schemas.openxmlformats.org/officeDocument/2006/relationships/image" Target="media/image5.jpe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31</Pages>
  <Words>9173</Words>
  <Characters>53200</Characters>
  <TotalTime>5</TotalTime>
  <ScaleCrop>false</ScaleCrop>
  <LinksUpToDate>false</LinksUpToDate>
  <CharactersWithSpaces>61909</CharactersWithSpaces>
  <Application>WPS Office_11.8.6.11719_F1E327BC-269C-435d-A152-05C5408002CA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2023-03-17T02:52:00Z</dcterms:created>
  <dc:creator>huawei</dc:creator>
  <cp:lastModifiedBy>chis</cp:lastModifiedBy>
  <dcterms:modified xsi:type="dcterms:W3CDTF">2024-02-06T03:33:11Z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2023-11-30T18:46:27Z</vt:filetime>
  </property>
  <property fmtid="{D5CDD505-2E9C-101B-9397-08002B2CF9AE}" pid="4" name="KSOProductBuildVer">
    <vt:lpwstr>2052-11.8.6.11719</vt:lpwstr>
  </property>
  <property fmtid="{D5CDD505-2E9C-101B-9397-08002B2CF9AE}" pid="5" name="ICV">
    <vt:lpwstr>68753B4BB40A4C3B84EFBE14E6AB5DA6_13</vt:lpwstr>
  </property>
</Properties>
</file>