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cs="Times New Roman"/>
          <w:b/>
          <w:bCs/>
          <w:color w:val="auto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 xml:space="preserve">Supporting materials </w:t>
      </w:r>
    </w:p>
    <w:p>
      <w:pPr>
        <w:jc w:val="left"/>
      </w:pPr>
      <w:r>
        <w:drawing>
          <wp:inline distT="0" distB="0" distL="114300" distR="114300">
            <wp:extent cx="5271770" cy="448627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t="10404" b="26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448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ascii="Times New Roman" w:hAnsi="Times New Roman" w:cs="Times New Roman" w:eastAsiaTheme="minorEastAsia"/>
          <w:b/>
          <w:bCs/>
          <w:color w:val="auto"/>
          <w:lang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>Figure S1</w:t>
      </w:r>
      <w:r>
        <w:rPr>
          <w:rFonts w:hint="default" w:ascii="Times New Roman" w:hAnsi="Times New Roman" w:cs="Times New Roman"/>
          <w:b/>
          <w:bCs/>
          <w:color w:val="auto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b/>
          <w:bCs/>
          <w:color w:val="auto"/>
          <w:lang w:eastAsia="zh-CN"/>
        </w:rPr>
        <w:t xml:space="preserve">The association between </w:t>
      </w:r>
      <w:r>
        <w:rPr>
          <w:rFonts w:hint="default" w:ascii="Times New Roman" w:hAnsi="Times New Roman" w:cs="Times New Roman" w:eastAsiaTheme="minorEastAsia"/>
          <w:b/>
          <w:bCs/>
          <w:color w:val="auto"/>
          <w:lang w:val="en-US" w:eastAsia="zh-CN"/>
        </w:rPr>
        <w:t>SHR and 90-day functional outcome</w:t>
      </w:r>
      <w:r>
        <w:rPr>
          <w:rFonts w:hint="default" w:ascii="Times New Roman" w:hAnsi="Times New Roman" w:cs="Times New Roman" w:eastAsiaTheme="minorEastAsia"/>
          <w:b/>
          <w:bCs/>
          <w:color w:val="auto"/>
          <w:lang w:eastAsia="zh-CN"/>
        </w:rPr>
        <w:t>.</w:t>
      </w:r>
    </w:p>
    <w:p>
      <w:pPr>
        <w:rPr>
          <w:rFonts w:hint="default" w:ascii="Times New Roman" w:hAnsi="Times New Roman" w:cs="Times New Roman" w:eastAsiaTheme="minorEastAsia"/>
          <w:b/>
          <w:bCs/>
          <w:color w:val="auto"/>
          <w:lang w:eastAsia="zh-CN"/>
        </w:rPr>
      </w:pPr>
      <w:r>
        <w:rPr>
          <w:rFonts w:hint="default" w:ascii="Times New Roman" w:hAnsi="Times New Roman" w:cs="Times New Roman" w:eastAsiaTheme="minorEastAsia"/>
          <w:b/>
          <w:bCs/>
          <w:color w:val="auto"/>
          <w:lang w:eastAsia="zh-CN"/>
        </w:rPr>
        <w:br w:type="page"/>
      </w:r>
    </w:p>
    <w:p>
      <w:pPr>
        <w:jc w:val="left"/>
        <w:rPr>
          <w:rFonts w:hint="default" w:ascii="Times New Roman" w:hAnsi="Times New Roman" w:cs="Times New Roman" w:eastAsiaTheme="minorEastAsia"/>
          <w:b/>
          <w:bCs/>
          <w:color w:val="auto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21"/>
          <w:lang w:val="en-US" w:eastAsia="zh-CN"/>
        </w:rPr>
        <w:t>Table S1 A</w:t>
      </w:r>
      <w:r>
        <w:rPr>
          <w:rFonts w:hint="default" w:ascii="Times New Roman" w:hAnsi="Times New Roman" w:cs="Times New Roman"/>
          <w:b/>
          <w:bCs/>
          <w:color w:val="auto"/>
          <w:sz w:val="21"/>
          <w:lang w:val="en-US" w:eastAsia="zh-CN"/>
        </w:rPr>
        <w:t xml:space="preserve">ssociation between SHR values and </w:t>
      </w:r>
      <w:r>
        <w:rPr>
          <w:rFonts w:hint="eastAsia" w:ascii="Times New Roman" w:hAnsi="Times New Roman" w:cs="Times New Roman"/>
          <w:b/>
          <w:bCs/>
          <w:color w:val="auto"/>
          <w:sz w:val="21"/>
          <w:lang w:val="en-US" w:eastAsia="zh-CN"/>
        </w:rPr>
        <w:t>functional</w:t>
      </w:r>
      <w:r>
        <w:rPr>
          <w:rFonts w:hint="default" w:ascii="Times New Roman" w:hAnsi="Times New Roman" w:cs="Times New Roman"/>
          <w:b/>
          <w:bCs/>
          <w:color w:val="auto"/>
          <w:sz w:val="21"/>
          <w:lang w:val="en-US" w:eastAsia="zh-CN"/>
        </w:rPr>
        <w:t xml:space="preserve"> outcome in different sub</w:t>
      </w:r>
      <w:r>
        <w:rPr>
          <w:rFonts w:hint="eastAsia" w:ascii="Times New Roman" w:hAnsi="Times New Roman" w:cs="Times New Roman"/>
          <w:b/>
          <w:bCs/>
          <w:color w:val="auto"/>
          <w:sz w:val="21"/>
          <w:lang w:val="en-US" w:eastAsia="zh-CN"/>
        </w:rPr>
        <w:t>groups.</w:t>
      </w:r>
    </w:p>
    <w:tbl>
      <w:tblPr>
        <w:tblStyle w:val="2"/>
        <w:tblW w:w="4997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08"/>
        <w:gridCol w:w="1377"/>
        <w:gridCol w:w="3008"/>
        <w:gridCol w:w="435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18"/>
                <w:szCs w:val="18"/>
                <w:lang w:val="en-US" w:eastAsia="zh-CN"/>
              </w:rPr>
              <w:t>Subgroup</w:t>
            </w:r>
          </w:p>
        </w:tc>
        <w:tc>
          <w:tcPr>
            <w:tcW w:w="490" w:type="pct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70" w:type="pct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lang w:val="en-US" w:eastAsia="zh-CN"/>
              </w:rPr>
              <w:t>O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18"/>
                <w:szCs w:val="18"/>
                <w:lang w:val="en-US" w:eastAsia="zh-CN"/>
              </w:rPr>
              <w:t>R (95% CI)</w:t>
            </w:r>
          </w:p>
        </w:tc>
        <w:tc>
          <w:tcPr>
            <w:tcW w:w="1550" w:type="pct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18"/>
                <w:szCs w:val="18"/>
                <w:lang w:val="en-US" w:eastAsia="zh-CN"/>
              </w:rPr>
              <w:t>P value for interaction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A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ge, years</w:t>
            </w:r>
          </w:p>
        </w:tc>
        <w:tc>
          <w:tcPr>
            <w:tcW w:w="490" w:type="pct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070" w:type="pct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550" w:type="pct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0.885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ind w:firstLine="180" w:firstLineChars="100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&lt;65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866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4.93 (2.21, 10.96)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ind w:firstLine="180" w:firstLineChars="100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&gt;=65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389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5.41 (1.99, 14.70)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G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ender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0.714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top"/>
          </w:tcPr>
          <w:p>
            <w:pPr>
              <w:ind w:firstLine="180" w:firstLineChars="100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Female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336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4.29 (1.63, 11.33)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top"/>
          </w:tcPr>
          <w:p>
            <w:pPr>
              <w:ind w:firstLine="180" w:firstLineChars="100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Male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919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5.41 (2.53, 11.55)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Helvetica" w:hAnsi="Helvetica" w:eastAsia="Helvetica" w:cs="Helvetica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14"/>
                <w:szCs w:val="1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Education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14"/>
                <w:szCs w:val="14"/>
                <w:lang w:val="en-US" w:eastAsia="zh-CN" w:bidi="ar-SA"/>
              </w:rPr>
            </w:pP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14"/>
                <w:szCs w:val="14"/>
                <w:lang w:val="en-US" w:eastAsia="zh-CN" w:bidi="ar-SA"/>
              </w:rPr>
            </w:pP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  <w:t>0.137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80" w:firstLineChars="100"/>
              <w:jc w:val="left"/>
              <w:textAlignment w:val="auto"/>
              <w:rPr>
                <w:rFonts w:hint="default" w:ascii="Helvetica" w:hAnsi="Helvetica" w:eastAsia="Helvetica" w:cs="Helvetica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14"/>
                <w:szCs w:val="1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Illiteracy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37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25.50 (0.27, 2369.87)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80" w:firstLineChars="100"/>
              <w:jc w:val="left"/>
              <w:textAlignment w:val="auto"/>
              <w:rPr>
                <w:rFonts w:hint="default" w:ascii="Helvetica" w:hAnsi="Helvetica" w:eastAsia="Helvetica" w:cs="Helvetica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14"/>
                <w:szCs w:val="1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Primary or Junior high school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666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11.02 (4.56, 26.64)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80" w:firstLineChars="100"/>
              <w:jc w:val="left"/>
              <w:textAlignment w:val="auto"/>
              <w:rPr>
                <w:rFonts w:hint="default" w:ascii="Helvetica" w:hAnsi="Helvetica" w:eastAsia="Helvetica" w:cs="Helvetica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14"/>
                <w:szCs w:val="1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High school or Junior college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413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2.40 (0.88, 6.55)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80" w:firstLineChars="100"/>
              <w:jc w:val="left"/>
              <w:textAlignment w:val="auto"/>
              <w:rPr>
                <w:rFonts w:hint="default" w:ascii="Helvetica" w:hAnsi="Helvetica" w:eastAsia="Helvetica" w:cs="Helvetica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14"/>
                <w:szCs w:val="1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Bachelor degree or above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139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4.71 (0.45, 49.25)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Helvetica" w:hAnsi="Helvetica" w:eastAsia="Helvetica" w:cs="Helvetica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14"/>
                <w:szCs w:val="1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moke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14"/>
                <w:szCs w:val="14"/>
                <w:lang w:val="en-US" w:eastAsia="zh-CN" w:bidi="ar-SA"/>
              </w:rPr>
            </w:pP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14"/>
                <w:szCs w:val="14"/>
                <w:lang w:val="en-US" w:eastAsia="zh-CN" w:bidi="ar-SA"/>
              </w:rPr>
            </w:pP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0.245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ind w:firstLine="180" w:firstLineChars="100"/>
              <w:rPr>
                <w:rFonts w:hint="default" w:ascii="Helvetica" w:hAnsi="Helvetica" w:eastAsia="Helvetica" w:cs="Helvetica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727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6.25 (2.98, 13.10)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ind w:firstLine="180" w:firstLineChars="100"/>
              <w:rPr>
                <w:rFonts w:hint="default" w:ascii="Helvetica" w:hAnsi="Helvetica" w:eastAsia="Helvetica" w:cs="Helvetica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Yes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528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2.84 (0.93, 8.64)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eastAsia" w:ascii="Helvetica" w:hAnsi="Helvetica" w:eastAsia="Helvetica" w:cs="Helvetica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14"/>
                <w:szCs w:val="1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D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rink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14"/>
                <w:szCs w:val="14"/>
                <w:lang w:val="en-US" w:eastAsia="zh-CN" w:bidi="ar-SA"/>
              </w:rPr>
            </w:pP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14"/>
                <w:szCs w:val="14"/>
                <w:lang w:val="en-US" w:eastAsia="zh-CN" w:bidi="ar-SA"/>
              </w:rPr>
            </w:pP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  <w:t>0.905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ind w:firstLine="180" w:firstLineChars="100"/>
              <w:rPr>
                <w:rFonts w:hint="eastAsia" w:ascii="Helvetica" w:hAnsi="Helvetica" w:eastAsia="Helvetica" w:cs="Helvetica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878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4.94 (2.51, 9.72)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ind w:firstLine="180" w:firstLineChars="100"/>
              <w:rPr>
                <w:rFonts w:hint="eastAsia" w:ascii="Helvetica" w:hAnsi="Helvetica" w:eastAsia="Helvetica" w:cs="Helvetica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Yes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377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5.39 (1.50, 19.36)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Hypertension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14"/>
                <w:szCs w:val="14"/>
                <w:lang w:val="en-US" w:eastAsia="zh-CN" w:bidi="ar-SA"/>
              </w:rPr>
            </w:pP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14"/>
                <w:szCs w:val="14"/>
                <w:lang w:val="en-US" w:eastAsia="zh-CN" w:bidi="ar-SA"/>
              </w:rPr>
            </w:pP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0.927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ind w:firstLine="180" w:firstLineChars="100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452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4.77 (1.60, 14.21)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ind w:firstLine="180" w:firstLineChars="100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Yes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803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5.07 (2.47, 10.40)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Diabetes mellitus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0.212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ind w:firstLine="180" w:firstLineChars="100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990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6.55 (2.98, 14.41)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ind w:firstLine="180" w:firstLineChars="100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Yes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265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3.06 (1.28, 7.30)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eastAsia" w:ascii="Helvetica" w:hAnsi="Helvetica" w:eastAsia="Helvetica" w:cs="Helvetica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14"/>
                <w:szCs w:val="1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troke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14"/>
                <w:szCs w:val="14"/>
                <w:lang w:val="en-US" w:eastAsia="zh-CN" w:bidi="ar-SA"/>
              </w:rPr>
            </w:pP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14"/>
                <w:szCs w:val="14"/>
                <w:lang w:val="en-US" w:eastAsia="zh-CN" w:bidi="ar-SA"/>
              </w:rPr>
            </w:pP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0.621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ind w:firstLine="180" w:firstLineChars="100"/>
              <w:rPr>
                <w:rFonts w:hint="eastAsia" w:ascii="Helvetica" w:hAnsi="Helvetica" w:eastAsia="Helvetica" w:cs="Helvetica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999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4.80 (2.35, 9.78)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ind w:firstLine="180" w:firstLineChars="100"/>
              <w:rPr>
                <w:rFonts w:hint="eastAsia" w:ascii="Helvetica" w:hAnsi="Helvetica" w:eastAsia="Helvetica" w:cs="Helvetica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Yes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256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6.84 (2.01, 23.29)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Atrial fibrillation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  <w:t>0.353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ind w:firstLine="180" w:firstLineChars="100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1216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4.65 (2.52, 8.55)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ind w:firstLine="180" w:firstLineChars="100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Yes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39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22.26 (0.73, 680.14)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 xml:space="preserve">Intravenous 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 xml:space="preserve">hrombolytic 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herapy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0.051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ind w:firstLine="180" w:firstLineChars="100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1027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3.74 (1.88, 7.43)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ind w:firstLine="180" w:firstLineChars="100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Yes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228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15.52 (4.25, 56.72)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TOAST classification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0.449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top"/>
          </w:tcPr>
          <w:p>
            <w:pPr>
              <w:ind w:firstLine="180" w:firstLineChars="100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Large artery atherosclerosis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413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5.08 (1.91, 13.52)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top"/>
          </w:tcPr>
          <w:p>
            <w:pPr>
              <w:ind w:firstLine="180" w:firstLineChars="100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Cardiogenic embolism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473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2.27 (0.78, 6.64)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top"/>
          </w:tcPr>
          <w:p>
            <w:pPr>
              <w:ind w:firstLine="180" w:firstLineChars="100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Small vessel occlusion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94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12.53 (1.98, 79.22)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top"/>
          </w:tcPr>
          <w:p>
            <w:pPr>
              <w:ind w:firstLine="180" w:firstLineChars="100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Other determined etiology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119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16.08 (0.92, 279.56)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top"/>
          </w:tcPr>
          <w:p>
            <w:pPr>
              <w:ind w:firstLine="180" w:firstLineChars="100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Undetermined cause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156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4.71 (0.75, 29.76)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WBC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0.523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80" w:firstLineChars="100"/>
              <w:textAlignment w:val="auto"/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lang w:val="en-US" w:eastAsia="zh-CN" w:bidi="ar"/>
              </w:rPr>
              <w:t>Low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418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6.98 (2.09, 23.30)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80" w:firstLineChars="100"/>
              <w:textAlignment w:val="auto"/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lang w:val="en-US" w:eastAsia="zh-CN" w:bidi="ar"/>
              </w:rPr>
              <w:t>Middle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410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6.91 (2.25, 21.20)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80" w:firstLineChars="100"/>
              <w:textAlignment w:val="auto"/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lang w:val="en-US" w:eastAsia="zh-CN" w:bidi="ar"/>
              </w:rPr>
              <w:t>High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427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3.49 (1.51, 8.04)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Neutrophil count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0.315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80" w:firstLineChars="100"/>
              <w:textAlignment w:val="auto"/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lang w:val="en-US" w:eastAsia="zh-CN" w:bidi="ar"/>
              </w:rPr>
              <w:t>Low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417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10.55 (3.07, 36.19)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80" w:firstLineChars="100"/>
              <w:textAlignment w:val="auto"/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lang w:val="en-US" w:eastAsia="zh-CN" w:bidi="ar"/>
              </w:rPr>
              <w:t>Middle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418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4.13 (1.18, 14.50)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80" w:firstLineChars="100"/>
              <w:textAlignment w:val="auto"/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lang w:val="en-US" w:eastAsia="zh-CN" w:bidi="ar"/>
              </w:rPr>
              <w:t>High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420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3.41 (1.55, 7.50)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L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ymphocyte count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0.443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80" w:firstLineChars="100"/>
              <w:textAlignment w:val="auto"/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lang w:val="en-US" w:eastAsia="zh-CN" w:bidi="ar"/>
              </w:rPr>
              <w:t>Low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401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3.06 (1.28, 7.32)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80" w:firstLineChars="100"/>
              <w:textAlignment w:val="auto"/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lang w:val="en-US" w:eastAsia="zh-CN" w:bidi="ar"/>
              </w:rPr>
              <w:t>Middle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423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6.47 (1.85, 22.65)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80" w:firstLineChars="100"/>
              <w:textAlignment w:val="auto"/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lang w:val="en-US" w:eastAsia="zh-CN" w:bidi="ar"/>
              </w:rPr>
              <w:t>High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431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6.87 (2.38, 19.87)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21"/>
                <w:lang w:val="en-US" w:eastAsia="zh-CN"/>
              </w:rPr>
              <w:t>Baseline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GCS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0.748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80" w:firstLineChars="100"/>
              <w:textAlignment w:val="auto"/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lang w:val="en-US" w:eastAsia="zh-CN" w:bidi="ar"/>
              </w:rPr>
              <w:t>Low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103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4.41 (0.87, 22.41)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80" w:firstLineChars="100"/>
              <w:textAlignment w:val="auto"/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lang w:val="en-US" w:eastAsia="zh-CN" w:bidi="ar"/>
              </w:rPr>
              <w:t>High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1152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3.31 (1.68, 6.56)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lang w:val="en-US" w:eastAsia="zh-CN" w:bidi="ar"/>
              </w:rPr>
              <w:t>aseline NIHSS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0.753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80" w:firstLineChars="10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lang w:val="en-US" w:eastAsia="zh-CN" w:bidi="ar"/>
              </w:rPr>
              <w:t>Low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300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7.33 (0.88, 61.05)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80" w:firstLineChars="10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lang w:val="en-US" w:eastAsia="zh-CN" w:bidi="ar"/>
              </w:rPr>
              <w:t>Middle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502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2.88 (1.01, 8.19)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1888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80" w:firstLineChars="10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lang w:val="en-US" w:eastAsia="zh-CN" w:bidi="ar"/>
              </w:rPr>
              <w:t>High</w:t>
            </w:r>
          </w:p>
        </w:tc>
        <w:tc>
          <w:tcPr>
            <w:tcW w:w="49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453</w:t>
            </w:r>
          </w:p>
        </w:tc>
        <w:tc>
          <w:tcPr>
            <w:tcW w:w="107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3.65 (1.56, 8.54)</w:t>
            </w:r>
          </w:p>
        </w:tc>
        <w:tc>
          <w:tcPr>
            <w:tcW w:w="1550" w:type="pct"/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Times New Roman" w:hAnsi="Times New Roman" w:eastAsia="宋体" w:cs="Times New Roman"/>
          <w:color w:val="auto"/>
          <w:sz w:val="18"/>
          <w:szCs w:val="18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18"/>
          <w:szCs w:val="18"/>
          <w:vertAlign w:val="baseline"/>
          <w:lang w:val="en-US" w:eastAsia="zh-CN"/>
        </w:rPr>
        <w:t>Note:</w:t>
      </w:r>
      <w:bookmarkStart w:id="0" w:name="OLE_LINK10"/>
      <w:r>
        <w:rPr>
          <w:rFonts w:hint="eastAsia" w:ascii="Times New Roman" w:hAnsi="Times New Roman" w:eastAsia="宋体" w:cs="Times New Roman"/>
          <w:color w:val="auto"/>
          <w:sz w:val="18"/>
          <w:szCs w:val="18"/>
          <w:vertAlign w:val="baseline"/>
          <w:lang w:val="en-US" w:eastAsia="zh-CN"/>
        </w:rPr>
        <w:t>*</w:t>
      </w:r>
      <w:bookmarkEnd w:id="0"/>
      <w:r>
        <w:rPr>
          <w:rFonts w:hint="eastAsia" w:ascii="Times New Roman" w:hAnsi="Times New Roman" w:eastAsia="宋体" w:cs="Times New Roman"/>
          <w:color w:val="auto"/>
          <w:sz w:val="18"/>
          <w:szCs w:val="18"/>
          <w:vertAlign w:val="baseline"/>
          <w:lang w:val="en-US" w:eastAsia="zh-CN"/>
        </w:rPr>
        <w:t>P &lt; 0.05.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/>
          <w:lang w:val="en-US"/>
        </w:rPr>
      </w:pPr>
      <w:r>
        <w:rPr>
          <w:rFonts w:hint="eastAsia" w:ascii="Times New Roman" w:hAnsi="Times New Roman" w:eastAsia="宋体" w:cs="Times New Roman"/>
          <w:color w:val="auto"/>
          <w:sz w:val="18"/>
          <w:szCs w:val="18"/>
          <w:vertAlign w:val="baseline"/>
          <w:lang w:val="en-US" w:eastAsia="zh-CN"/>
        </w:rPr>
        <w:t xml:space="preserve">Abbreviations:  </w:t>
      </w:r>
      <w:r>
        <w:rPr>
          <w:rFonts w:hint="default" w:ascii="Times New Roman" w:hAnsi="Times New Roman" w:eastAsia="宋体" w:cs="Times New Roman"/>
          <w:color w:val="auto"/>
          <w:sz w:val="18"/>
          <w:szCs w:val="18"/>
          <w:vertAlign w:val="baseline"/>
          <w:lang w:val="en-US" w:eastAsia="zh-CN"/>
        </w:rPr>
        <w:t>SHR, stress hyperglycemia ratio</w:t>
      </w:r>
      <w:r>
        <w:rPr>
          <w:rFonts w:hint="eastAsia" w:ascii="Times New Roman" w:hAnsi="Times New Roman" w:eastAsia="宋体" w:cs="Times New Roman"/>
          <w:color w:val="auto"/>
          <w:sz w:val="18"/>
          <w:szCs w:val="18"/>
          <w:vertAlign w:val="baseline"/>
          <w:lang w:val="en-US" w:eastAsia="zh-CN"/>
        </w:rPr>
        <w:t>; TOAST, Trial of ORG 10172 in Acute Stroke Treatment; WBC ,</w:t>
      </w:r>
      <w:r>
        <w:rPr>
          <w:rFonts w:hint="default" w:ascii="Times New Roman" w:hAnsi="Times New Roman" w:eastAsia="宋体" w:cs="Times New Roman"/>
          <w:color w:val="auto"/>
          <w:sz w:val="18"/>
          <w:szCs w:val="18"/>
          <w:vertAlign w:val="baseline"/>
          <w:lang w:val="en-US" w:eastAsia="zh-CN"/>
        </w:rPr>
        <w:t>White cells counts</w:t>
      </w:r>
      <w:r>
        <w:rPr>
          <w:rFonts w:hint="eastAsia" w:ascii="Times New Roman" w:hAnsi="Times New Roman" w:eastAsia="宋体" w:cs="Times New Roman"/>
          <w:color w:val="auto"/>
          <w:sz w:val="18"/>
          <w:szCs w:val="18"/>
          <w:vertAlign w:val="baseline"/>
          <w:lang w:val="en-US" w:eastAsia="zh-CN"/>
        </w:rPr>
        <w:t xml:space="preserve">; </w:t>
      </w:r>
      <w:r>
        <w:rPr>
          <w:rFonts w:hint="default" w:ascii="Times New Roman" w:hAnsi="Times New Roman" w:eastAsia="宋体" w:cs="Times New Roman"/>
          <w:color w:val="auto"/>
          <w:sz w:val="18"/>
          <w:szCs w:val="18"/>
          <w:vertAlign w:val="baseline"/>
          <w:lang w:val="en-US" w:eastAsia="zh-CN"/>
        </w:rPr>
        <w:t>GCS</w:t>
      </w:r>
      <w:r>
        <w:rPr>
          <w:rFonts w:hint="eastAsia" w:ascii="Times New Roman" w:hAnsi="Times New Roman" w:eastAsia="宋体" w:cs="Times New Roman"/>
          <w:color w:val="auto"/>
          <w:sz w:val="18"/>
          <w:szCs w:val="18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18"/>
          <w:szCs w:val="18"/>
          <w:vertAlign w:val="baseline"/>
          <w:lang w:val="en-US" w:eastAsia="zh-CN"/>
        </w:rPr>
        <w:t>, Glasgow Coma Scale</w:t>
      </w:r>
      <w:r>
        <w:rPr>
          <w:rFonts w:hint="eastAsia" w:ascii="Times New Roman" w:hAnsi="Times New Roman" w:eastAsia="宋体" w:cs="Times New Roman"/>
          <w:color w:val="auto"/>
          <w:sz w:val="18"/>
          <w:szCs w:val="18"/>
          <w:vertAlign w:val="baseline"/>
          <w:lang w:val="en-US" w:eastAsia="zh-CN"/>
        </w:rPr>
        <w:t xml:space="preserve">; </w:t>
      </w:r>
      <w:r>
        <w:rPr>
          <w:rFonts w:hint="default" w:ascii="Times New Roman" w:hAnsi="Times New Roman" w:eastAsia="宋体" w:cs="Times New Roman"/>
          <w:color w:val="auto"/>
          <w:sz w:val="18"/>
          <w:szCs w:val="18"/>
          <w:vertAlign w:val="baseline"/>
          <w:lang w:val="en-US" w:eastAsia="zh-CN"/>
        </w:rPr>
        <w:t>NIHSS</w:t>
      </w:r>
      <w:r>
        <w:rPr>
          <w:rFonts w:hint="eastAsia" w:ascii="Times New Roman" w:hAnsi="Times New Roman" w:eastAsia="宋体" w:cs="Times New Roman"/>
          <w:color w:val="auto"/>
          <w:sz w:val="18"/>
          <w:szCs w:val="18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18"/>
          <w:szCs w:val="18"/>
          <w:vertAlign w:val="baseline"/>
          <w:lang w:val="en-US" w:eastAsia="zh-CN"/>
        </w:rPr>
        <w:t>, National Institutes of Health Stroke Scale;</w:t>
      </w:r>
      <w:r>
        <w:rPr>
          <w:rFonts w:hint="eastAsia" w:ascii="Times New Roman" w:hAnsi="Times New Roman" w:eastAsia="宋体" w:cs="Times New Roman"/>
          <w:color w:val="auto"/>
          <w:sz w:val="18"/>
          <w:szCs w:val="18"/>
          <w:vertAlign w:val="baselin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z w:val="18"/>
          <w:szCs w:val="21"/>
          <w:lang w:val="en-US" w:eastAsia="zh-CN"/>
        </w:rPr>
        <w:t>OR, Odds Ratio; CI, confidence interval.</w:t>
      </w:r>
      <w:bookmarkStart w:id="1" w:name="_GoBack"/>
      <w:bookmarkEnd w:id="1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mOTc3Mjg0YzdhYzcxYjJlNzg3MTQ1MTkwODNiYjAifQ=="/>
  </w:docVars>
  <w:rsids>
    <w:rsidRoot w:val="54953DC4"/>
    <w:rsid w:val="010B22B0"/>
    <w:rsid w:val="07A116BA"/>
    <w:rsid w:val="10D517BE"/>
    <w:rsid w:val="2B5E10AB"/>
    <w:rsid w:val="2E187C37"/>
    <w:rsid w:val="39B16AE3"/>
    <w:rsid w:val="3D8B09AC"/>
    <w:rsid w:val="418A53E9"/>
    <w:rsid w:val="418F1B67"/>
    <w:rsid w:val="49437E06"/>
    <w:rsid w:val="4FD7239B"/>
    <w:rsid w:val="54953DC4"/>
    <w:rsid w:val="5B3064C0"/>
    <w:rsid w:val="62AE7A5E"/>
    <w:rsid w:val="67A965E4"/>
    <w:rsid w:val="6F3C482C"/>
    <w:rsid w:val="70074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2023-12-28T06:33:00Z</dcterms:created>
  <dc:creator>允未</dc:creator>
  <cp:lastModifiedBy>xsy</cp:lastModifiedBy>
  <dcterms:modified xsi:type="dcterms:W3CDTF">2024-01-10T07:35:52Z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A9521187D7EF4DB3A58370981C3C9FCD_11</vt:lpwstr>
  </property>
</Properties>
</file>