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 Bold" w:hAnsi="Times New Roman Bold" w:eastAsia="AdvEPSTIM" w:cs="Times New Roman Bold"/>
          <w:b/>
          <w:bCs/>
          <w:color w:val="000000" w:themeColor="text1"/>
          <w:kern w:val="0"/>
          <w:sz w:val="24"/>
          <w:szCs w:val="24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eastAsia="AdvEPSTIM" w:cs="Times New Roman Bold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Supplementary T</w:t>
      </w:r>
      <w:bookmarkStart w:id="0" w:name="_GoBack"/>
      <w:bookmarkEnd w:id="0"/>
      <w:r>
        <w:rPr>
          <w:rFonts w:hint="default" w:ascii="Times New Roman Bold" w:hAnsi="Times New Roman Bold" w:eastAsia="AdvEPSTIM" w:cs="Times New Roman Bold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able 1</w:t>
      </w:r>
      <w:r>
        <w:rPr>
          <w:rFonts w:hint="default" w:ascii="Times New Roman Bold" w:hAnsi="Times New Roman Bold" w:eastAsia="AdvEPSTIM" w:cs="Times New Roman Bold"/>
          <w:b/>
          <w:bCs/>
          <w:color w:val="000000" w:themeColor="text1"/>
          <w:kern w:val="0"/>
          <w:sz w:val="24"/>
          <w:szCs w:val="24"/>
          <w:lang w:val="en-US" w:bidi="ar"/>
          <w14:textFill>
            <w14:solidFill>
              <w14:schemeClr w14:val="tx1"/>
            </w14:solidFill>
          </w14:textFill>
        </w:rPr>
        <w:t>. Results of the linear mixed model analyses of the one month follow-up showing the association between several independent variables and the selected HRQoL scales (Gliomas).</w:t>
      </w:r>
    </w:p>
    <w:tbl>
      <w:tblPr>
        <w:tblStyle w:val="5"/>
        <w:tblW w:w="15435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7"/>
        <w:gridCol w:w="1913"/>
        <w:gridCol w:w="1913"/>
        <w:gridCol w:w="1913"/>
        <w:gridCol w:w="1913"/>
        <w:gridCol w:w="1913"/>
        <w:gridCol w:w="2011"/>
        <w:gridCol w:w="20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5" w:hRule="atLeast"/>
          <w:jc w:val="center"/>
        </w:trPr>
        <w:tc>
          <w:tcPr>
            <w:tcW w:w="178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Variable</w:t>
            </w:r>
          </w:p>
        </w:tc>
        <w:tc>
          <w:tcPr>
            <w:tcW w:w="19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PF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  <w:tc>
          <w:tcPr>
            <w:tcW w:w="19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NV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  <w:tc>
          <w:tcPr>
            <w:tcW w:w="19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L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  <w:tc>
          <w:tcPr>
            <w:tcW w:w="19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FU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  <w:tc>
          <w:tcPr>
            <w:tcW w:w="191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D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  <w:tc>
          <w:tcPr>
            <w:tcW w:w="201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CD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  <w:tc>
          <w:tcPr>
            <w:tcW w:w="207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WL</w:t>
            </w:r>
          </w:p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Beta (95% CI)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8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-9.9 (-24.3, 4.5)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5.7 (-0.3, 11.6)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6.0 (-11.1, 23.0)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-3.4 (-17.4, 10.6)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6.8 (-5.5, 19.1)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-20.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-20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, 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2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Age, year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-0.3 (-1.1, 0.5)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0.1 (-0.2, 0.5)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0.9 (-0.1, 1.8)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0.3 (-0.5, 1.1)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0.5 (-0.2, 1.2)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-0.4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.2,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8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BMI</w:t>
            </w: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, kg/m2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 (-1.7, 3.2)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-0.3 (-1.3, 0.8)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-1.1 (-4.0, 1.8)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-2.8 (-5.2, -0.4)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-1.9 (-4.0, 0.2)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24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Education, year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-1.1 (-3.4, 1.2)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0.01 (-1.0, 1.0)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4.4 (1.6, 7.2)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0.8 (-1.5, 3.1)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0.7 (-1.3, 2.7)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.0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Biopsy only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1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Sub-resection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23.9 (-9.5, 57.2)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4.7 (-9.1, 18.5)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-5.1 (-44.7, 34.5)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-39.0 (-71.5, -6.5)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-29.4 (-57.9, -0.9)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, 2.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1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Total-resection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22.1 (0.6, 43.6)*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4.2 (-4.7, 13.1)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10.1 (-15.5, 35.7)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-17.8 (-38.7, 3.2)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-23.5 (-41.9, -5.2)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Grade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2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6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II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-7.0 (-35.6, 21.5)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1.0 (-10.8, 12.8)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3.9 (-30.0, 37.8)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17.5 (-10.3, 45.3)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-0.8 (-25.2, 23.6)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, 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III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-14.7 (-44.1, 14.7)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3.4 (-8.8, 15.6)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4.6 (-30.3, 39.5)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18.1 (-10.5, 46.8)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4.9 (-20.2, 30.0)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IV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-12.5 (-43.2, 18.3)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7.2 (-5.5, 19.9)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16.7 (-19.8, 53.2)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8.0 (-21.9, 37.9)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5.9 (-20.4, 32.1)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.7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Side of the tumor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0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Left hemisphere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Right hemisphere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7.5 (-6.3, 21.3)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5.8 (0.04, 11.5)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10.7 (-5.7, 27.1)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-3.9 (-25.2, 1.7)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-15.7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 (-28.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1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Bilateral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Tumor Location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42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Frontal lobe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Temporal lobe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0.6 (-16.6, 17.8)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5.9 (-1.3, 13.0)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12.0 (-8.4, 32.5)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4.0 (-12.7, 20.8)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, 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4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Parietal lobe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8.7 (-12.1, 29.6)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-6.9 (-15.5, 1.8)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9.4 (-15.4, 34.1)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1.5 (-18.8, 21.8)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4.8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.0)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.0,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Occipital lobe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-25.4 (-72.6, 21.9)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87.8 (68.3, 107.4)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89.6 (33.5, 145.8)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-3.2 (-49.2, 42.9)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.4, 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8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Insula lobes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47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Multiple Lobes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25.9 (3.3, 48.5)*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-5.9 (-15.2, 3.5)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-8.7 (-35.5, 18.2)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-16.9 (-38.9, 5.2)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-46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9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22.1 (-17.6, 61.7)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-8.5 (-24.9, 8.0)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-10.1 (-57.2, 37.1)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-13.7 (-52.3, 25.0)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-16.5 (-50.4, 17.4)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4.4 (-37.0, 45.8)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-17.2 (-71.7, 37.3)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1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Newly diagnosis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67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Recurrence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6.3 ( -11.9, 24.6)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8.2 (0.6, 15.7)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8.5 (-13.3, 30.2)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5.9 (-11.9, 23.7)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-17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-9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34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3" w:hRule="atLeast"/>
          <w:jc w:val="center"/>
        </w:trPr>
        <w:tc>
          <w:tcPr>
            <w:tcW w:w="178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KPS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0.4 (-0.3, 1.1)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-0.1 (-0.4, 0.2)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0.2 (-0.7, 1.0)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-0.2 (-0.9, 0.5)</w:t>
            </w:r>
          </w:p>
        </w:tc>
        <w:tc>
          <w:tcPr>
            <w:tcW w:w="191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-0.04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-0.6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1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1.0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0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.5 (-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</w:tbl>
    <w:p>
      <w:pPr>
        <w:rPr>
          <w:rFonts w:hint="default" w:ascii="Times New Roman Regular" w:hAnsi="Times New Roman Regular" w:eastAsia="黑体" w:cs="Times New Roman Regular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*P &lt; 0.05; Ref, reference; </w:t>
      </w:r>
      <w:r>
        <w:rPr>
          <w:rFonts w:hint="default" w:ascii="Times New Roman Regular" w:hAnsi="Times New Roman Regular" w:eastAsia="黑体" w:cs="Times New Roman Regular"/>
          <w:color w:val="000000" w:themeColor="text1"/>
          <w:sz w:val="24"/>
          <w:lang w:eastAsia="zh-Hans"/>
          <w14:textFill>
            <w14:solidFill>
              <w14:schemeClr w14:val="tx1"/>
            </w14:solidFill>
          </w14:textFill>
        </w:rPr>
        <w:t xml:space="preserve">Preop, Preoperation; </w:t>
      </w:r>
      <w:r>
        <w:rPr>
          <w:rFonts w:hint="default" w:ascii="Times New Roman Regular" w:hAnsi="Times New Roman Regular" w:eastAsia="黑体" w:cs="Times New Roman Regular"/>
          <w:color w:val="000000" w:themeColor="text1"/>
          <w:sz w:val="24"/>
          <w14:textFill>
            <w14:solidFill>
              <w14:schemeClr w14:val="tx1"/>
            </w14:solidFill>
          </w14:textFill>
        </w:rPr>
        <w:t>postop, postoperation;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AdvEPSTIM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70028"/>
    <w:rsid w:val="00031762"/>
    <w:rsid w:val="000A5954"/>
    <w:rsid w:val="000D7E3D"/>
    <w:rsid w:val="001221AF"/>
    <w:rsid w:val="00166EAB"/>
    <w:rsid w:val="00182498"/>
    <w:rsid w:val="0019793A"/>
    <w:rsid w:val="003C3E0A"/>
    <w:rsid w:val="00526541"/>
    <w:rsid w:val="006A1574"/>
    <w:rsid w:val="006B10DA"/>
    <w:rsid w:val="006C0884"/>
    <w:rsid w:val="007C1C6A"/>
    <w:rsid w:val="00880DA2"/>
    <w:rsid w:val="00A74318"/>
    <w:rsid w:val="00B74837"/>
    <w:rsid w:val="00D07EB2"/>
    <w:rsid w:val="00F008D8"/>
    <w:rsid w:val="0FF3B1F0"/>
    <w:rsid w:val="3CD75A77"/>
    <w:rsid w:val="3FFF3B7B"/>
    <w:rsid w:val="5D7729F4"/>
    <w:rsid w:val="5EBD1B53"/>
    <w:rsid w:val="5FF8C744"/>
    <w:rsid w:val="6FF7617F"/>
    <w:rsid w:val="73BA056A"/>
    <w:rsid w:val="743BBCDD"/>
    <w:rsid w:val="7BFFB768"/>
    <w:rsid w:val="7CF73678"/>
    <w:rsid w:val="7DA7289C"/>
    <w:rsid w:val="7E770028"/>
    <w:rsid w:val="AFFF7A3A"/>
    <w:rsid w:val="BD41267C"/>
    <w:rsid w:val="BEFF25C1"/>
    <w:rsid w:val="D6D76133"/>
    <w:rsid w:val="F33FC2E6"/>
    <w:rsid w:val="F7FF5AF6"/>
    <w:rsid w:val="FDF930A9"/>
    <w:rsid w:val="FEB7534F"/>
    <w:rsid w:val="FF3E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2527</Characters>
  <Lines>21</Lines>
  <Paragraphs>6</Paragraphs>
  <TotalTime>252</TotalTime>
  <ScaleCrop>false</ScaleCrop>
  <LinksUpToDate>false</LinksUpToDate>
  <CharactersWithSpaces>3037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2023-12-17T22:41:00Z</dcterms:created>
  <dc:creator>肖志源</dc:creator>
  <cp:lastModifiedBy>肖志源</cp:lastModifiedBy>
  <dcterms:modified xsi:type="dcterms:W3CDTF">2024-02-06T11:31:07Z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E85433628FC009ED94C2796560D88EB7_41</vt:lpwstr>
  </property>
</Properties>
</file>