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 Bold" w:hAnsi="Times New Roman Bold" w:eastAsia="DengXian" w:cs="Times New Roman Bold"/>
          <w:b/>
          <w:bCs/>
          <w:szCs w:val="24"/>
          <w:lang w:eastAsia="zh-CN"/>
        </w:rPr>
      </w:pPr>
      <w:r>
        <w:rPr>
          <w:rFonts w:ascii="Times New Roman" w:hAnsi="Times New Roman" w:eastAsia="DengXian" w:cs="Times New Roman"/>
          <w:b/>
          <w:bCs/>
          <w:szCs w:val="24"/>
          <w:lang w:eastAsia="zh-CN"/>
        </w:rPr>
        <w:t>Table S1</w:t>
      </w:r>
      <w:r>
        <w:rPr>
          <w:rFonts w:ascii="Times New Roman" w:hAnsi="Times New Roman" w:eastAsia="DengXian" w:cs="Times New Roman"/>
          <w:szCs w:val="24"/>
          <w:lang w:eastAsia="zh-CN"/>
        </w:rPr>
        <w:t xml:space="preserve">. </w:t>
      </w:r>
      <w:r>
        <w:rPr>
          <w:rFonts w:hint="default" w:ascii="Times New Roman Bold" w:hAnsi="Times New Roman Bold" w:eastAsia="DengXian" w:cs="Times New Roman Bold"/>
          <w:b/>
          <w:bCs/>
          <w:szCs w:val="24"/>
          <w:lang w:eastAsia="zh-CN"/>
        </w:rPr>
        <w:t>Characteristics of the USD patients.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580" w:tblpY="181"/>
        <w:tblOverlap w:val="never"/>
        <w:tblW w:w="8059" w:type="dxa"/>
        <w:tblInd w:w="0" w:type="dxa"/>
        <w:tblBorders>
          <w:top w:val="double" w:color="000000" w:sz="4" w:space="0"/>
          <w:left w:val="single" w:color="auto" w:sz="4" w:space="0"/>
          <w:bottom w:val="double" w:color="000000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5"/>
        <w:gridCol w:w="3954"/>
      </w:tblGrid>
      <w:tr>
        <w:trPr>
          <w:trHeight w:val="243" w:hRule="atLeast"/>
        </w:trPr>
        <w:tc>
          <w:tcPr>
            <w:tcW w:w="4105" w:type="dxa"/>
            <w:tcBorders>
              <w:top w:val="double" w:color="000000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eastAsia="DengXian" w:cs="Times New Roman"/>
                <w:b/>
                <w:bCs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" w:hAnsi="Times New Roman" w:eastAsia="DengXian" w:cs="Times New Roman"/>
                <w:b/>
                <w:bCs/>
                <w:szCs w:val="24"/>
                <w:lang w:eastAsia="zh-CN"/>
              </w:rPr>
              <w:t>Characteristics</w:t>
            </w:r>
          </w:p>
        </w:tc>
        <w:tc>
          <w:tcPr>
            <w:tcW w:w="3954" w:type="dxa"/>
            <w:tcBorders>
              <w:top w:val="double" w:color="000000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highlight w:val="none"/>
                <w:lang w:eastAsia="zh-Hans" w:bidi="ar-SA"/>
              </w:rPr>
            </w:pPr>
            <w:r>
              <w:rPr>
                <w:rFonts w:hint="eastAsia" w:ascii="Times New Roman" w:hAnsi="Times New Roman" w:eastAsia="DengXian" w:cs="Times New Roman"/>
                <w:b/>
                <w:bCs/>
                <w:szCs w:val="24"/>
                <w:lang w:val="en-US" w:eastAsia="zh-Hans"/>
              </w:rPr>
              <w:t>Uri</w:t>
            </w:r>
            <w:r>
              <w:rPr>
                <w:rFonts w:hint="default" w:ascii="Times New Roman" w:hAnsi="Times New Roman" w:eastAsia="DengXian" w:cs="Times New Roman"/>
                <w:b/>
                <w:bCs/>
                <w:szCs w:val="24"/>
                <w:lang w:eastAsia="zh-Hans"/>
              </w:rPr>
              <w:t xml:space="preserve">nary stone disease </w:t>
            </w:r>
            <w:r>
              <w:rPr>
                <w:rFonts w:hint="eastAsia" w:ascii="Times New Roman" w:hAnsi="Times New Roman" w:eastAsia="DengXian" w:cs="Times New Roman"/>
                <w:b/>
                <w:bCs/>
                <w:szCs w:val="24"/>
                <w:lang w:val="en-US" w:eastAsia="zh-Hans"/>
              </w:rPr>
              <w:t>p</w:t>
            </w:r>
            <w:r>
              <w:rPr>
                <w:rFonts w:hint="default" w:ascii="Times New Roman" w:hAnsi="Times New Roman" w:eastAsia="DengXian" w:cs="Times New Roman"/>
                <w:b/>
                <w:bCs/>
                <w:szCs w:val="24"/>
                <w:lang w:eastAsia="zh-Hans"/>
              </w:rPr>
              <w:t>atients</w:t>
            </w:r>
          </w:p>
        </w:tc>
      </w:tr>
      <w:tr>
        <w:trPr>
          <w:trHeight w:val="243" w:hRule="atLeast"/>
        </w:trPr>
        <w:tc>
          <w:tcPr>
            <w:tcW w:w="410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eastAsia="DengXian" w:cs="Times New Roman"/>
                <w:b/>
                <w:bCs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DengXian" w:cs="Times New Roman"/>
                <w:b/>
                <w:bCs/>
                <w:szCs w:val="24"/>
                <w:lang w:eastAsia="zh-CN"/>
              </w:rPr>
              <w:t>Sample size</w:t>
            </w:r>
          </w:p>
        </w:tc>
        <w:tc>
          <w:tcPr>
            <w:tcW w:w="395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highlight w:val="none"/>
                <w:lang w:val="en-US" w:eastAsia="zh-Hans" w:bidi="ar-SA"/>
              </w:rPr>
            </w:pPr>
            <w:r>
              <w:rPr>
                <w:rFonts w:hint="eastAsia" w:ascii="Times New Roman Regular" w:hAnsi="Times New Roman Regular" w:eastAsia="DengXian" w:cs="Times New Roman Regular"/>
                <w:sz w:val="20"/>
                <w:szCs w:val="20"/>
              </w:rPr>
              <w:t>6908 (8.2)</w:t>
            </w:r>
          </w:p>
        </w:tc>
      </w:tr>
      <w:tr>
        <w:trPr>
          <w:trHeight w:val="243" w:hRule="atLeast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DengXian" w:cs="Times New Roman"/>
                <w:b w:val="0"/>
                <w:bCs w:val="0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0"/>
                <w:szCs w:val="20"/>
                <w:lang w:eastAsia="zh-Hans"/>
              </w:rPr>
              <w:t>Symptom, No. (%)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lang w:eastAsia="zh-Hans" w:bidi="ar-SA"/>
              </w:rPr>
            </w:pPr>
          </w:p>
        </w:tc>
      </w:tr>
      <w:tr>
        <w:trPr>
          <w:trHeight w:val="270" w:hRule="atLeast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0" w:firstLineChars="50"/>
              <w:rPr>
                <w:rFonts w:hint="eastAsia" w:ascii="Times New Roman" w:hAnsi="Times New Roman" w:eastAsia="DengXian" w:cs="Times New Roman"/>
                <w:b w:val="0"/>
                <w:bCs w:val="0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Abdominal/back/loin pain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highlight w:val="none"/>
                <w:lang w:eastAsia="zh-Hans" w:bidi="ar-SA"/>
              </w:rPr>
            </w:pPr>
            <w:r>
              <w:rPr>
                <w:rFonts w:hint="eastAsia" w:ascii="Times New Roman Regular" w:hAnsi="Times New Roman Regular" w:eastAsia="DengXian" w:cs="Times New Roman Regular"/>
                <w:sz w:val="20"/>
                <w:szCs w:val="20"/>
              </w:rPr>
              <w:t>6908 (8.2)</w:t>
            </w:r>
          </w:p>
        </w:tc>
      </w:tr>
      <w:tr>
        <w:trPr>
          <w:trHeight w:val="243" w:hRule="atLeast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0" w:firstLineChars="50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Urinary tract related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highlight w:val="none"/>
                <w:lang w:eastAsia="zh-Hans" w:bidi="ar-SA"/>
              </w:rPr>
            </w:pPr>
            <w:r>
              <w:rPr>
                <w:rFonts w:hint="eastAsia" w:ascii="Times New Roman Regular" w:hAnsi="Times New Roman Regular" w:eastAsia="DengXian" w:cs="Times New Roman Regular"/>
                <w:sz w:val="20"/>
                <w:szCs w:val="20"/>
              </w:rPr>
              <w:t>818 (0.9)</w:t>
            </w:r>
          </w:p>
        </w:tc>
      </w:tr>
      <w:tr>
        <w:trPr>
          <w:trHeight w:val="243" w:hRule="atLeast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0" w:firstLineChars="50"/>
              <w:rPr>
                <w:rFonts w:hint="default" w:ascii="Times New Roman" w:hAnsi="Times New Roman" w:eastAsia="DengXian" w:cs="Times New Roman"/>
                <w:b w:val="0"/>
                <w:bCs w:val="0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Hydronephrosis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eastAsia="DengXian" w:cs="Times New Roman Regular"/>
                <w:sz w:val="20"/>
                <w:szCs w:val="20"/>
              </w:rPr>
              <w:t>2321 (2.6)</w:t>
            </w:r>
          </w:p>
        </w:tc>
      </w:tr>
      <w:tr>
        <w:trPr>
          <w:trHeight w:val="270" w:hRule="atLeast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0" w:firstLineChars="50"/>
              <w:rPr>
                <w:rFonts w:hint="default" w:ascii="Times New Roman" w:hAnsi="Times New Roman" w:eastAsia="DengXian" w:cs="Times New Roman"/>
                <w:b w:val="0"/>
                <w:bCs w:val="0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Non or regular physical exam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eastAsia="DengXian" w:cs="Times New Roman Regular"/>
                <w:sz w:val="20"/>
                <w:szCs w:val="20"/>
              </w:rPr>
              <w:t>381 (0.4)</w:t>
            </w:r>
          </w:p>
        </w:tc>
      </w:tr>
      <w:tr>
        <w:trPr>
          <w:trHeight w:val="243" w:hRule="atLeast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0" w:firstLineChars="50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Unknown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 chief complaint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eastAsia="DengXian" w:cs="Times New Roman Regular"/>
                <w:sz w:val="20"/>
                <w:szCs w:val="20"/>
              </w:rPr>
              <w:t>74162 (89.4)</w:t>
            </w:r>
          </w:p>
        </w:tc>
      </w:tr>
      <w:tr>
        <w:trPr>
          <w:trHeight w:val="243" w:hRule="atLeast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0"/>
                <w:szCs w:val="20"/>
                <w:lang w:eastAsia="zh-Hans"/>
              </w:rPr>
              <w:t>Organ, No. (%)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lang w:eastAsia="zh-Hans" w:bidi="ar-SA"/>
              </w:rPr>
            </w:pPr>
          </w:p>
        </w:tc>
      </w:tr>
      <w:tr>
        <w:trPr>
          <w:trHeight w:val="243" w:hRule="atLeast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0" w:firstLineChars="50"/>
              <w:rPr>
                <w:rFonts w:hint="eastAsia" w:ascii="Times New Roman" w:hAnsi="Times New Roman" w:eastAsia="PMingLiU" w:cs="Times New Roman"/>
                <w:color w:val="000000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Kidney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eastAsia="DengXian" w:cs="Times New Roman Regular"/>
                <w:sz w:val="20"/>
                <w:szCs w:val="20"/>
              </w:rPr>
              <w:t>56056 (64.7)</w:t>
            </w:r>
          </w:p>
        </w:tc>
      </w:tr>
      <w:tr>
        <w:trPr>
          <w:trHeight w:val="243" w:hRule="atLeast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0" w:firstLineChars="50"/>
              <w:rPr>
                <w:rFonts w:hint="eastAsia" w:ascii="Times New Roman" w:hAnsi="Times New Roman" w:eastAsia="PMingLiU" w:cs="Times New Roman"/>
                <w:color w:val="000000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Urether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eastAsia="DengXian" w:cs="Times New Roman Regular"/>
                <w:sz w:val="20"/>
                <w:szCs w:val="20"/>
              </w:rPr>
              <w:t>14998 (18.7)</w:t>
            </w:r>
          </w:p>
        </w:tc>
      </w:tr>
      <w:tr>
        <w:trPr>
          <w:trHeight w:val="243" w:hRule="atLeast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0" w:firstLineChars="50"/>
              <w:rPr>
                <w:rFonts w:hint="eastAsia" w:ascii="Times New Roman" w:hAnsi="Times New Roman" w:eastAsia="PMingLiU" w:cs="Times New Roman"/>
                <w:b/>
                <w:bCs/>
                <w:color w:val="000000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Bladder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eastAsia="DengXian" w:cs="Times New Roman Regular"/>
                <w:sz w:val="20"/>
                <w:szCs w:val="20"/>
              </w:rPr>
              <w:t>521 (0.6)</w:t>
            </w:r>
          </w:p>
        </w:tc>
      </w:tr>
      <w:tr>
        <w:trPr>
          <w:trHeight w:val="243" w:hRule="atLeast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0" w:firstLineChars="50"/>
              <w:rPr>
                <w:rFonts w:hint="eastAsia" w:ascii="Times New Roman" w:hAnsi="Times New Roman" w:eastAsia="DengXian" w:cs="Times New Roman"/>
                <w:color w:val="000000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Urethra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eastAsia="DengXian" w:cs="Times New Roman Regular"/>
                <w:sz w:val="20"/>
                <w:szCs w:val="20"/>
              </w:rPr>
              <w:t>3738 (4.5)</w:t>
            </w:r>
          </w:p>
        </w:tc>
      </w:tr>
      <w:tr>
        <w:trPr>
          <w:trHeight w:val="243" w:hRule="atLeast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0" w:firstLineChars="50"/>
              <w:rPr>
                <w:rFonts w:hint="eastAsia" w:ascii="Times New Roman" w:hAnsi="Times New Roman" w:eastAsia="PMingLiU" w:cs="Times New Roman"/>
                <w:color w:val="000000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Unknown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eastAsia="DengXian" w:cs="Times New Roman Regular"/>
                <w:sz w:val="20"/>
                <w:szCs w:val="20"/>
              </w:rPr>
              <w:t>10487 (11.5)</w:t>
            </w:r>
          </w:p>
        </w:tc>
      </w:tr>
      <w:tr>
        <w:trPr>
          <w:trHeight w:val="243" w:hRule="atLeast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DengXian" w:cs="Times New Roman"/>
                <w:color w:val="000000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0"/>
                <w:szCs w:val="20"/>
                <w:lang w:eastAsia="zh-Hans"/>
              </w:rPr>
              <w:t>Location, No. (%)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lang w:eastAsia="zh-Hans" w:bidi="ar-SA"/>
              </w:rPr>
            </w:pPr>
          </w:p>
        </w:tc>
      </w:tr>
      <w:tr>
        <w:trPr>
          <w:trHeight w:val="243" w:hRule="atLeast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0" w:firstLineChars="50"/>
              <w:rPr>
                <w:rFonts w:hint="eastAsia" w:ascii="Times New Roman" w:hAnsi="Times New Roman" w:eastAsia="DengXian" w:cs="Times New Roman"/>
                <w:b/>
                <w:bCs/>
                <w:color w:val="000000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 Left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eastAsia="DengXian" w:cs="Times New Roman Regular"/>
                <w:sz w:val="20"/>
                <w:szCs w:val="20"/>
              </w:rPr>
              <w:t>14050 (12.7)</w:t>
            </w:r>
          </w:p>
        </w:tc>
      </w:tr>
      <w:tr>
        <w:trPr>
          <w:trHeight w:val="243" w:hRule="atLeast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0" w:firstLineChars="50"/>
              <w:rPr>
                <w:rFonts w:hint="eastAsia" w:ascii="Times New Roman" w:hAnsi="Times New Roman" w:eastAsia="DengXian" w:cs="Times New Roman"/>
                <w:color w:val="000000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 Right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eastAsia="DengXian" w:cs="Times New Roman Regular"/>
                <w:sz w:val="20"/>
                <w:szCs w:val="20"/>
              </w:rPr>
              <w:t>11425 (9.8)</w:t>
            </w:r>
          </w:p>
        </w:tc>
      </w:tr>
      <w:tr>
        <w:trPr>
          <w:trHeight w:val="243" w:hRule="atLeast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0" w:firstLineChars="50"/>
              <w:rPr>
                <w:rFonts w:hint="eastAsia" w:ascii="Times New Roman" w:hAnsi="Times New Roman" w:eastAsia="DengXian" w:cs="Times New Roman"/>
                <w:color w:val="000000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 Bilateral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4093 (4.3)</w:t>
            </w:r>
          </w:p>
        </w:tc>
      </w:tr>
      <w:tr>
        <w:trPr>
          <w:trHeight w:val="243" w:hRule="atLeast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0" w:firstLineChars="50"/>
              <w:rPr>
                <w:rFonts w:hint="eastAsia" w:ascii="Times New Roman" w:hAnsi="Times New Roman" w:eastAsia="DengXian" w:cs="Times New Roman"/>
                <w:color w:val="000000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 Unknown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</w:rPr>
              <w:t>55023 (73.1)</w:t>
            </w:r>
          </w:p>
        </w:tc>
      </w:tr>
      <w:tr>
        <w:trPr>
          <w:trHeight w:val="251" w:hRule="atLeast"/>
        </w:trPr>
        <w:tc>
          <w:tcPr>
            <w:tcW w:w="4105" w:type="dxa"/>
            <w:tcBorders>
              <w:top w:val="nil"/>
              <w:left w:val="nil"/>
              <w:bottom w:val="double" w:color="000000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PMingLiU" w:cs="Times New Roman"/>
                <w:color w:val="000000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0"/>
                <w:szCs w:val="20"/>
              </w:rPr>
              <w:t>Surgery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0"/>
                <w:szCs w:val="20"/>
                <w:lang w:eastAsia="zh-Hans"/>
              </w:rPr>
              <w:t>, No. (%)</w:t>
            </w:r>
          </w:p>
        </w:tc>
        <w:tc>
          <w:tcPr>
            <w:tcW w:w="3954" w:type="dxa"/>
            <w:tcBorders>
              <w:top w:val="nil"/>
              <w:left w:val="nil"/>
              <w:bottom w:val="double" w:color="000000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DengXian" w:cs="Times New Roman"/>
                <w:kern w:val="2"/>
                <w:sz w:val="21"/>
                <w:szCs w:val="24"/>
                <w:lang w:eastAsia="zh-Hans" w:bidi="ar-SA"/>
              </w:rPr>
            </w:pPr>
            <w:r>
              <w:rPr>
                <w:rFonts w:hint="eastAsia" w:ascii="Times New Roman Regular" w:hAnsi="Times New Roman Regular" w:eastAsia="DengXian" w:cs="Times New Roman Regular"/>
                <w:sz w:val="20"/>
                <w:szCs w:val="20"/>
              </w:rPr>
              <w:t>3289 (3.9)</w:t>
            </w:r>
          </w:p>
        </w:tc>
      </w:tr>
    </w:tbl>
    <w:p>
      <w:pPr>
        <w:jc w:val="left"/>
        <w:rPr>
          <w:rFonts w:ascii="Times New Roman" w:hAnsi="Times New Roman" w:cs="Times New Roman"/>
          <w:sz w:val="20"/>
          <w:szCs w:val="20"/>
          <w:lang w:eastAsia="zh-Hans"/>
        </w:rPr>
      </w:pPr>
    </w:p>
    <w:p/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eastAsia="zh-CN" w:bidi="ar-SA"/>
        </w:rPr>
      </w:pPr>
    </w:p>
    <w:p>
      <w:pPr>
        <w:tabs>
          <w:tab w:val="left" w:pos="1167"/>
        </w:tabs>
        <w:bidi w:val="0"/>
        <w:jc w:val="left"/>
        <w:rPr>
          <w:lang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ascii="Times New Roman Bold" w:hAnsi="Times New Roman Bold" w:cs="Times New Roman Bold"/>
          <w:b/>
          <w:bCs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>Table S2. Prevalence rate of urinary stone disease in Yinzhou district of China (all patients with identified code).</w:t>
      </w:r>
    </w:p>
    <w:tbl>
      <w:tblPr>
        <w:tblStyle w:val="5"/>
        <w:tblpPr w:leftFromText="180" w:rightFromText="180" w:vertAnchor="text" w:horzAnchor="page" w:tblpX="1761" w:tblpY="327"/>
        <w:tblOverlap w:val="never"/>
        <w:tblW w:w="1365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1410"/>
        <w:gridCol w:w="1516"/>
        <w:gridCol w:w="2174"/>
        <w:gridCol w:w="3134"/>
        <w:gridCol w:w="3199"/>
      </w:tblGrid>
      <w:tr>
        <w:trPr>
          <w:trHeight w:val="797" w:hRule="atLeast"/>
        </w:trPr>
        <w:tc>
          <w:tcPr>
            <w:tcW w:w="222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lang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lang w:eastAsia="zh-Hans"/>
              </w:rPr>
              <w:t>Characteristics</w:t>
            </w:r>
          </w:p>
        </w:tc>
        <w:tc>
          <w:tcPr>
            <w:tcW w:w="141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lang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lang w:eastAsia="zh-Hans"/>
              </w:rPr>
              <w:t>All participant*</w:t>
            </w:r>
          </w:p>
        </w:tc>
        <w:tc>
          <w:tcPr>
            <w:tcW w:w="151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lang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lang w:eastAsia="zh-Hans"/>
              </w:rPr>
              <w:t>No. of USD patients</w:t>
            </w:r>
          </w:p>
        </w:tc>
        <w:tc>
          <w:tcPr>
            <w:tcW w:w="217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lang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lang w:eastAsia="zh-Hans"/>
              </w:rPr>
              <w:t>No. of Kidney/ureter stone patients</w:t>
            </w:r>
          </w:p>
        </w:tc>
        <w:tc>
          <w:tcPr>
            <w:tcW w:w="313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lang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lang w:eastAsia="zh-Hans"/>
              </w:rPr>
              <w:t>Prevalence rate of USD per 100,000 (95%CI)</w:t>
            </w:r>
          </w:p>
        </w:tc>
        <w:tc>
          <w:tcPr>
            <w:tcW w:w="319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lang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lang w:eastAsia="zh-Hans"/>
              </w:rPr>
              <w:t>Prevalence rate of kidney/ureter stone diseases per 100,000 (95%CI)</w:t>
            </w:r>
          </w:p>
        </w:tc>
      </w:tr>
      <w:tr>
        <w:trPr>
          <w:trHeight w:val="272" w:hRule="atLeast"/>
        </w:trPr>
        <w:tc>
          <w:tcPr>
            <w:tcW w:w="222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All (crude)</w:t>
            </w:r>
          </w:p>
        </w:tc>
        <w:tc>
          <w:tcPr>
            <w:tcW w:w="141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1048487</w:t>
            </w:r>
          </w:p>
        </w:tc>
        <w:tc>
          <w:tcPr>
            <w:tcW w:w="151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108019</w:t>
            </w:r>
          </w:p>
        </w:tc>
        <w:tc>
          <w:tcPr>
            <w:tcW w:w="21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88733</w:t>
            </w:r>
          </w:p>
        </w:tc>
        <w:tc>
          <w:tcPr>
            <w:tcW w:w="313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10302.37 (10244.33-1036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0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1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)</w:t>
            </w:r>
          </w:p>
        </w:tc>
        <w:tc>
          <w:tcPr>
            <w:tcW w:w="319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862.15 (856.75-867.59)</w:t>
            </w:r>
          </w:p>
        </w:tc>
      </w:tr>
      <w:tr>
        <w:trPr>
          <w:trHeight w:val="263" w:hRule="atLeast"/>
        </w:trPr>
        <w:tc>
          <w:tcPr>
            <w:tcW w:w="222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Sex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  <w:tc>
          <w:tcPr>
            <w:tcW w:w="31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</w:tr>
      <w:tr>
        <w:trPr>
          <w:trHeight w:val="263" w:hRule="atLeast"/>
        </w:trPr>
        <w:tc>
          <w:tcPr>
            <w:tcW w:w="222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Male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505657</w:t>
            </w: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63237</w:t>
            </w: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51111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12505.91 (12415.02-12597.37)</w:t>
            </w:r>
          </w:p>
        </w:tc>
        <w:tc>
          <w:tcPr>
            <w:tcW w:w="31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12813.18 (12720.22-12906.72)</w:t>
            </w:r>
          </w:p>
        </w:tc>
      </w:tr>
      <w:tr>
        <w:trPr>
          <w:trHeight w:val="263" w:hRule="atLeast"/>
        </w:trPr>
        <w:tc>
          <w:tcPr>
            <w:tcW w:w="222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Female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542830</w:t>
            </w: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44782</w:t>
            </w: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37622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8249.73 (8176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eastAsia="zh-Hans" w:bidi="ar"/>
              </w:rPr>
              <w:t>.83-8323.21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31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7023.35 (6955.23-7092.10)</w:t>
            </w:r>
          </w:p>
        </w:tc>
      </w:tr>
      <w:tr>
        <w:trPr>
          <w:trHeight w:val="263" w:hRule="atLeast"/>
        </w:trPr>
        <w:tc>
          <w:tcPr>
            <w:tcW w:w="222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Overall(sex-adjusted)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10415.90 (10353.79-10478.28)</w:t>
            </w:r>
          </w:p>
        </w:tc>
        <w:tc>
          <w:tcPr>
            <w:tcW w:w="31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8719.59 (8662.21-8777.25)</w:t>
            </w:r>
          </w:p>
        </w:tc>
      </w:tr>
      <w:tr>
        <w:trPr>
          <w:trHeight w:val="263" w:hRule="atLeast"/>
        </w:trPr>
        <w:tc>
          <w:tcPr>
            <w:tcW w:w="222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Age at risk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  <w:tc>
          <w:tcPr>
            <w:tcW w:w="31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</w:tr>
      <w:tr>
        <w:trPr>
          <w:trHeight w:val="263" w:hRule="atLeast"/>
        </w:trPr>
        <w:tc>
          <w:tcPr>
            <w:tcW w:w="222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0-19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39932</w:t>
            </w: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854</w:t>
            </w: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655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2138.64 (2001.20-2285.28)</w:t>
            </w:r>
          </w:p>
        </w:tc>
        <w:tc>
          <w:tcPr>
            <w:tcW w:w="31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1648.50 (1527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eastAsia="zh-Hans" w:bidi="ar"/>
              </w:rPr>
              <w:t>.81-1778.55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</w:tr>
      <w:tr>
        <w:trPr>
          <w:trHeight w:val="263" w:hRule="atLeast"/>
        </w:trPr>
        <w:tc>
          <w:tcPr>
            <w:tcW w:w="222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20-29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148835</w:t>
            </w: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8815</w:t>
            </w: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6739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592.27 (5803.87-6043.73)</w:t>
            </w:r>
          </w:p>
        </w:tc>
        <w:tc>
          <w:tcPr>
            <w:tcW w:w="31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4591.88 (4485.97-4700.17)</w:t>
            </w:r>
          </w:p>
        </w:tc>
      </w:tr>
      <w:tr>
        <w:trPr>
          <w:trHeight w:val="263" w:hRule="atLeast"/>
        </w:trPr>
        <w:tc>
          <w:tcPr>
            <w:tcW w:w="222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30-39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237288</w:t>
            </w: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18774</w:t>
            </w: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14564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7911.90 (7803.98-8021.19)</w:t>
            </w:r>
          </w:p>
        </w:tc>
        <w:tc>
          <w:tcPr>
            <w:tcW w:w="31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6248.55 (6151.01-6347.54)</w:t>
            </w:r>
          </w:p>
        </w:tc>
      </w:tr>
      <w:tr>
        <w:trPr>
          <w:trHeight w:val="263" w:hRule="atLeast"/>
        </w:trPr>
        <w:tc>
          <w:tcPr>
            <w:tcW w:w="222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40-49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200398</w:t>
            </w: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23416</w:t>
            </w: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18816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11684.75 (11544.83-11826.13)</w:t>
            </w:r>
          </w:p>
        </w:tc>
        <w:tc>
          <w:tcPr>
            <w:tcW w:w="31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9609.90 (9480.15-9741.25)</w:t>
            </w:r>
          </w:p>
        </w:tc>
      </w:tr>
      <w:tr>
        <w:trPr>
          <w:trHeight w:val="263" w:hRule="atLeast"/>
        </w:trPr>
        <w:tc>
          <w:tcPr>
            <w:tcW w:w="222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50-59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192430</w:t>
            </w: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24054</w:t>
            </w: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19979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12500.13 (12353.11-1264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8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5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)</w:t>
            </w:r>
          </w:p>
        </w:tc>
        <w:tc>
          <w:tcPr>
            <w:tcW w:w="31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10607.10 (10468.84-10746.97)</w:t>
            </w:r>
          </w:p>
        </w:tc>
      </w:tr>
      <w:tr>
        <w:trPr>
          <w:trHeight w:val="263" w:hRule="atLeast"/>
        </w:trPr>
        <w:tc>
          <w:tcPr>
            <w:tcW w:w="222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60-69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119539</w:t>
            </w: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20419</w:t>
            </w: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17909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17081.45 (16869.17-17295.86)</w:t>
            </w:r>
          </w:p>
        </w:tc>
        <w:tc>
          <w:tcPr>
            <w:tcW w:w="31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15303.04 (15097.92-15510.45)</w:t>
            </w:r>
          </w:p>
        </w:tc>
      </w:tr>
      <w:tr>
        <w:trPr>
          <w:trHeight w:val="263" w:hRule="atLeast"/>
        </w:trPr>
        <w:tc>
          <w:tcPr>
            <w:tcW w:w="222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70-79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69066</w:t>
            </w: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8641</w:t>
            </w: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7538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12511.22 (12266.55-12769.06)</w:t>
            </w:r>
          </w:p>
        </w:tc>
        <w:tc>
          <w:tcPr>
            <w:tcW w:w="31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11091.33 (10857.43-11329.63)</w:t>
            </w:r>
          </w:p>
        </w:tc>
      </w:tr>
      <w:tr>
        <w:trPr>
          <w:trHeight w:val="263" w:hRule="atLeast"/>
        </w:trPr>
        <w:tc>
          <w:tcPr>
            <w:tcW w:w="222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≥80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40999</w:t>
            </w: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3046</w:t>
            </w: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2533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7429.45 (7179.54-7687.34)</w:t>
            </w:r>
          </w:p>
        </w:tc>
        <w:tc>
          <w:tcPr>
            <w:tcW w:w="31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6256.48 (6024.67-6496.60)</w:t>
            </w:r>
          </w:p>
        </w:tc>
      </w:tr>
      <w:tr>
        <w:trPr>
          <w:trHeight w:val="279" w:hRule="atLeast"/>
        </w:trPr>
        <w:tc>
          <w:tcPr>
            <w:tcW w:w="222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0" w:firstLineChars="5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Overall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(age-adjusted)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8976.95 (8919.39-9034.83)</w:t>
            </w:r>
          </w:p>
        </w:tc>
        <w:tc>
          <w:tcPr>
            <w:tcW w:w="31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7478.84 (7426.24-7531.76)</w:t>
            </w:r>
          </w:p>
        </w:tc>
      </w:tr>
    </w:tbl>
    <w:p>
      <w:pPr>
        <w:rPr>
          <w:rFonts w:ascii="Times New Roman Regular" w:hAnsi="Times New Roman Regular" w:cs="Times New Roman Regular"/>
          <w:sz w:val="20"/>
          <w:szCs w:val="20"/>
          <w:lang w:eastAsia="zh-Hans"/>
        </w:rPr>
      </w:pPr>
    </w:p>
    <w:p>
      <w:pPr>
        <w:rPr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hint="default" w:ascii="Times New Roman Bold" w:hAnsi="Times New Roman Bold" w:cs="Times New Roman Bold"/>
          <w:b/>
          <w:bCs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 xml:space="preserve">Table S3. 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Hans"/>
        </w:rPr>
        <w:t>S</w:t>
      </w:r>
      <w:r>
        <w:rPr>
          <w:rFonts w:ascii="Times New Roman Bold" w:hAnsi="Times New Roman Bold" w:cs="Times New Roman Bold"/>
          <w:b/>
          <w:bCs/>
          <w:sz w:val="24"/>
          <w:szCs w:val="24"/>
        </w:rPr>
        <w:t xml:space="preserve">ubgroup analyses on the association between gender and risk of 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Hans"/>
        </w:rPr>
        <w:t>up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>per urinary stone</w:t>
      </w:r>
      <w:r>
        <w:rPr>
          <w:rFonts w:ascii="Times New Roman Bold" w:hAnsi="Times New Roman Bold" w:cs="Times New Roman Bold"/>
          <w:b/>
          <w:bCs/>
          <w:sz w:val="24"/>
          <w:szCs w:val="24"/>
        </w:rPr>
        <w:t xml:space="preserve"> diseases (kidney and ureters)</w:t>
      </w:r>
      <w:r>
        <w:rPr>
          <w:rFonts w:hint="default" w:ascii="Times New Roman Bold" w:hAnsi="Times New Roman Bold" w:cs="Times New Roman Bold"/>
          <w:b/>
          <w:bCs/>
          <w:sz w:val="24"/>
        </w:rPr>
        <w:t>.</w:t>
      </w:r>
    </w:p>
    <w:p>
      <w:pPr>
        <w:rPr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2"/>
        <w:gridCol w:w="1912"/>
        <w:gridCol w:w="1870"/>
        <w:gridCol w:w="396"/>
        <w:gridCol w:w="2024"/>
        <w:gridCol w:w="1941"/>
        <w:gridCol w:w="1932"/>
      </w:tblGrid>
      <w:tr>
        <w:trPr>
          <w:trHeight w:val="349" w:hRule="atLeast"/>
        </w:trPr>
        <w:tc>
          <w:tcPr>
            <w:tcW w:w="2292" w:type="dxa"/>
            <w:vMerge w:val="restar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Subgroups</w:t>
            </w:r>
          </w:p>
        </w:tc>
        <w:tc>
          <w:tcPr>
            <w:tcW w:w="3782" w:type="dxa"/>
            <w:gridSpan w:val="2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Male</w:t>
            </w:r>
          </w:p>
        </w:tc>
        <w:tc>
          <w:tcPr>
            <w:tcW w:w="396" w:type="dxa"/>
            <w:vMerge w:val="restar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965" w:type="dxa"/>
            <w:gridSpan w:val="2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Female</w:t>
            </w:r>
          </w:p>
        </w:tc>
        <w:tc>
          <w:tcPr>
            <w:tcW w:w="1932" w:type="dxa"/>
            <w:vMerge w:val="restar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P for interaction</w:t>
            </w:r>
            <w:r>
              <w:rPr>
                <w:rFonts w:hint="default" w:ascii="Times New Roman Regular" w:hAnsi="Times New Roman Regular" w:cs="Times New Roman Regular"/>
                <w:vertAlign w:val="superscript"/>
                <w:lang w:eastAsia="zh-CN"/>
              </w:rPr>
              <w:t>b</w:t>
            </w:r>
          </w:p>
        </w:tc>
      </w:tr>
      <w:tr>
        <w:trPr>
          <w:trHeight w:val="338" w:hRule="atLeast"/>
        </w:trPr>
        <w:tc>
          <w:tcPr>
            <w:tcW w:w="2292" w:type="dxa"/>
            <w:vMerge w:val="continue"/>
            <w:tcBorders>
              <w:top w:val="nil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12" w:type="dxa"/>
            <w:tcBorders>
              <w:top w:val="nil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HR</w:t>
            </w:r>
            <w:r>
              <w:rPr>
                <w:rFonts w:hint="default" w:ascii="Times New Roman Regular" w:hAnsi="Times New Roman Regular" w:cs="Times New Roman Regular"/>
                <w:vertAlign w:val="superscript"/>
                <w:lang w:eastAsia="zh-CN"/>
              </w:rPr>
              <w:t>a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 xml:space="preserve"> (95%CI)</w:t>
            </w:r>
          </w:p>
        </w:tc>
        <w:tc>
          <w:tcPr>
            <w:tcW w:w="1870" w:type="dxa"/>
            <w:tcBorders>
              <w:top w:val="nil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P</w:t>
            </w:r>
          </w:p>
        </w:tc>
        <w:tc>
          <w:tcPr>
            <w:tcW w:w="396" w:type="dxa"/>
            <w:vMerge w:val="continue"/>
            <w:tcBorders>
              <w:top w:val="nil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op w:val="nil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HR (95%CI)</w:t>
            </w:r>
          </w:p>
        </w:tc>
        <w:tc>
          <w:tcPr>
            <w:tcW w:w="1941" w:type="dxa"/>
            <w:tcBorders>
              <w:top w:val="nil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P</w:t>
            </w:r>
          </w:p>
        </w:tc>
        <w:tc>
          <w:tcPr>
            <w:tcW w:w="1932" w:type="dxa"/>
            <w:vMerge w:val="continue"/>
            <w:tcBorders>
              <w:top w:val="nil"/>
              <w:bottom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c>
          <w:tcPr>
            <w:tcW w:w="2292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DengXian" w:cs="Times New Roman"/>
                <w:b/>
                <w:bCs/>
              </w:rPr>
              <w:t>Education level</w:t>
            </w:r>
          </w:p>
        </w:tc>
        <w:tc>
          <w:tcPr>
            <w:tcW w:w="1912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70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96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41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32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0.164</w:t>
            </w: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DengXian" w:cs="Times New Roman"/>
              </w:rPr>
              <w:t xml:space="preserve">Bachelors and above 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</w:tr>
      <w:tr>
        <w:trPr>
          <w:trHeight w:val="90" w:hRule="atLeast"/>
        </w:trP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DengXian" w:cs="Times New Roman"/>
              </w:rPr>
              <w:t>Below bachelors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eastAsia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25 (1.18-1.33)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1.22 (1.13-1.31)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PMingLiU" w:cs="Times New Roman"/>
                <w:b/>
                <w:bCs/>
                <w:color w:val="000000"/>
              </w:rPr>
              <w:t>Marital status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PMingLiU" w:cs="Times New Roman"/>
                <w:color w:val="000000"/>
              </w:rPr>
              <w:t>Single</w:t>
            </w:r>
          </w:p>
        </w:tc>
        <w:tc>
          <w:tcPr>
            <w:tcW w:w="191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87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PMingLiU" w:cs="Times New Roman"/>
                <w:color w:val="000000"/>
              </w:rPr>
              <w:t>Married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1.97 (1.85-2.09)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2.02 (1.85-2.21)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PMingLiU" w:cs="Times New Roman"/>
                <w:color w:val="000000"/>
              </w:rPr>
              <w:t>Widowed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2.86 (2.54-3.22)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3.04 (2.69-3.44)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PMingLiU" w:cs="Times New Roman"/>
                <w:color w:val="000000"/>
              </w:rPr>
              <w:t>Divorced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2</w:t>
            </w:r>
            <w:r>
              <w:rPr>
                <w:rFonts w:hint="eastAsia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 (1.70-2.35)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2.32 (1.93-2.81)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vertAlign w:val="baseline"/>
                <w:lang w:eastAsia="zh-CN"/>
              </w:rPr>
              <w:t>Smoking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 w:firstLine="105" w:firstLineChars="5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No</w:t>
            </w:r>
          </w:p>
        </w:tc>
        <w:tc>
          <w:tcPr>
            <w:tcW w:w="191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87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 w:firstLine="105" w:firstLineChars="5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Yes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eastAsia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 (0</w:t>
            </w:r>
            <w:r>
              <w:rPr>
                <w:rFonts w:hint="eastAsia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98-1</w:t>
            </w:r>
            <w:r>
              <w:rPr>
                <w:rFonts w:hint="eastAsia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03)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</w:t>
            </w:r>
            <w:r>
              <w:rPr>
                <w:rFonts w:hint="eastAsia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793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0.65 (0.60-0.69)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vertAlign w:val="baseline"/>
                <w:lang w:eastAsia="zh-CN"/>
              </w:rPr>
              <w:t>Drinking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 w:firstLine="105" w:firstLineChars="5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No</w:t>
            </w:r>
          </w:p>
        </w:tc>
        <w:tc>
          <w:tcPr>
            <w:tcW w:w="191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87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 w:firstLine="105" w:firstLineChars="5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Yes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eastAsia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05 (1.02-1.09)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0.005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0.84 (0.80-0.88)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vertAlign w:val="baseline"/>
                <w:lang w:eastAsia="zh-CN"/>
              </w:rPr>
              <w:t>BMI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</w:t>
            </w:r>
            <w:r>
              <w:rPr>
                <w:rFonts w:hint="eastAsia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022</w:t>
            </w: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PMingLiU" w:cs="Times New Roman"/>
                <w:color w:val="000000"/>
              </w:rPr>
              <w:t>&lt;18.5</w:t>
            </w:r>
          </w:p>
        </w:tc>
        <w:tc>
          <w:tcPr>
            <w:tcW w:w="191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87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PMingLiU" w:cs="Times New Roman"/>
                <w:color w:val="000000"/>
              </w:rPr>
              <w:t>18.5~23.9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0.96 (0.90-1.03)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0.247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0.98 (0.93-1.04)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0.471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PMingLiU" w:cs="Times New Roman"/>
                <w:color w:val="000000"/>
              </w:rPr>
              <w:t>24~27.9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1.10 (1.03-1.17)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0.004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1.12 (1.06-1.19)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PMingLiU" w:cs="Times New Roman"/>
                <w:color w:val="000000"/>
              </w:rPr>
              <w:t>≥28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1.12 (1.02-1.22)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0.020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1.14 (1.05-1.24)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0.002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DengXian" w:cs="Times New Roman"/>
                <w:b/>
                <w:bCs/>
                <w:szCs w:val="24"/>
                <w:lang w:eastAsia="zh-CN"/>
              </w:rPr>
              <w:t>Physical activity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</w:t>
            </w:r>
            <w:r>
              <w:rPr>
                <w:rFonts w:hint="eastAsia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248</w:t>
            </w: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eastAsia" w:ascii="Times New Roman" w:hAnsi="Times New Roman" w:eastAsia="DengXian" w:cs="Times New Roman"/>
                <w:b/>
                <w:bCs/>
                <w:szCs w:val="24"/>
                <w:lang w:eastAsia="zh-CN"/>
              </w:rPr>
            </w:pPr>
            <w:r>
              <w:rPr>
                <w:rFonts w:hint="eastAsia" w:ascii="Times New Roman" w:hAnsi="Times New Roman" w:eastAsia="PMingLiU" w:cs="Times New Roman"/>
                <w:color w:val="000000"/>
                <w:szCs w:val="24"/>
              </w:rPr>
              <w:t>Never</w:t>
            </w:r>
          </w:p>
        </w:tc>
        <w:tc>
          <w:tcPr>
            <w:tcW w:w="191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87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eastAsia" w:ascii="Times New Roman" w:hAnsi="Times New Roman" w:eastAsia="DengXian" w:cs="Times New Roman"/>
                <w:b/>
                <w:bCs/>
                <w:szCs w:val="24"/>
                <w:lang w:eastAsia="zh-CN"/>
              </w:rPr>
            </w:pPr>
            <w:r>
              <w:rPr>
                <w:rFonts w:hint="eastAsia" w:ascii="Times New Roman" w:hAnsi="Times New Roman" w:eastAsia="PMingLiU" w:cs="Times New Roman"/>
                <w:color w:val="000000"/>
                <w:szCs w:val="24"/>
              </w:rPr>
              <w:t>Monthly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0.79 (0.74-0.84)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0.78 (0.73-0.83)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eastAsia" w:ascii="Times New Roman" w:hAnsi="Times New Roman" w:eastAsia="DengXian" w:cs="Times New Roman"/>
                <w:b/>
                <w:bCs/>
                <w:szCs w:val="24"/>
                <w:lang w:eastAsia="zh-CN"/>
              </w:rPr>
            </w:pPr>
            <w:r>
              <w:rPr>
                <w:rFonts w:hint="eastAsia" w:ascii="Times New Roman" w:hAnsi="Times New Roman" w:eastAsia="PMingLiU" w:cs="Times New Roman"/>
                <w:color w:val="000000"/>
                <w:szCs w:val="24"/>
              </w:rPr>
              <w:t>Weekly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0.69 (0.65-0.73)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0.69 (0.65-0.74)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eastAsia="DengXian" w:cs="Times New Roman"/>
                <w:b/>
                <w:bCs/>
                <w:szCs w:val="24"/>
                <w:lang w:eastAsia="zh-CN"/>
              </w:rPr>
            </w:pPr>
            <w:r>
              <w:rPr>
                <w:rFonts w:hint="eastAsia" w:ascii="Times New Roman Bold" w:hAnsi="Times New Roman Bold" w:eastAsia="宋体" w:cs="Times New Roman Bold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Chronic disease history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0" w:firstLineChars="50"/>
              <w:rPr>
                <w:rFonts w:hint="eastAsia" w:ascii="Times New Roman" w:hAnsi="Times New Roman" w:eastAsia="DengXian" w:cs="Times New Roman"/>
                <w:b/>
                <w:bCs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Hypertension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1.91 (1.86-1.96)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2.18 (2.12-2.25)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0" w:firstLineChars="50"/>
              <w:rPr>
                <w:rFonts w:hint="eastAsia" w:ascii="Times New Roman" w:hAnsi="Times New Roman" w:eastAsia="DengXian" w:cs="Times New Roman"/>
                <w:b/>
                <w:bCs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Diabetes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1.21 (1.17-1.25)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1.38 (1.33-1.44)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0" w:firstLineChars="50"/>
              <w:rPr>
                <w:rFonts w:hint="eastAsia" w:ascii="Times New Roman" w:hAnsi="Times New Roman" w:eastAsia="DengXian" w:cs="Times New Roman"/>
                <w:b/>
                <w:bCs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Cardiovascular disease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1.23 (1.12-1.35)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1.35 (1.20-1.51)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0" w:firstLineChars="50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Hyperlipidemia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1.47 (1.38-1.57)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1.49 (1.41-1.57)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Abbreviation: HR, hazard ratio; Ref. Reference.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  <w:t>a. Multivariable hazard Cox regression models were used to calculate adjusted hazard ratio (HR) with stratification jointly by age-at-risk groups (in 5-year intervals);</w:t>
      </w:r>
    </w:p>
    <w:p>
      <w:pPr>
        <w:keepNext w:val="0"/>
        <w:keepLines w:val="0"/>
        <w:widowControl/>
        <w:suppressLineNumbers w:val="0"/>
        <w:jc w:val="left"/>
        <w:rPr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b. </w:t>
      </w:r>
      <w:r>
        <w:rPr>
          <w:rFonts w:hint="default" w:ascii="Times New Roman Regular" w:hAnsi="Times New Roman Regular" w:eastAsia="宋体" w:cs="Times New Roman Regular"/>
          <w:kern w:val="2"/>
          <w:sz w:val="20"/>
          <w:szCs w:val="20"/>
          <w:lang w:val="en-US" w:eastAsia="zh-CN" w:bidi="ar"/>
        </w:rPr>
        <w:t>Likelihood ratio tests were implemented for the interaction, comparing models with or without interaction terms</w:t>
      </w:r>
      <w:r>
        <w:rPr>
          <w:rFonts w:hint="default" w:ascii="Times New Roman Regular" w:hAnsi="Times New Roman Regular" w:eastAsia="宋体" w:cs="Times New Roman Regular"/>
          <w:kern w:val="2"/>
          <w:sz w:val="20"/>
          <w:szCs w:val="20"/>
          <w:lang w:eastAsia="zh-CN" w:bidi="ar"/>
        </w:rPr>
        <w:t>.</w:t>
      </w:r>
    </w:p>
    <w:p>
      <w:pPr>
        <w:rPr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hint="default" w:ascii="Times New Roman Bold" w:hAnsi="Times New Roman Bold" w:cs="Times New Roman Bold"/>
          <w:b/>
          <w:bCs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 xml:space="preserve">Table S4. 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Hans"/>
        </w:rPr>
        <w:t>S</w:t>
      </w:r>
      <w:r>
        <w:rPr>
          <w:rFonts w:ascii="Times New Roman Bold" w:hAnsi="Times New Roman Bold" w:cs="Times New Roman Bold"/>
          <w:b/>
          <w:bCs/>
          <w:sz w:val="24"/>
          <w:szCs w:val="24"/>
        </w:rPr>
        <w:t xml:space="preserve">ubgroup analyses on the association between gender and risk of 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>urinary stone</w:t>
      </w:r>
      <w:r>
        <w:rPr>
          <w:rFonts w:ascii="Times New Roman Bold" w:hAnsi="Times New Roman Bold" w:cs="Times New Roman Bold"/>
          <w:b/>
          <w:bCs/>
          <w:sz w:val="24"/>
          <w:szCs w:val="24"/>
        </w:rPr>
        <w:t xml:space="preserve"> diseases (follow-up time &gt;2 yrs)</w:t>
      </w:r>
      <w:r>
        <w:rPr>
          <w:rFonts w:hint="default" w:ascii="Times New Roman Bold" w:hAnsi="Times New Roman Bold" w:cs="Times New Roman Bold"/>
          <w:b/>
          <w:bCs/>
          <w:sz w:val="24"/>
        </w:rPr>
        <w:t>.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2"/>
        <w:gridCol w:w="1912"/>
        <w:gridCol w:w="1870"/>
        <w:gridCol w:w="396"/>
        <w:gridCol w:w="2024"/>
        <w:gridCol w:w="1941"/>
        <w:gridCol w:w="1932"/>
      </w:tblGrid>
      <w:tr>
        <w:tc>
          <w:tcPr>
            <w:tcW w:w="2292" w:type="dxa"/>
            <w:vMerge w:val="restar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Subgroups</w:t>
            </w:r>
          </w:p>
        </w:tc>
        <w:tc>
          <w:tcPr>
            <w:tcW w:w="3782" w:type="dxa"/>
            <w:gridSpan w:val="2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Male</w:t>
            </w:r>
          </w:p>
        </w:tc>
        <w:tc>
          <w:tcPr>
            <w:tcW w:w="396" w:type="dxa"/>
            <w:vMerge w:val="restar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3965" w:type="dxa"/>
            <w:gridSpan w:val="2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Female</w:t>
            </w:r>
          </w:p>
        </w:tc>
        <w:tc>
          <w:tcPr>
            <w:tcW w:w="1932" w:type="dxa"/>
            <w:vMerge w:val="restar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P for interaction</w:t>
            </w:r>
            <w:r>
              <w:rPr>
                <w:rFonts w:hint="default" w:ascii="Times New Roman Regular" w:hAnsi="Times New Roman Regular" w:cs="Times New Roman Regular"/>
                <w:vertAlign w:val="superscript"/>
                <w:lang w:eastAsia="zh-CN"/>
              </w:rPr>
              <w:t>b</w:t>
            </w:r>
          </w:p>
        </w:tc>
      </w:tr>
      <w:tr>
        <w:trPr>
          <w:trHeight w:val="338" w:hRule="atLeast"/>
        </w:trPr>
        <w:tc>
          <w:tcPr>
            <w:tcW w:w="2292" w:type="dxa"/>
            <w:vMerge w:val="continue"/>
            <w:tcBorders>
              <w:top w:val="nil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12" w:type="dxa"/>
            <w:tcBorders>
              <w:top w:val="nil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HR</w:t>
            </w:r>
            <w:r>
              <w:rPr>
                <w:rFonts w:hint="default" w:ascii="Times New Roman Regular" w:hAnsi="Times New Roman Regular" w:cs="Times New Roman Regular"/>
                <w:vertAlign w:val="superscript"/>
                <w:lang w:eastAsia="zh-CN"/>
              </w:rPr>
              <w:t>a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 xml:space="preserve"> (95%CI)</w:t>
            </w:r>
          </w:p>
        </w:tc>
        <w:tc>
          <w:tcPr>
            <w:tcW w:w="1870" w:type="dxa"/>
            <w:tcBorders>
              <w:top w:val="nil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P</w:t>
            </w:r>
          </w:p>
        </w:tc>
        <w:tc>
          <w:tcPr>
            <w:tcW w:w="396" w:type="dxa"/>
            <w:vMerge w:val="continue"/>
            <w:tcBorders>
              <w:top w:val="nil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op w:val="nil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HR (95%CI)</w:t>
            </w:r>
          </w:p>
        </w:tc>
        <w:tc>
          <w:tcPr>
            <w:tcW w:w="1941" w:type="dxa"/>
            <w:tcBorders>
              <w:top w:val="nil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P</w:t>
            </w:r>
          </w:p>
        </w:tc>
        <w:tc>
          <w:tcPr>
            <w:tcW w:w="1932" w:type="dxa"/>
            <w:vMerge w:val="continue"/>
            <w:tcBorders>
              <w:top w:val="nil"/>
              <w:bottom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</w:tr>
      <w:tr>
        <w:tc>
          <w:tcPr>
            <w:tcW w:w="2292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eastAsia="DengXian" w:cs="Times New Roman Bold"/>
                <w:b/>
                <w:bCs/>
              </w:rPr>
              <w:t>Education level</w:t>
            </w:r>
          </w:p>
        </w:tc>
        <w:tc>
          <w:tcPr>
            <w:tcW w:w="1912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870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396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41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32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4"/>
                <w:vertAlign w:val="baseline"/>
                <w:lang w:eastAsia="zh-CN" w:bidi="ar-SA"/>
              </w:rPr>
              <w:t>0</w:t>
            </w: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4"/>
                <w:vertAlign w:val="baseline"/>
                <w:lang w:val="en-US" w:eastAsia="zh-Hans" w:bidi="ar-SA"/>
              </w:rPr>
              <w:t>.</w:t>
            </w: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4"/>
                <w:vertAlign w:val="baseline"/>
                <w:lang w:eastAsia="zh-Hans" w:bidi="ar-SA"/>
              </w:rPr>
              <w:t>123</w:t>
            </w: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DengXian" w:cs="Times New Roman Regular"/>
              </w:rPr>
              <w:t xml:space="preserve">Bachelors and above </w:t>
            </w:r>
          </w:p>
        </w:tc>
        <w:tc>
          <w:tcPr>
            <w:tcW w:w="191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87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39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eastAsia="zh-CN" w:bidi="ar-SA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DengXian" w:cs="Times New Roman Regular"/>
              </w:rPr>
              <w:t>Below bachelors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1.27 (1.21-1.34)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1.23 (1.14-1.33)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eastAsia="PMingLiU" w:cs="Times New Roman Bold"/>
                <w:b/>
                <w:bCs/>
                <w:color w:val="000000"/>
              </w:rPr>
              <w:t>Marital status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4"/>
                <w:vertAlign w:val="baseline"/>
                <w:lang w:eastAsia="zh-CN" w:bidi="ar-SA"/>
              </w:rPr>
              <w:t>&lt;0.001</w:t>
            </w: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PMingLiU" w:cs="Times New Roman Regular"/>
                <w:color w:val="000000"/>
              </w:rPr>
              <w:t>Single</w:t>
            </w:r>
          </w:p>
        </w:tc>
        <w:tc>
          <w:tcPr>
            <w:tcW w:w="191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87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39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PMingLiU" w:cs="Times New Roman Regular"/>
                <w:color w:val="000000"/>
              </w:rPr>
              <w:t>Married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1.91 (1.80-2.03)</w:t>
            </w:r>
          </w:p>
        </w:tc>
        <w:tc>
          <w:tcPr>
            <w:tcW w:w="187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2.02 (1.83-2.22)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PMingLiU" w:cs="Times New Roman Regular"/>
                <w:color w:val="000000"/>
              </w:rPr>
              <w:t>Widowed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2.71 (2.41-3.04)</w:t>
            </w:r>
          </w:p>
        </w:tc>
        <w:tc>
          <w:tcPr>
            <w:tcW w:w="187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2.95 (2.58-3.36)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PMingLiU" w:cs="Times New Roman Regular"/>
                <w:color w:val="000000"/>
              </w:rPr>
              <w:t>Divorced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1.87 (1.59-2.02)</w:t>
            </w:r>
          </w:p>
        </w:tc>
        <w:tc>
          <w:tcPr>
            <w:tcW w:w="187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2</w:t>
            </w:r>
            <w:r>
              <w:rPr>
                <w:rFonts w:hint="eastAsia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27 (1.88-2.75)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vertAlign w:val="baseline"/>
                <w:lang w:eastAsia="zh-CN"/>
              </w:rPr>
              <w:t>Smoking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 w:firstLine="105" w:firstLineChars="50"/>
              <w:jc w:val="left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No</w:t>
            </w:r>
          </w:p>
        </w:tc>
        <w:tc>
          <w:tcPr>
            <w:tcW w:w="191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87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39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 w:firstLine="105" w:firstLineChars="50"/>
              <w:jc w:val="left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Yes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01 (0.99-1.04)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0.261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</w:t>
            </w:r>
            <w:r>
              <w:rPr>
                <w:rFonts w:hint="eastAsia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65 (0.61-0.69)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vertAlign w:val="baseline"/>
                <w:lang w:eastAsia="zh-CN"/>
              </w:rPr>
              <w:t>Drinking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 w:firstLine="105" w:firstLineChars="50"/>
              <w:jc w:val="left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No</w:t>
            </w:r>
          </w:p>
        </w:tc>
        <w:tc>
          <w:tcPr>
            <w:tcW w:w="191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87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39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 w:firstLine="105" w:firstLineChars="50"/>
              <w:jc w:val="left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Yes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1.05 (1.02-1.09)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0.86 (0.82-0.91)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1167"/>
              </w:tabs>
              <w:bidi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vertAlign w:val="baseline"/>
                <w:lang w:eastAsia="zh-CN"/>
              </w:rPr>
              <w:t>BMI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</w:t>
            </w:r>
            <w:r>
              <w:rPr>
                <w:rFonts w:hint="eastAsia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011</w:t>
            </w: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PMingLiU" w:cs="Times New Roman Regular"/>
                <w:color w:val="000000"/>
              </w:rPr>
              <w:t>&lt;18.5</w:t>
            </w:r>
          </w:p>
        </w:tc>
        <w:tc>
          <w:tcPr>
            <w:tcW w:w="191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87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39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PMingLiU" w:cs="Times New Roman Regular"/>
                <w:color w:val="000000"/>
              </w:rPr>
              <w:t>18.5~23.9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0.97 (0.91-1.03)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0.295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0.97 (0.92-1.03)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0.284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PMingLiU" w:cs="Times New Roman Regular"/>
                <w:color w:val="000000"/>
              </w:rPr>
              <w:t>24~27.9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eastAsia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09 (1.02-1.17)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0.008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1.10 (1.03-1.16)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0.003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PMingLiU" w:cs="Times New Roman Regular"/>
                <w:color w:val="000000"/>
              </w:rPr>
              <w:t>≥28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1.12 (1.03-1.22)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0.007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1.14 (1.05-1.24)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0.002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eastAsia="DengXian" w:cs="Times New Roman Bold"/>
                <w:b/>
                <w:bCs/>
                <w:szCs w:val="24"/>
                <w:lang w:eastAsia="zh-CN"/>
              </w:rPr>
              <w:t>Physical activity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</w:t>
            </w:r>
            <w:r>
              <w:rPr>
                <w:rFonts w:hint="eastAsia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248</w:t>
            </w: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default" w:ascii="Times New Roman Regular" w:hAnsi="Times New Roman Regular" w:eastAsia="DengXian" w:cs="Times New Roman Regular"/>
                <w:b/>
                <w:bCs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eastAsia="PMingLiU" w:cs="Times New Roman Regular"/>
                <w:color w:val="000000"/>
                <w:szCs w:val="24"/>
              </w:rPr>
              <w:t>Never</w:t>
            </w:r>
          </w:p>
        </w:tc>
        <w:tc>
          <w:tcPr>
            <w:tcW w:w="191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87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39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00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f.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default" w:ascii="Times New Roman Regular" w:hAnsi="Times New Roman Regular" w:eastAsia="DengXian" w:cs="Times New Roman Regular"/>
                <w:b/>
                <w:bCs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eastAsia="PMingLiU" w:cs="Times New Roman Regular"/>
                <w:color w:val="000000"/>
                <w:szCs w:val="24"/>
              </w:rPr>
              <w:t>Monthly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0.81 (0.77-0.86)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0.80 (0.75-0.85)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5" w:firstLineChars="50"/>
              <w:rPr>
                <w:rFonts w:hint="default" w:ascii="Times New Roman Regular" w:hAnsi="Times New Roman Regular" w:eastAsia="DengXian" w:cs="Times New Roman Regular"/>
                <w:b/>
                <w:bCs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eastAsia="PMingLiU" w:cs="Times New Roman Regular"/>
                <w:color w:val="000000"/>
                <w:szCs w:val="24"/>
              </w:rPr>
              <w:t>Weekly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0.72 (0.68-0.76)</w:t>
            </w: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0.71 (0.66-0.75)</w:t>
            </w: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 Regular" w:hAnsi="Times New Roman Regular" w:eastAsia="DengXian" w:cs="Times New Roman Regular"/>
                <w:b/>
                <w:bCs/>
                <w:szCs w:val="24"/>
                <w:lang w:eastAsia="zh-CN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Chronic disease history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8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0" w:firstLineChars="50"/>
              <w:rPr>
                <w:rFonts w:hint="default" w:ascii="Times New Roman Regular" w:hAnsi="Times New Roman Regular" w:eastAsia="DengXian" w:cs="Times New Roman Regular"/>
                <w:b/>
                <w:bCs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Hypertension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1.86 (1.81-1.90)</w:t>
            </w:r>
          </w:p>
        </w:tc>
        <w:tc>
          <w:tcPr>
            <w:tcW w:w="187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2.16 (2.10-2.23)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0" w:firstLineChars="50"/>
              <w:rPr>
                <w:rFonts w:hint="default" w:ascii="Times New Roman Regular" w:hAnsi="Times New Roman Regular" w:eastAsia="DengXian" w:cs="Times New Roman Regular"/>
                <w:b/>
                <w:bCs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eastAsia="zh-Hans" w:bidi="ar"/>
              </w:rPr>
              <w:t>Diabetes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1.18 (1.14-1.22)</w:t>
            </w:r>
          </w:p>
        </w:tc>
        <w:tc>
          <w:tcPr>
            <w:tcW w:w="187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1.37 (1.32-1.42)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0" w:firstLineChars="50"/>
              <w:rPr>
                <w:rFonts w:hint="default" w:ascii="Times New Roman Regular" w:hAnsi="Times New Roman Regular" w:eastAsia="DengXian" w:cs="Times New Roman Regular"/>
                <w:b/>
                <w:bCs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Cardiovascular disease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1.29 (1.18-1.41)</w:t>
            </w:r>
          </w:p>
        </w:tc>
        <w:tc>
          <w:tcPr>
            <w:tcW w:w="187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1.33 (1.19-1.48)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</w:tr>
      <w:tr>
        <w:tc>
          <w:tcPr>
            <w:tcW w:w="22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00" w:firstLineChars="50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eastAsia="zh-Hans" w:bidi="ar"/>
              </w:rPr>
              <w:t>Hyperlipidemia</w:t>
            </w:r>
          </w:p>
        </w:tc>
        <w:tc>
          <w:tcPr>
            <w:tcW w:w="19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1.50 (1.41-1.59)</w:t>
            </w:r>
          </w:p>
        </w:tc>
        <w:tc>
          <w:tcPr>
            <w:tcW w:w="187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1.51 (1.43-1.60)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CN"/>
              </w:rPr>
              <w:t>&lt;0.001</w:t>
            </w: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Abbreviation: HR, hazard ratio; Ref. Reference.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  <w:t>a. Multivariable hazard Cox regression models were used to calculate adjusted hazard ratio (HR) with stratification jointly by age-at-risk groups (in 5-year intervals);</w:t>
      </w:r>
    </w:p>
    <w:p>
      <w:pPr>
        <w:keepNext w:val="0"/>
        <w:keepLines w:val="0"/>
        <w:widowControl/>
        <w:suppressLineNumbers w:val="0"/>
        <w:jc w:val="left"/>
        <w:rPr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b. </w:t>
      </w:r>
      <w:r>
        <w:rPr>
          <w:rFonts w:hint="default" w:ascii="Times New Roman Regular" w:hAnsi="Times New Roman Regular" w:eastAsia="宋体" w:cs="Times New Roman Regular"/>
          <w:kern w:val="2"/>
          <w:sz w:val="20"/>
          <w:szCs w:val="20"/>
          <w:lang w:val="en-US" w:eastAsia="zh-CN" w:bidi="ar"/>
        </w:rPr>
        <w:t>Likelihood ratio tests were implemented for the interaction, comparing models with or without interaction terms</w:t>
      </w:r>
      <w:r>
        <w:rPr>
          <w:rFonts w:hint="default" w:ascii="Times New Roman Regular" w:hAnsi="Times New Roman Regular" w:eastAsia="宋体" w:cs="Times New Roman Regular"/>
          <w:kern w:val="2"/>
          <w:sz w:val="20"/>
          <w:szCs w:val="20"/>
          <w:lang w:eastAsia="zh-CN" w:bidi="ar"/>
        </w:rPr>
        <w:t>.</w:t>
      </w: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PMingLiU">
    <w:altName w:val="宋体-繁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F74505"/>
    <w:rsid w:val="17C74E37"/>
    <w:rsid w:val="1E4ED7E9"/>
    <w:rsid w:val="3B5F7786"/>
    <w:rsid w:val="3DFA35BD"/>
    <w:rsid w:val="5AF74505"/>
    <w:rsid w:val="5ED15EAE"/>
    <w:rsid w:val="5F379CE0"/>
    <w:rsid w:val="69E2B407"/>
    <w:rsid w:val="6BDBE482"/>
    <w:rsid w:val="6FDF2A27"/>
    <w:rsid w:val="723D2AFD"/>
    <w:rsid w:val="779505A7"/>
    <w:rsid w:val="7AFB77BA"/>
    <w:rsid w:val="7FF71C08"/>
    <w:rsid w:val="B43A78AD"/>
    <w:rsid w:val="DD5F44C3"/>
    <w:rsid w:val="E7FB3A71"/>
    <w:rsid w:val="EA7F61E8"/>
    <w:rsid w:val="F7AA2B6C"/>
    <w:rsid w:val="FDB4B8C2"/>
    <w:rsid w:val="FFF2B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DengXian" w:hAnsi="DengXian" w:eastAsia="DengXian" w:cs="DengXi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DengXian" w:hAnsi="DengXian" w:eastAsia="DengXian" w:cs="DengXian"/>
      <w:kern w:val="2"/>
      <w:sz w:val="21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annotation reference"/>
    <w:basedOn w:val="6"/>
    <w:qFormat/>
    <w:uiPriority w:val="0"/>
    <w:rPr>
      <w:sz w:val="18"/>
      <w:szCs w:val="18"/>
    </w:rPr>
  </w:style>
  <w:style w:type="character" w:customStyle="1" w:styleId="9">
    <w:name w:val="font11"/>
    <w:basedOn w:val="6"/>
    <w:qFormat/>
    <w:uiPriority w:val="0"/>
    <w:rPr>
      <w:rFonts w:ascii="DengXian" w:hAnsi="DengXian" w:eastAsia="DengXian" w:cs="DengXian"/>
      <w:color w:val="000000"/>
      <w:sz w:val="21"/>
      <w:szCs w:val="21"/>
      <w:u w:val="none"/>
    </w:rPr>
  </w:style>
  <w:style w:type="character" w:customStyle="1" w:styleId="10">
    <w:name w:val="font01"/>
    <w:basedOn w:val="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2022-10-15T05:14:00Z</dcterms:created>
  <dc:creator>vincentruan</dc:creator>
  <cp:lastModifiedBy>阮小烈</cp:lastModifiedBy>
  <dcterms:modified xsi:type="dcterms:W3CDTF">2024-01-09T00:01:16Z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627CC89F9108066A2651D6631BA77D02</vt:lpwstr>
  </property>
</Properties>
</file>