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53BD3" w14:textId="77777777" w:rsidR="00C14BB3" w:rsidRPr="00262B59" w:rsidRDefault="00000000">
      <w:pPr>
        <w:rPr>
          <w:rFonts w:ascii="Times New Roman" w:hAnsi="Times New Roman" w:cs="Times New Roman"/>
          <w:b/>
          <w:bCs/>
          <w:sz w:val="24"/>
        </w:rPr>
      </w:pPr>
      <w:bookmarkStart w:id="0" w:name="_Hlk157500354"/>
      <w:r w:rsidRPr="00262B59">
        <w:rPr>
          <w:rFonts w:ascii="Times New Roman" w:hAnsi="Times New Roman" w:cs="Times New Roman"/>
          <w:b/>
          <w:bCs/>
          <w:sz w:val="24"/>
        </w:rPr>
        <w:t>Supplementary</w:t>
      </w:r>
      <w:bookmarkEnd w:id="0"/>
      <w:r w:rsidRPr="00262B59">
        <w:rPr>
          <w:rFonts w:ascii="Times New Roman" w:hAnsi="Times New Roman" w:cs="Times New Roman"/>
          <w:b/>
          <w:bCs/>
          <w:sz w:val="24"/>
        </w:rPr>
        <w:t xml:space="preserve"> files</w:t>
      </w:r>
    </w:p>
    <w:p w14:paraId="0814FAAD" w14:textId="77777777" w:rsidR="00C14BB3" w:rsidRPr="00262B59" w:rsidRDefault="00C14BB3">
      <w:pPr>
        <w:rPr>
          <w:rFonts w:ascii="Times New Roman" w:hAnsi="Times New Roman" w:cs="Times New Roman"/>
          <w:b/>
          <w:bCs/>
          <w:sz w:val="24"/>
        </w:rPr>
      </w:pPr>
    </w:p>
    <w:p w14:paraId="5373C79A" w14:textId="03D18770" w:rsidR="00F21592" w:rsidRDefault="00000000">
      <w:pPr>
        <w:rPr>
          <w:rFonts w:ascii="Times New Roman" w:hAnsi="Times New Roman" w:cs="Times New Roman"/>
          <w:b/>
          <w:bCs/>
          <w:sz w:val="24"/>
        </w:rPr>
      </w:pPr>
      <w:r w:rsidRPr="00262B59">
        <w:rPr>
          <w:rFonts w:ascii="Times New Roman" w:hAnsi="Times New Roman" w:cs="Times New Roman"/>
          <w:b/>
          <w:bCs/>
          <w:sz w:val="24"/>
        </w:rPr>
        <w:t>Methods</w:t>
      </w:r>
    </w:p>
    <w:p w14:paraId="7202922C" w14:textId="77777777" w:rsidR="00F21592" w:rsidRDefault="00F21592" w:rsidP="00F21592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Tissue microarray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and i</w:t>
      </w:r>
      <w:r>
        <w:rPr>
          <w:rFonts w:ascii="Times New Roman" w:hAnsi="Times New Roman" w:cs="Times New Roman"/>
          <w:b/>
          <w:bCs/>
          <w:sz w:val="24"/>
        </w:rPr>
        <w:t>mmunohistochemistry</w:t>
      </w:r>
    </w:p>
    <w:p w14:paraId="67AE8736" w14:textId="78CDEDF2" w:rsidR="00F21592" w:rsidRDefault="00F21592" w:rsidP="00F2159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Breast cancer</w:t>
      </w:r>
      <w:r>
        <w:rPr>
          <w:rFonts w:ascii="Times New Roman" w:hAnsi="Times New Roman" w:cs="Times New Roman"/>
          <w:sz w:val="24"/>
        </w:rPr>
        <w:t xml:space="preserve"> tumor tissue microarray</w:t>
      </w:r>
      <w:r>
        <w:rPr>
          <w:rFonts w:ascii="Times New Roman" w:hAnsi="Times New Roman" w:cs="Times New Roman"/>
          <w:color w:val="24202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(TMA) HBreD030PG01 supplied by Outdo Biotech (Shanghai, China) contained 30 cancer cases with different </w:t>
      </w:r>
      <w:r w:rsidR="00A40122" w:rsidRPr="00B64205">
        <w:rPr>
          <w:rFonts w:ascii="Times New Roman" w:hAnsi="Times New Roman" w:cs="Times New Roman"/>
          <w:sz w:val="24"/>
        </w:rPr>
        <w:t>Nottingham grade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I</w:t>
      </w:r>
      <w:r>
        <w:rPr>
          <w:rFonts w:ascii="Times New Roman" w:hAnsi="Times New Roman" w:cs="Times New Roman" w:hint="eastAsia"/>
          <w:sz w:val="24"/>
        </w:rPr>
        <w:t>-</w:t>
      </w:r>
      <w:r>
        <w:rPr>
          <w:rFonts w:ascii="Times New Roman" w:hAnsi="Times New Roman" w:cs="Times New Roman"/>
          <w:sz w:val="24"/>
        </w:rPr>
        <w:t>II</w:t>
      </w:r>
      <w:r w:rsidR="00A40122">
        <w:rPr>
          <w:rFonts w:ascii="Times New Roman" w:hAnsi="Times New Roman" w:cs="Times New Roman"/>
          <w:sz w:val="24"/>
        </w:rPr>
        <w:t>I</w:t>
      </w:r>
      <w:r>
        <w:rPr>
          <w:rFonts w:ascii="Times New Roman" w:hAnsi="Times New Roman" w:cs="Times New Roman" w:hint="eastAsia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Immunohistochemical (IHC) staining was conducted on sections of the </w:t>
      </w:r>
      <w:r>
        <w:rPr>
          <w:rFonts w:ascii="Times New Roman" w:hAnsi="Times New Roman" w:cs="Times New Roman" w:hint="eastAsia"/>
          <w:sz w:val="24"/>
        </w:rPr>
        <w:t>TMA</w:t>
      </w:r>
      <w:r>
        <w:rPr>
          <w:rFonts w:ascii="Times New Roman" w:hAnsi="Times New Roman" w:cs="Times New Roman"/>
          <w:sz w:val="24"/>
        </w:rPr>
        <w:t>. These sections were deparaffinized at 55</w:t>
      </w:r>
      <w:bookmarkStart w:id="1" w:name="OLE_LINK7"/>
      <w:r w:rsidR="00DC4A49">
        <w:rPr>
          <w:rFonts w:ascii="Times New Roman" w:hAnsi="Times New Roman" w:cs="Times New Roman" w:hint="eastAsia"/>
          <w:sz w:val="24"/>
        </w:rPr>
        <w:t>℃</w:t>
      </w:r>
      <w:bookmarkEnd w:id="1"/>
      <w:r>
        <w:rPr>
          <w:rFonts w:ascii="Times New Roman" w:hAnsi="Times New Roman" w:cs="Times New Roman"/>
          <w:sz w:val="24"/>
        </w:rPr>
        <w:t xml:space="preserve"> for 30 min, and then washed with xylene for 5 min three times. These sections were rehydrated by successive washes in 100%, 90%, and 70% graded ethanol. Hydrogen peroxidase (0.3%, ZSGB-Bio, Beijing, China) was applied to intercept endogenous peroxidase activity for 20 min. The primary antibody applied for IHC staining was anti-ALDH2</w:t>
      </w:r>
      <w:r>
        <w:rPr>
          <w:rFonts w:ascii="Times New Roman" w:hAnsi="Times New Roman" w:cs="Times New Roman" w:hint="eastAsia"/>
          <w:sz w:val="24"/>
        </w:rPr>
        <w:t xml:space="preserve"> (1</w:t>
      </w:r>
      <w:r>
        <w:rPr>
          <w:rFonts w:ascii="Times New Roman" w:hAnsi="Times New Roman" w:cs="Times New Roman"/>
          <w:sz w:val="24"/>
        </w:rPr>
        <w:t xml:space="preserve">:300 dilution, Cat no. 15310-1-AP, </w:t>
      </w:r>
      <w:proofErr w:type="spellStart"/>
      <w:r>
        <w:rPr>
          <w:rFonts w:ascii="Times New Roman" w:hAnsi="Times New Roman" w:cs="Times New Roman"/>
          <w:sz w:val="24"/>
        </w:rPr>
        <w:t>ProteinTech</w:t>
      </w:r>
      <w:proofErr w:type="spellEnd"/>
      <w:r>
        <w:rPr>
          <w:rFonts w:ascii="Times New Roman" w:hAnsi="Times New Roman" w:cs="Times New Roman" w:hint="eastAsia"/>
          <w:sz w:val="24"/>
        </w:rPr>
        <w:t>, Wuhan, China</w:t>
      </w:r>
      <w:r>
        <w:rPr>
          <w:rFonts w:ascii="Times New Roman" w:hAnsi="Times New Roman" w:cs="Times New Roman"/>
          <w:sz w:val="24"/>
        </w:rPr>
        <w:t xml:space="preserve">), followed by subsequent incubation with the corresponding secondary antibodies at room temperature (RT) for 30 min. The positive rate of ALDH2 expression </w:t>
      </w:r>
      <w:r>
        <w:rPr>
          <w:rFonts w:ascii="Times New Roman" w:hAnsi="Times New Roman" w:cs="Times New Roman" w:hint="eastAsia"/>
          <w:sz w:val="24"/>
        </w:rPr>
        <w:t>wa</w:t>
      </w:r>
      <w:r>
        <w:rPr>
          <w:rFonts w:ascii="Times New Roman" w:hAnsi="Times New Roman" w:cs="Times New Roman"/>
          <w:sz w:val="24"/>
        </w:rPr>
        <w:t>s calculated by "IHC tool box" in ImageJ.</w:t>
      </w:r>
    </w:p>
    <w:p w14:paraId="44C26DFE" w14:textId="77777777" w:rsidR="00F21592" w:rsidRPr="00F21592" w:rsidRDefault="00F21592">
      <w:pPr>
        <w:rPr>
          <w:rFonts w:ascii="Times New Roman" w:hAnsi="Times New Roman" w:cs="Times New Roman"/>
          <w:b/>
          <w:bCs/>
          <w:sz w:val="24"/>
        </w:rPr>
      </w:pPr>
    </w:p>
    <w:p w14:paraId="109518B0" w14:textId="77777777" w:rsidR="00C14BB3" w:rsidRPr="00262B59" w:rsidRDefault="00000000">
      <w:pPr>
        <w:rPr>
          <w:rFonts w:ascii="Times New Roman" w:hAnsi="Times New Roman" w:cs="Times New Roman"/>
          <w:b/>
          <w:bCs/>
          <w:sz w:val="24"/>
          <w:highlight w:val="yellow"/>
        </w:rPr>
      </w:pPr>
      <w:r w:rsidRPr="00262B59">
        <w:rPr>
          <w:rFonts w:ascii="Times New Roman" w:hAnsi="Times New Roman" w:cs="Times New Roman"/>
          <w:b/>
          <w:bCs/>
          <w:sz w:val="24"/>
        </w:rPr>
        <w:t xml:space="preserve">Immunofluorescence </w:t>
      </w:r>
    </w:p>
    <w:p w14:paraId="42E0CEDC" w14:textId="77777777" w:rsidR="00C14BB3" w:rsidRPr="00262B59" w:rsidRDefault="00000000">
      <w:pPr>
        <w:rPr>
          <w:rFonts w:ascii="Times New Roman" w:hAnsi="Times New Roman" w:cs="Times New Roman"/>
          <w:sz w:val="24"/>
        </w:rPr>
      </w:pPr>
      <w:r w:rsidRPr="00262B59">
        <w:rPr>
          <w:rFonts w:ascii="Times New Roman" w:hAnsi="Times New Roman" w:cs="Times New Roman"/>
          <w:sz w:val="24"/>
        </w:rPr>
        <w:t xml:space="preserve">Coverslips were immersed in a cell medium to allow cells to attach and grow, and then they were washed with PBS three times for 5 min each time. Paraformaldehyde (4%) was applied to fix the cells on the coverslips for 20 min at room temperature (RT). The coverslips were washed with PBS three times for 3 min each time. Then, the coverslips were incubated with blocker buffer containing Triton X-100 for 1 h. The coverslips were washed with PBS three times for 3 min each time. After that, anti-ALDH2 antibody (1:1000 dilution, </w:t>
      </w:r>
      <w:bookmarkStart w:id="2" w:name="OLE_LINK6"/>
      <w:r w:rsidRPr="00262B59">
        <w:rPr>
          <w:rFonts w:ascii="Times New Roman" w:hAnsi="Times New Roman" w:cs="Times New Roman"/>
          <w:sz w:val="24"/>
        </w:rPr>
        <w:t>Cat no.</w:t>
      </w:r>
      <w:bookmarkEnd w:id="2"/>
      <w:r w:rsidRPr="00262B59">
        <w:rPr>
          <w:rFonts w:ascii="Times New Roman" w:hAnsi="Times New Roman" w:cs="Times New Roman"/>
          <w:sz w:val="24"/>
        </w:rPr>
        <w:t xml:space="preserve"> 15310-1-AP, </w:t>
      </w:r>
      <w:proofErr w:type="spellStart"/>
      <w:r w:rsidRPr="00262B59">
        <w:rPr>
          <w:rFonts w:ascii="Times New Roman" w:hAnsi="Times New Roman" w:cs="Times New Roman"/>
          <w:sz w:val="24"/>
        </w:rPr>
        <w:t>ProteinTech</w:t>
      </w:r>
      <w:proofErr w:type="spellEnd"/>
      <w:r w:rsidRPr="00262B59">
        <w:rPr>
          <w:rFonts w:ascii="Times New Roman" w:hAnsi="Times New Roman" w:cs="Times New Roman"/>
          <w:sz w:val="24"/>
        </w:rPr>
        <w:t xml:space="preserve">, Wuhan, China) were added for 1.5 h at RT. Then the coverslips were washed with PBS twice and incubated with corresponding second antibodies (anti-rabbit IgG, 1:250 dilution, </w:t>
      </w:r>
      <w:proofErr w:type="spellStart"/>
      <w:r w:rsidRPr="00262B59">
        <w:rPr>
          <w:rFonts w:ascii="Times New Roman" w:hAnsi="Times New Roman" w:cs="Times New Roman"/>
          <w:sz w:val="24"/>
        </w:rPr>
        <w:t>ProteinTech</w:t>
      </w:r>
      <w:proofErr w:type="spellEnd"/>
      <w:r w:rsidRPr="00262B59">
        <w:rPr>
          <w:rFonts w:ascii="Times New Roman" w:hAnsi="Times New Roman" w:cs="Times New Roman"/>
          <w:sz w:val="24"/>
        </w:rPr>
        <w:t xml:space="preserve">) and Rhodamine Phalloidin (1:250 dilution, Cat no. 40734ES75, </w:t>
      </w:r>
      <w:bookmarkStart w:id="3" w:name="OLE_LINK9"/>
      <w:r w:rsidRPr="00262B59">
        <w:rPr>
          <w:rFonts w:ascii="Times New Roman" w:hAnsi="Times New Roman" w:cs="Times New Roman"/>
          <w:sz w:val="24"/>
        </w:rPr>
        <w:t>Yesen</w:t>
      </w:r>
      <w:bookmarkEnd w:id="3"/>
      <w:r w:rsidRPr="00262B59">
        <w:rPr>
          <w:rFonts w:ascii="Times New Roman" w:hAnsi="Times New Roman" w:cs="Times New Roman"/>
          <w:sz w:val="24"/>
        </w:rPr>
        <w:t xml:space="preserve">, Shanghai, China) at RT for 45 min. Next, the coverslips were washed with PBS and stained with DAPI. The images were acquired using a laser scanning confocal microscope (LSM710, Zeiss, </w:t>
      </w:r>
      <w:proofErr w:type="spellStart"/>
      <w:r w:rsidRPr="00262B59">
        <w:rPr>
          <w:rFonts w:ascii="Times New Roman" w:hAnsi="Times New Roman" w:cs="Times New Roman"/>
          <w:sz w:val="24"/>
        </w:rPr>
        <w:lastRenderedPageBreak/>
        <w:t>Oberkochen</w:t>
      </w:r>
      <w:proofErr w:type="spellEnd"/>
      <w:r w:rsidRPr="00262B59">
        <w:rPr>
          <w:rFonts w:ascii="Times New Roman" w:hAnsi="Times New Roman" w:cs="Times New Roman"/>
          <w:sz w:val="24"/>
        </w:rPr>
        <w:t>, Germany).</w:t>
      </w:r>
    </w:p>
    <w:p w14:paraId="456CAD3B" w14:textId="77777777" w:rsidR="00C14BB3" w:rsidRPr="00262B59" w:rsidRDefault="00C14BB3">
      <w:pPr>
        <w:rPr>
          <w:rFonts w:ascii="Times New Roman" w:hAnsi="Times New Roman" w:cs="Times New Roman"/>
          <w:sz w:val="24"/>
        </w:rPr>
      </w:pPr>
    </w:p>
    <w:p w14:paraId="753E8C11" w14:textId="77777777" w:rsidR="00C14BB3" w:rsidRDefault="00000000">
      <w:pPr>
        <w:rPr>
          <w:rFonts w:ascii="Times New Roman" w:hAnsi="Times New Roman" w:cs="Times New Roman"/>
          <w:b/>
          <w:bCs/>
          <w:sz w:val="24"/>
        </w:rPr>
      </w:pPr>
      <w:r w:rsidRPr="00262B59">
        <w:rPr>
          <w:rFonts w:ascii="Times New Roman" w:hAnsi="Times New Roman" w:cs="Times New Roman"/>
          <w:b/>
          <w:bCs/>
          <w:sz w:val="24"/>
        </w:rPr>
        <w:t>Figure legend</w:t>
      </w:r>
    </w:p>
    <w:p w14:paraId="57B8188A" w14:textId="6E22C79C" w:rsidR="00262B59" w:rsidRPr="00262B59" w:rsidRDefault="00262B59" w:rsidP="00262B59">
      <w:pPr>
        <w:numPr>
          <w:ilvl w:val="255"/>
          <w:numId w:val="0"/>
        </w:numPr>
        <w:rPr>
          <w:rFonts w:ascii="Times New Roman" w:hAnsi="Times New Roman" w:cs="Times New Roman"/>
          <w:sz w:val="24"/>
        </w:rPr>
      </w:pPr>
      <w:r w:rsidRPr="00262B59">
        <w:rPr>
          <w:rFonts w:ascii="Times New Roman" w:hAnsi="Times New Roman" w:cs="Times New Roman"/>
          <w:sz w:val="24"/>
        </w:rPr>
        <w:t xml:space="preserve">Figure </w:t>
      </w:r>
      <w:r>
        <w:rPr>
          <w:rFonts w:ascii="Times New Roman" w:hAnsi="Times New Roman" w:cs="Times New Roman"/>
          <w:sz w:val="24"/>
        </w:rPr>
        <w:t>S1</w:t>
      </w:r>
      <w:r w:rsidRPr="00262B59">
        <w:rPr>
          <w:rFonts w:ascii="Times New Roman" w:hAnsi="Times New Roman" w:cs="Times New Roman"/>
          <w:sz w:val="24"/>
        </w:rPr>
        <w:t xml:space="preserve">. Tissue microarray staining of ALDH2 in breast cancer. </w:t>
      </w:r>
    </w:p>
    <w:p w14:paraId="4C9259E6" w14:textId="48EE4162" w:rsidR="00262B59" w:rsidRPr="00262B59" w:rsidRDefault="00B64205" w:rsidP="00262B59">
      <w:pPr>
        <w:numPr>
          <w:ilvl w:val="255"/>
          <w:numId w:val="0"/>
        </w:numPr>
        <w:rPr>
          <w:rFonts w:ascii="Times New Roman" w:hAnsi="Times New Roman" w:cs="Times New Roman"/>
          <w:sz w:val="24"/>
        </w:rPr>
      </w:pPr>
      <w:r w:rsidRPr="00262B59">
        <w:rPr>
          <w:rFonts w:ascii="Times New Roman" w:hAnsi="Times New Roman" w:cs="Times New Roman"/>
          <w:sz w:val="24"/>
        </w:rPr>
        <w:t xml:space="preserve">The </w:t>
      </w:r>
      <w:r w:rsidRPr="00B64205">
        <w:rPr>
          <w:rFonts w:ascii="Times New Roman" w:hAnsi="Times New Roman" w:cs="Times New Roman"/>
          <w:sz w:val="24"/>
        </w:rPr>
        <w:t>Nottingham grade</w:t>
      </w:r>
      <w:r>
        <w:rPr>
          <w:rFonts w:ascii="Times New Roman" w:hAnsi="Times New Roman" w:cs="Times New Roman"/>
          <w:sz w:val="24"/>
        </w:rPr>
        <w:t>s</w:t>
      </w:r>
      <w:r w:rsidRPr="00262B59">
        <w:rPr>
          <w:rFonts w:ascii="Times New Roman" w:hAnsi="Times New Roman" w:cs="Times New Roman"/>
          <w:sz w:val="24"/>
        </w:rPr>
        <w:t xml:space="preserve"> of </w:t>
      </w:r>
      <w:r w:rsidR="00262B59" w:rsidRPr="00262B59">
        <w:rPr>
          <w:rFonts w:ascii="Times New Roman" w:hAnsi="Times New Roman" w:cs="Times New Roman"/>
          <w:sz w:val="24"/>
        </w:rPr>
        <w:t xml:space="preserve">A02~A08, B01~B08 and C01 are </w:t>
      </w:r>
      <w:r w:rsidRPr="00B64205">
        <w:rPr>
          <w:rFonts w:ascii="Times New Roman" w:hAnsi="Times New Roman" w:cs="Times New Roman"/>
          <w:sz w:val="24"/>
        </w:rPr>
        <w:t>grade</w:t>
      </w:r>
      <w:r w:rsidR="00262B59" w:rsidRPr="00262B59">
        <w:rPr>
          <w:rFonts w:ascii="Times New Roman" w:hAnsi="Times New Roman" w:cs="Times New Roman"/>
          <w:sz w:val="24"/>
        </w:rPr>
        <w:t xml:space="preserve"> II. </w:t>
      </w:r>
      <w:r w:rsidR="00F21592" w:rsidRPr="00262B59">
        <w:rPr>
          <w:rFonts w:ascii="Times New Roman" w:hAnsi="Times New Roman" w:cs="Times New Roman"/>
          <w:sz w:val="24"/>
        </w:rPr>
        <w:t xml:space="preserve">C08 and D01~D05 are </w:t>
      </w:r>
      <w:r w:rsidRPr="00B64205">
        <w:rPr>
          <w:rFonts w:ascii="Times New Roman" w:hAnsi="Times New Roman" w:cs="Times New Roman"/>
          <w:sz w:val="24"/>
        </w:rPr>
        <w:t>grade</w:t>
      </w:r>
      <w:r w:rsidR="00F21592">
        <w:rPr>
          <w:rFonts w:ascii="Times New Roman" w:hAnsi="Times New Roman" w:cs="Times New Roman"/>
          <w:sz w:val="24"/>
        </w:rPr>
        <w:t xml:space="preserve"> </w:t>
      </w:r>
      <w:r w:rsidR="00C05443">
        <w:rPr>
          <w:rFonts w:ascii="Times New Roman" w:hAnsi="Times New Roman" w:cs="Times New Roman"/>
          <w:sz w:val="24"/>
        </w:rPr>
        <w:t>III</w:t>
      </w:r>
      <w:r w:rsidR="00F21592" w:rsidRPr="00262B59">
        <w:rPr>
          <w:rFonts w:ascii="Times New Roman" w:hAnsi="Times New Roman" w:cs="Times New Roman"/>
          <w:sz w:val="24"/>
        </w:rPr>
        <w:t>.</w:t>
      </w:r>
      <w:r w:rsidR="00F21592">
        <w:rPr>
          <w:rFonts w:ascii="Times New Roman" w:hAnsi="Times New Roman" w:cs="Times New Roman"/>
          <w:sz w:val="24"/>
        </w:rPr>
        <w:t xml:space="preserve"> </w:t>
      </w:r>
      <w:r w:rsidRPr="00262B59">
        <w:rPr>
          <w:rFonts w:ascii="Times New Roman" w:hAnsi="Times New Roman" w:cs="Times New Roman"/>
          <w:sz w:val="24"/>
        </w:rPr>
        <w:t xml:space="preserve">The </w:t>
      </w:r>
      <w:r w:rsidRPr="00B64205">
        <w:rPr>
          <w:rFonts w:ascii="Times New Roman" w:hAnsi="Times New Roman" w:cs="Times New Roman"/>
          <w:sz w:val="24"/>
        </w:rPr>
        <w:t>Nottingham grade</w:t>
      </w:r>
      <w:r>
        <w:rPr>
          <w:rFonts w:ascii="Times New Roman" w:hAnsi="Times New Roman" w:cs="Times New Roman"/>
          <w:sz w:val="24"/>
        </w:rPr>
        <w:t>s</w:t>
      </w:r>
      <w:r w:rsidRPr="00262B59">
        <w:rPr>
          <w:rFonts w:ascii="Times New Roman" w:hAnsi="Times New Roman" w:cs="Times New Roman"/>
          <w:sz w:val="24"/>
        </w:rPr>
        <w:t xml:space="preserve"> of A01</w:t>
      </w:r>
      <w:r>
        <w:rPr>
          <w:rFonts w:ascii="Times New Roman" w:hAnsi="Times New Roman" w:cs="Times New Roman"/>
          <w:sz w:val="24"/>
        </w:rPr>
        <w:t xml:space="preserve"> and </w:t>
      </w:r>
      <w:r w:rsidRPr="00262B59">
        <w:rPr>
          <w:rFonts w:ascii="Times New Roman" w:hAnsi="Times New Roman" w:cs="Times New Roman"/>
          <w:sz w:val="24"/>
        </w:rPr>
        <w:t xml:space="preserve">C02~C07 </w:t>
      </w:r>
      <w:r>
        <w:rPr>
          <w:rFonts w:ascii="Times New Roman" w:hAnsi="Times New Roman" w:cs="Times New Roman"/>
          <w:sz w:val="24"/>
        </w:rPr>
        <w:t>are</w:t>
      </w:r>
      <w:r w:rsidRPr="00262B59">
        <w:rPr>
          <w:rFonts w:ascii="Times New Roman" w:hAnsi="Times New Roman" w:cs="Times New Roman"/>
          <w:sz w:val="24"/>
        </w:rPr>
        <w:t xml:space="preserve"> </w:t>
      </w:r>
      <w:r w:rsidRPr="00B64205">
        <w:rPr>
          <w:rFonts w:ascii="Times New Roman" w:hAnsi="Times New Roman" w:cs="Times New Roman"/>
          <w:sz w:val="24"/>
        </w:rPr>
        <w:t>grade</w:t>
      </w:r>
      <w:r w:rsidRPr="00262B59">
        <w:rPr>
          <w:rFonts w:ascii="Times New Roman" w:hAnsi="Times New Roman" w:cs="Times New Roman"/>
          <w:sz w:val="24"/>
        </w:rPr>
        <w:t xml:space="preserve"> I</w:t>
      </w:r>
      <w:r>
        <w:rPr>
          <w:rFonts w:ascii="Times New Roman" w:hAnsi="Times New Roman" w:cs="Times New Roman"/>
          <w:sz w:val="24"/>
        </w:rPr>
        <w:t xml:space="preserve"> and g</w:t>
      </w:r>
      <w:r w:rsidRPr="00B64205">
        <w:rPr>
          <w:rFonts w:ascii="Times New Roman" w:hAnsi="Times New Roman" w:cs="Times New Roman"/>
          <w:sz w:val="24"/>
        </w:rPr>
        <w:t>rade</w:t>
      </w:r>
      <w:r w:rsidR="00262B59" w:rsidRPr="00262B59">
        <w:rPr>
          <w:rFonts w:ascii="Times New Roman" w:hAnsi="Times New Roman" w:cs="Times New Roman"/>
          <w:sz w:val="24"/>
        </w:rPr>
        <w:t xml:space="preserve"> </w:t>
      </w:r>
      <w:r w:rsidR="00C05443" w:rsidRPr="00262B59">
        <w:rPr>
          <w:rFonts w:ascii="Times New Roman" w:hAnsi="Times New Roman" w:cs="Times New Roman"/>
          <w:sz w:val="24"/>
        </w:rPr>
        <w:t xml:space="preserve">II </w:t>
      </w:r>
      <w:r w:rsidR="00262B59" w:rsidRPr="00262B59">
        <w:rPr>
          <w:rFonts w:ascii="Times New Roman" w:hAnsi="Times New Roman" w:cs="Times New Roman"/>
          <w:sz w:val="24"/>
        </w:rPr>
        <w:t>-</w:t>
      </w:r>
      <w:r w:rsidR="00C05443" w:rsidRPr="00C05443">
        <w:rPr>
          <w:rFonts w:ascii="Times New Roman" w:hAnsi="Times New Roman" w:cs="Times New Roman"/>
          <w:sz w:val="24"/>
        </w:rPr>
        <w:t xml:space="preserve"> </w:t>
      </w:r>
      <w:r w:rsidR="00C05443">
        <w:rPr>
          <w:rFonts w:ascii="Times New Roman" w:hAnsi="Times New Roman" w:cs="Times New Roman"/>
          <w:sz w:val="24"/>
        </w:rPr>
        <w:t>III</w:t>
      </w:r>
      <w:r>
        <w:rPr>
          <w:rFonts w:ascii="Times New Roman" w:hAnsi="Times New Roman" w:cs="Times New Roman"/>
          <w:sz w:val="24"/>
        </w:rPr>
        <w:t>, respectively, which are</w:t>
      </w:r>
      <w:r w:rsidR="00F21592">
        <w:rPr>
          <w:rFonts w:ascii="Times New Roman" w:hAnsi="Times New Roman" w:cs="Times New Roman"/>
          <w:sz w:val="24"/>
        </w:rPr>
        <w:t xml:space="preserve"> </w:t>
      </w:r>
      <w:r w:rsidR="00F21592" w:rsidRPr="00F21592">
        <w:rPr>
          <w:rFonts w:ascii="Times New Roman" w:hAnsi="Times New Roman" w:cs="Times New Roman"/>
          <w:sz w:val="24"/>
        </w:rPr>
        <w:t>exclude</w:t>
      </w:r>
      <w:r w:rsidR="00F21592">
        <w:rPr>
          <w:rFonts w:ascii="Times New Roman" w:hAnsi="Times New Roman" w:cs="Times New Roman"/>
          <w:sz w:val="24"/>
        </w:rPr>
        <w:t>d in this study</w:t>
      </w:r>
      <w:r w:rsidR="00262B59" w:rsidRPr="00262B59">
        <w:rPr>
          <w:rFonts w:ascii="Times New Roman" w:hAnsi="Times New Roman" w:cs="Times New Roman"/>
          <w:sz w:val="24"/>
        </w:rPr>
        <w:t xml:space="preserve">. We compared the positive rate between the samples of </w:t>
      </w:r>
      <w:r w:rsidRPr="00B64205">
        <w:rPr>
          <w:rFonts w:ascii="Times New Roman" w:hAnsi="Times New Roman" w:cs="Times New Roman"/>
          <w:sz w:val="24"/>
        </w:rPr>
        <w:t>grade</w:t>
      </w:r>
      <w:r w:rsidR="00F21592">
        <w:rPr>
          <w:rFonts w:ascii="Times New Roman" w:hAnsi="Times New Roman" w:cs="Times New Roman"/>
          <w:sz w:val="24"/>
        </w:rPr>
        <w:t xml:space="preserve"> </w:t>
      </w:r>
      <w:r w:rsidR="00C05443" w:rsidRPr="00262B59">
        <w:rPr>
          <w:rFonts w:ascii="Times New Roman" w:hAnsi="Times New Roman" w:cs="Times New Roman"/>
          <w:sz w:val="24"/>
        </w:rPr>
        <w:t>II</w:t>
      </w:r>
      <w:r w:rsidR="00F21592">
        <w:rPr>
          <w:rFonts w:ascii="Times New Roman" w:hAnsi="Times New Roman" w:cs="Times New Roman"/>
          <w:sz w:val="24"/>
        </w:rPr>
        <w:t xml:space="preserve"> </w:t>
      </w:r>
      <w:r w:rsidR="00262B59" w:rsidRPr="00262B59">
        <w:rPr>
          <w:rFonts w:ascii="Times New Roman" w:hAnsi="Times New Roman" w:cs="Times New Roman"/>
          <w:sz w:val="24"/>
        </w:rPr>
        <w:t xml:space="preserve">and </w:t>
      </w:r>
      <w:r w:rsidRPr="00B64205">
        <w:rPr>
          <w:rFonts w:ascii="Times New Roman" w:hAnsi="Times New Roman" w:cs="Times New Roman"/>
          <w:sz w:val="24"/>
        </w:rPr>
        <w:t>grade</w:t>
      </w:r>
      <w:r w:rsidR="00F21592">
        <w:rPr>
          <w:rFonts w:ascii="Times New Roman" w:hAnsi="Times New Roman" w:cs="Times New Roman"/>
          <w:sz w:val="24"/>
        </w:rPr>
        <w:t xml:space="preserve"> </w:t>
      </w:r>
      <w:r w:rsidR="00C05443">
        <w:rPr>
          <w:rFonts w:ascii="Times New Roman" w:hAnsi="Times New Roman" w:cs="Times New Roman"/>
          <w:sz w:val="24"/>
        </w:rPr>
        <w:t>III</w:t>
      </w:r>
      <w:r w:rsidR="00262B59" w:rsidRPr="00262B59">
        <w:rPr>
          <w:rFonts w:ascii="Times New Roman" w:hAnsi="Times New Roman" w:cs="Times New Roman"/>
          <w:sz w:val="24"/>
        </w:rPr>
        <w:t xml:space="preserve"> and no significant difference was identified</w:t>
      </w:r>
      <w:r w:rsidR="00262B59">
        <w:rPr>
          <w:rFonts w:ascii="Times New Roman" w:hAnsi="Times New Roman" w:cs="Times New Roman"/>
          <w:sz w:val="24"/>
        </w:rPr>
        <w:t>.</w:t>
      </w:r>
    </w:p>
    <w:p w14:paraId="61901A4B" w14:textId="75644160" w:rsidR="00262B59" w:rsidRPr="00262B59" w:rsidRDefault="00411423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14:ligatures w14:val="none"/>
        </w:rPr>
        <w:drawing>
          <wp:inline distT="0" distB="0" distL="0" distR="0" wp14:anchorId="2D401514" wp14:editId="773CDFD7">
            <wp:extent cx="5267325" cy="1738630"/>
            <wp:effectExtent l="0" t="0" r="9525" b="0"/>
            <wp:docPr id="3724089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73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0B7C3" w14:textId="77777777" w:rsidR="00B64205" w:rsidRDefault="00B64205">
      <w:pPr>
        <w:rPr>
          <w:rFonts w:ascii="Times New Roman" w:hAnsi="Times New Roman" w:cs="Times New Roman"/>
          <w:sz w:val="24"/>
        </w:rPr>
      </w:pPr>
    </w:p>
    <w:p w14:paraId="7B906DFF" w14:textId="4749683D" w:rsidR="00C14BB3" w:rsidRPr="00262B59" w:rsidRDefault="00000000">
      <w:pPr>
        <w:rPr>
          <w:rFonts w:ascii="Times New Roman" w:hAnsi="Times New Roman" w:cs="Times New Roman"/>
          <w:sz w:val="24"/>
        </w:rPr>
      </w:pPr>
      <w:r w:rsidRPr="00262B59">
        <w:rPr>
          <w:rFonts w:ascii="Times New Roman" w:hAnsi="Times New Roman" w:cs="Times New Roman"/>
          <w:sz w:val="24"/>
        </w:rPr>
        <w:t>Figure S</w:t>
      </w:r>
      <w:r w:rsidR="00262B59">
        <w:rPr>
          <w:rFonts w:ascii="Times New Roman" w:hAnsi="Times New Roman" w:cs="Times New Roman"/>
          <w:sz w:val="24"/>
        </w:rPr>
        <w:t>2</w:t>
      </w:r>
      <w:r w:rsidRPr="00262B59">
        <w:rPr>
          <w:rFonts w:ascii="Times New Roman" w:hAnsi="Times New Roman" w:cs="Times New Roman"/>
          <w:sz w:val="24"/>
        </w:rPr>
        <w:t xml:space="preserve">. ALDH2 is not co-located with microfilaments. </w:t>
      </w:r>
    </w:p>
    <w:p w14:paraId="6ED8B95C" w14:textId="228FFFF6" w:rsidR="00C14BB3" w:rsidRPr="00262B59" w:rsidRDefault="00000000">
      <w:pPr>
        <w:rPr>
          <w:rFonts w:ascii="Times New Roman" w:hAnsi="Times New Roman" w:cs="Times New Roman"/>
          <w:sz w:val="24"/>
        </w:rPr>
      </w:pPr>
      <w:r w:rsidRPr="00262B59">
        <w:rPr>
          <w:rFonts w:ascii="Times New Roman" w:hAnsi="Times New Roman" w:cs="Times New Roman"/>
          <w:sz w:val="24"/>
        </w:rPr>
        <w:t xml:space="preserve">Subcellular localization of ALDH2 (green) and filament actin (F-actin, red) in </w:t>
      </w:r>
      <w:r w:rsidR="00832993">
        <w:rPr>
          <w:rFonts w:ascii="Times New Roman" w:hAnsi="Times New Roman" w:cs="Times New Roman"/>
          <w:sz w:val="24"/>
        </w:rPr>
        <w:t xml:space="preserve">MDA-MB-231 </w:t>
      </w:r>
      <w:r w:rsidRPr="00262B59">
        <w:rPr>
          <w:rFonts w:ascii="Times New Roman" w:hAnsi="Times New Roman" w:cs="Times New Roman"/>
          <w:sz w:val="24"/>
        </w:rPr>
        <w:t xml:space="preserve">breast cancer cells </w:t>
      </w:r>
      <w:r w:rsidR="00832993">
        <w:rPr>
          <w:rFonts w:ascii="Times New Roman" w:hAnsi="Times New Roman" w:cs="Times New Roman"/>
          <w:sz w:val="24"/>
        </w:rPr>
        <w:t xml:space="preserve">(A) and MCF7 cells (B) </w:t>
      </w:r>
      <w:r w:rsidRPr="00262B59">
        <w:rPr>
          <w:rFonts w:ascii="Times New Roman" w:hAnsi="Times New Roman" w:cs="Times New Roman"/>
          <w:sz w:val="24"/>
        </w:rPr>
        <w:t>were visualized by immunofluorescence staining. Magnification: ×630, Bar = 40 </w:t>
      </w:r>
      <w:r w:rsidRPr="00262B59">
        <w:rPr>
          <w:rFonts w:ascii="Times New Roman" w:eastAsia="DengXian" w:hAnsi="Times New Roman" w:cs="Times New Roman"/>
          <w:sz w:val="24"/>
        </w:rPr>
        <w:t>μ</w:t>
      </w:r>
      <w:r w:rsidRPr="00262B59">
        <w:rPr>
          <w:rFonts w:ascii="Times New Roman" w:hAnsi="Times New Roman" w:cs="Times New Roman"/>
          <w:sz w:val="24"/>
        </w:rPr>
        <w:t>m.</w:t>
      </w:r>
    </w:p>
    <w:p w14:paraId="0B4BE3A7" w14:textId="77777777" w:rsidR="00C14BB3" w:rsidRPr="00262B59" w:rsidRDefault="00C14BB3">
      <w:pPr>
        <w:rPr>
          <w:rFonts w:ascii="Times New Roman" w:hAnsi="Times New Roman" w:cs="Times New Roman"/>
          <w:sz w:val="24"/>
        </w:rPr>
      </w:pPr>
    </w:p>
    <w:p w14:paraId="7969406D" w14:textId="77777777" w:rsidR="00C14BB3" w:rsidRPr="00262B59" w:rsidRDefault="00000000">
      <w:pPr>
        <w:rPr>
          <w:rFonts w:ascii="Times New Roman" w:hAnsi="Times New Roman" w:cs="Times New Roman"/>
          <w:sz w:val="24"/>
        </w:rPr>
      </w:pPr>
      <w:r w:rsidRPr="00262B59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114300" distR="114300" wp14:anchorId="55D98FBB" wp14:editId="166BD5C6">
            <wp:extent cx="5271770" cy="2665730"/>
            <wp:effectExtent l="0" t="0" r="11430" b="1270"/>
            <wp:docPr id="1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66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14BB3" w:rsidRPr="00262B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59BF5" w14:textId="77777777" w:rsidR="00877137" w:rsidRDefault="00877137">
      <w:pPr>
        <w:spacing w:line="240" w:lineRule="auto"/>
      </w:pPr>
      <w:r>
        <w:separator/>
      </w:r>
    </w:p>
  </w:endnote>
  <w:endnote w:type="continuationSeparator" w:id="0">
    <w:p w14:paraId="7C463535" w14:textId="77777777" w:rsidR="00877137" w:rsidRDefault="008771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D43EF" w14:textId="77777777" w:rsidR="00877137" w:rsidRDefault="00877137">
      <w:r>
        <w:separator/>
      </w:r>
    </w:p>
  </w:footnote>
  <w:footnote w:type="continuationSeparator" w:id="0">
    <w:p w14:paraId="2F574C20" w14:textId="77777777" w:rsidR="00877137" w:rsidRDefault="008771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Y2MzI2ZmI3YjZmZTRmODM0MmM2MGVmYjBkYTE3NGMifQ=="/>
  </w:docVars>
  <w:rsids>
    <w:rsidRoot w:val="007C10FA"/>
    <w:rsid w:val="0001031A"/>
    <w:rsid w:val="000938F3"/>
    <w:rsid w:val="000D4F09"/>
    <w:rsid w:val="000F0A5A"/>
    <w:rsid w:val="001533DD"/>
    <w:rsid w:val="001A0183"/>
    <w:rsid w:val="001B6B93"/>
    <w:rsid w:val="00262B59"/>
    <w:rsid w:val="002C677D"/>
    <w:rsid w:val="003A7666"/>
    <w:rsid w:val="00406C73"/>
    <w:rsid w:val="00411423"/>
    <w:rsid w:val="00497FFE"/>
    <w:rsid w:val="005C0B8B"/>
    <w:rsid w:val="007302C2"/>
    <w:rsid w:val="007952D4"/>
    <w:rsid w:val="00796415"/>
    <w:rsid w:val="007A2F9E"/>
    <w:rsid w:val="007B6F7D"/>
    <w:rsid w:val="007C10FA"/>
    <w:rsid w:val="00832993"/>
    <w:rsid w:val="00877137"/>
    <w:rsid w:val="009270B6"/>
    <w:rsid w:val="00A40122"/>
    <w:rsid w:val="00AF45CB"/>
    <w:rsid w:val="00AF6DB5"/>
    <w:rsid w:val="00B136CB"/>
    <w:rsid w:val="00B64205"/>
    <w:rsid w:val="00C05443"/>
    <w:rsid w:val="00C14BB3"/>
    <w:rsid w:val="00C35ECB"/>
    <w:rsid w:val="00D42CB5"/>
    <w:rsid w:val="00DC4A49"/>
    <w:rsid w:val="00DE7F9A"/>
    <w:rsid w:val="00E21E3A"/>
    <w:rsid w:val="00E31B0F"/>
    <w:rsid w:val="00EA3CFC"/>
    <w:rsid w:val="00F21592"/>
    <w:rsid w:val="00F67DFD"/>
    <w:rsid w:val="06B60AFB"/>
    <w:rsid w:val="076D5A73"/>
    <w:rsid w:val="0853778F"/>
    <w:rsid w:val="0E282A06"/>
    <w:rsid w:val="210D7FF0"/>
    <w:rsid w:val="3549347A"/>
    <w:rsid w:val="39A0293A"/>
    <w:rsid w:val="50273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9CD0DD1"/>
  <w15:docId w15:val="{3985F282-BA88-457E-8406-A7200E8E1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kern w:val="2"/>
      <w:sz w:val="2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unhideWhenUsed/>
    <w:rPr>
      <w:kern w:val="2"/>
      <w:sz w:val="21"/>
      <w:szCs w:val="24"/>
      <w14:ligatures w14:val="standardContextual"/>
    </w:rPr>
  </w:style>
  <w:style w:type="paragraph" w:styleId="a8">
    <w:name w:val="annotation text"/>
    <w:basedOn w:val="a"/>
    <w:link w:val="a9"/>
    <w:autoRedefine/>
    <w:qFormat/>
    <w:rsid w:val="00262B59"/>
    <w:pPr>
      <w:spacing w:line="240" w:lineRule="auto"/>
      <w:jc w:val="left"/>
    </w:pPr>
    <w:rPr>
      <w14:ligatures w14:val="none"/>
    </w:rPr>
  </w:style>
  <w:style w:type="character" w:customStyle="1" w:styleId="a9">
    <w:name w:val="批注文字 字符"/>
    <w:basedOn w:val="a0"/>
    <w:link w:val="a8"/>
    <w:qFormat/>
    <w:rsid w:val="00262B59"/>
    <w:rPr>
      <w:kern w:val="2"/>
      <w:sz w:val="21"/>
      <w:szCs w:val="24"/>
    </w:rPr>
  </w:style>
  <w:style w:type="character" w:styleId="aa">
    <w:name w:val="annotation reference"/>
    <w:basedOn w:val="a0"/>
    <w:autoRedefine/>
    <w:qFormat/>
    <w:rsid w:val="00262B59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401</Words>
  <Characters>2289</Characters>
  <Application>Microsoft Office Word</Application>
  <DocSecurity>0</DocSecurity>
  <Lines>19</Lines>
  <Paragraphs>5</Paragraphs>
  <ScaleCrop>false</ScaleCrop>
  <Company/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愚风 卢</dc:creator>
  <cp:lastModifiedBy>愚风 卢</cp:lastModifiedBy>
  <cp:revision>4</cp:revision>
  <dcterms:created xsi:type="dcterms:W3CDTF">2024-01-30T02:06:00Z</dcterms:created>
  <dcterms:modified xsi:type="dcterms:W3CDTF">2024-01-30T12:09:00Z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FE5FE9BE1A8F4EDA8D3B6AF747788AB5_13</vt:lpwstr>
  </property>
</Properties>
</file>