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07E2" w:rsidRDefault="001607E2" w:rsidP="001607E2">
      <w:pPr>
        <w:spacing w:line="360" w:lineRule="auto"/>
        <w:jc w:val="center"/>
        <w:rPr>
          <w:rFonts w:eastAsiaTheme="majorEastAsia"/>
          <w:b/>
          <w:color w:val="2E74B5" w:themeColor="accent1" w:themeShade="BF"/>
          <w:sz w:val="40"/>
          <w:szCs w:val="32"/>
        </w:rPr>
      </w:pPr>
    </w:p>
    <w:p w:rsidR="001607E2" w:rsidRDefault="001607E2" w:rsidP="001607E2">
      <w:pPr>
        <w:spacing w:line="360" w:lineRule="auto"/>
        <w:jc w:val="center"/>
        <w:rPr>
          <w:rFonts w:eastAsiaTheme="majorEastAsia"/>
          <w:b/>
          <w:color w:val="2E74B5" w:themeColor="accent1" w:themeShade="BF"/>
          <w:sz w:val="40"/>
          <w:szCs w:val="32"/>
        </w:rPr>
      </w:pPr>
    </w:p>
    <w:p w:rsidR="001607E2" w:rsidRDefault="001607E2" w:rsidP="001607E2">
      <w:pPr>
        <w:spacing w:line="360" w:lineRule="auto"/>
        <w:jc w:val="center"/>
        <w:rPr>
          <w:rFonts w:eastAsiaTheme="majorEastAsia"/>
          <w:b/>
          <w:color w:val="2E74B5" w:themeColor="accent1" w:themeShade="BF"/>
          <w:sz w:val="40"/>
          <w:szCs w:val="32"/>
        </w:rPr>
      </w:pPr>
    </w:p>
    <w:p w:rsidR="001607E2" w:rsidRDefault="001607E2" w:rsidP="001607E2">
      <w:pPr>
        <w:spacing w:line="360" w:lineRule="auto"/>
        <w:jc w:val="center"/>
        <w:rPr>
          <w:rFonts w:eastAsiaTheme="majorEastAsia"/>
          <w:b/>
          <w:color w:val="2E74B5" w:themeColor="accent1" w:themeShade="BF"/>
          <w:sz w:val="40"/>
          <w:szCs w:val="32"/>
        </w:rPr>
      </w:pPr>
    </w:p>
    <w:p w:rsidR="001607E2" w:rsidRDefault="001607E2" w:rsidP="001607E2">
      <w:pPr>
        <w:spacing w:line="360" w:lineRule="auto"/>
        <w:jc w:val="center"/>
        <w:rPr>
          <w:rFonts w:eastAsiaTheme="majorEastAsia"/>
          <w:b/>
          <w:color w:val="2E74B5" w:themeColor="accent1" w:themeShade="BF"/>
          <w:sz w:val="40"/>
          <w:szCs w:val="32"/>
        </w:rPr>
      </w:pPr>
    </w:p>
    <w:p w:rsidR="001607E2" w:rsidRPr="008156F0" w:rsidRDefault="001607E2" w:rsidP="001607E2">
      <w:pPr>
        <w:spacing w:line="360" w:lineRule="auto"/>
        <w:jc w:val="center"/>
        <w:rPr>
          <w:rFonts w:eastAsiaTheme="majorEastAsia"/>
          <w:b/>
          <w:color w:val="2E74B5" w:themeColor="accent1" w:themeShade="BF"/>
          <w:sz w:val="40"/>
          <w:szCs w:val="32"/>
        </w:rPr>
      </w:pPr>
      <w:r w:rsidRPr="008156F0">
        <w:rPr>
          <w:rFonts w:eastAsiaTheme="majorEastAsia"/>
          <w:b/>
          <w:color w:val="2E74B5" w:themeColor="accent1" w:themeShade="BF"/>
          <w:sz w:val="40"/>
          <w:szCs w:val="32"/>
        </w:rPr>
        <w:t>ONLINE SUPPLEM</w:t>
      </w:r>
      <w:bookmarkStart w:id="0" w:name="_GoBack"/>
      <w:bookmarkEnd w:id="0"/>
      <w:r w:rsidRPr="008156F0">
        <w:rPr>
          <w:rFonts w:eastAsiaTheme="majorEastAsia"/>
          <w:b/>
          <w:color w:val="2E74B5" w:themeColor="accent1" w:themeShade="BF"/>
          <w:sz w:val="40"/>
          <w:szCs w:val="32"/>
        </w:rPr>
        <w:t>ENTARY</w:t>
      </w:r>
    </w:p>
    <w:p w:rsidR="001607E2" w:rsidRPr="008156F0" w:rsidRDefault="001607E2" w:rsidP="001607E2">
      <w:pPr>
        <w:spacing w:line="360" w:lineRule="auto"/>
        <w:jc w:val="center"/>
        <w:rPr>
          <w:rFonts w:eastAsiaTheme="majorEastAsia"/>
          <w:b/>
          <w:color w:val="2E74B5" w:themeColor="accent1" w:themeShade="BF"/>
          <w:sz w:val="40"/>
          <w:szCs w:val="32"/>
        </w:rPr>
      </w:pPr>
      <w:r w:rsidRPr="008156F0">
        <w:rPr>
          <w:rFonts w:eastAsiaTheme="majorEastAsia"/>
          <w:b/>
          <w:color w:val="2E74B5" w:themeColor="accent1" w:themeShade="BF"/>
          <w:sz w:val="40"/>
          <w:szCs w:val="32"/>
        </w:rPr>
        <w:t>FIGURES &amp; TABLES</w:t>
      </w:r>
    </w:p>
    <w:p w:rsidR="001607E2" w:rsidRDefault="001607E2" w:rsidP="001607E2">
      <w:pPr>
        <w:spacing w:line="360" w:lineRule="auto"/>
        <w:jc w:val="center"/>
        <w:rPr>
          <w:b/>
          <w:sz w:val="36"/>
          <w:szCs w:val="36"/>
        </w:rPr>
      </w:pPr>
    </w:p>
    <w:p w:rsidR="001607E2" w:rsidRDefault="001607E2" w:rsidP="001607E2">
      <w:pPr>
        <w:spacing w:line="360" w:lineRule="auto"/>
        <w:jc w:val="center"/>
        <w:rPr>
          <w:b/>
          <w:sz w:val="36"/>
          <w:szCs w:val="36"/>
        </w:rPr>
      </w:pPr>
    </w:p>
    <w:p w:rsidR="001607E2" w:rsidRPr="00AA3546" w:rsidRDefault="001607E2" w:rsidP="001607E2">
      <w:pPr>
        <w:spacing w:line="360" w:lineRule="auto"/>
        <w:jc w:val="center"/>
        <w:rPr>
          <w:b/>
          <w:sz w:val="36"/>
          <w:szCs w:val="36"/>
        </w:rPr>
      </w:pPr>
    </w:p>
    <w:p w:rsidR="001607E2" w:rsidRPr="007B4BF7" w:rsidRDefault="001607E2" w:rsidP="001607E2">
      <w:pPr>
        <w:spacing w:line="480" w:lineRule="auto"/>
        <w:rPr>
          <w:b/>
          <w:sz w:val="32"/>
          <w:szCs w:val="24"/>
        </w:rPr>
      </w:pPr>
      <w:r w:rsidRPr="007B4BF7">
        <w:rPr>
          <w:b/>
          <w:sz w:val="32"/>
          <w:szCs w:val="24"/>
        </w:rPr>
        <w:t>“</w:t>
      </w:r>
      <w:r w:rsidRPr="001607E2">
        <w:rPr>
          <w:b/>
          <w:sz w:val="32"/>
          <w:szCs w:val="24"/>
        </w:rPr>
        <w:t>Neutrophil Elastase Inhibitor (</w:t>
      </w:r>
      <w:proofErr w:type="spellStart"/>
      <w:r w:rsidRPr="001607E2">
        <w:rPr>
          <w:b/>
          <w:sz w:val="32"/>
          <w:szCs w:val="24"/>
        </w:rPr>
        <w:t>Sivelestat</w:t>
      </w:r>
      <w:proofErr w:type="spellEnd"/>
      <w:r w:rsidRPr="001607E2">
        <w:rPr>
          <w:b/>
          <w:sz w:val="32"/>
          <w:szCs w:val="24"/>
        </w:rPr>
        <w:t>) in the Treatment of Acute Respiratory Distress Syndrome Induced by COVID-19: A Multicenter Retrospective Cohort Study</w:t>
      </w:r>
      <w:r w:rsidRPr="007B4BF7">
        <w:rPr>
          <w:b/>
          <w:sz w:val="32"/>
          <w:szCs w:val="24"/>
        </w:rPr>
        <w:t>”</w:t>
      </w:r>
    </w:p>
    <w:p w:rsidR="001607E2" w:rsidRDefault="001607E2" w:rsidP="001607E2">
      <w:pPr>
        <w:spacing w:after="240"/>
        <w:rPr>
          <w:sz w:val="24"/>
          <w:szCs w:val="24"/>
        </w:rPr>
      </w:pPr>
    </w:p>
    <w:p w:rsidR="001607E2" w:rsidRDefault="001607E2" w:rsidP="001607E2">
      <w:pPr>
        <w:spacing w:after="240"/>
        <w:rPr>
          <w:sz w:val="24"/>
          <w:szCs w:val="24"/>
        </w:rPr>
      </w:pPr>
    </w:p>
    <w:p w:rsidR="001607E2" w:rsidRDefault="001607E2" w:rsidP="001607E2">
      <w:pPr>
        <w:spacing w:after="240"/>
        <w:rPr>
          <w:sz w:val="24"/>
          <w:szCs w:val="24"/>
        </w:rPr>
      </w:pPr>
    </w:p>
    <w:p w:rsidR="001607E2" w:rsidRDefault="001607E2" w:rsidP="001607E2">
      <w:pPr>
        <w:spacing w:after="240"/>
        <w:rPr>
          <w:sz w:val="24"/>
          <w:szCs w:val="24"/>
        </w:rPr>
      </w:pPr>
    </w:p>
    <w:p w:rsidR="001607E2" w:rsidRDefault="001607E2" w:rsidP="001607E2">
      <w:pPr>
        <w:spacing w:after="240"/>
        <w:rPr>
          <w:sz w:val="24"/>
          <w:szCs w:val="24"/>
        </w:rPr>
      </w:pPr>
    </w:p>
    <w:p w:rsidR="001607E2" w:rsidRDefault="001607E2" w:rsidP="001607E2">
      <w:pPr>
        <w:spacing w:after="240"/>
        <w:rPr>
          <w:sz w:val="24"/>
          <w:szCs w:val="24"/>
        </w:rPr>
      </w:pPr>
    </w:p>
    <w:p w:rsidR="00B21117" w:rsidRDefault="001607E2" w:rsidP="001607E2">
      <w:pPr>
        <w:spacing w:line="360" w:lineRule="auto"/>
        <w:rPr>
          <w:sz w:val="24"/>
          <w:szCs w:val="24"/>
        </w:rPr>
      </w:pPr>
      <w:proofErr w:type="gramStart"/>
      <w:r w:rsidRPr="006C30FC">
        <w:rPr>
          <w:sz w:val="24"/>
          <w:szCs w:val="24"/>
        </w:rPr>
        <w:t xml:space="preserve">This supplementary material </w:t>
      </w:r>
      <w:r>
        <w:rPr>
          <w:sz w:val="24"/>
          <w:szCs w:val="24"/>
        </w:rPr>
        <w:t>is</w:t>
      </w:r>
      <w:r w:rsidRPr="006C30FC">
        <w:rPr>
          <w:sz w:val="24"/>
          <w:szCs w:val="24"/>
        </w:rPr>
        <w:t xml:space="preserve"> provided by the authors to give readers additional</w:t>
      </w:r>
      <w:r w:rsidRPr="006C30FC">
        <w:rPr>
          <w:rFonts w:hint="eastAsia"/>
          <w:sz w:val="24"/>
          <w:szCs w:val="24"/>
        </w:rPr>
        <w:t xml:space="preserve"> </w:t>
      </w:r>
      <w:r w:rsidRPr="006C30FC">
        <w:rPr>
          <w:sz w:val="24"/>
          <w:szCs w:val="24"/>
        </w:rPr>
        <w:t>information about their work</w:t>
      </w:r>
      <w:proofErr w:type="gramEnd"/>
      <w:r w:rsidRPr="006C30FC">
        <w:rPr>
          <w:sz w:val="24"/>
          <w:szCs w:val="24"/>
        </w:rPr>
        <w:t>.</w:t>
      </w:r>
    </w:p>
    <w:p w:rsidR="00B21117" w:rsidRDefault="00B21117">
      <w:pPr>
        <w:autoSpaceDE/>
        <w:autoSpaceDN/>
        <w:rPr>
          <w:sz w:val="24"/>
          <w:szCs w:val="24"/>
        </w:rPr>
      </w:pPr>
      <w:r>
        <w:rPr>
          <w:sz w:val="24"/>
          <w:szCs w:val="24"/>
        </w:rPr>
        <w:br w:type="page"/>
      </w:r>
    </w:p>
    <w:sdt>
      <w:sdtPr>
        <w:rPr>
          <w:lang w:val="zh-CN"/>
        </w:rPr>
        <w:id w:val="1783291785"/>
        <w:docPartObj>
          <w:docPartGallery w:val="Table of Contents"/>
          <w:docPartUnique/>
        </w:docPartObj>
      </w:sdtPr>
      <w:sdtEndPr>
        <w:rPr>
          <w:rFonts w:ascii="Times New Roman" w:eastAsia="宋体" w:hAnsi="Times New Roman" w:cs="Times New Roman"/>
          <w:b/>
          <w:bCs/>
          <w:color w:val="000000"/>
          <w:sz w:val="21"/>
          <w:szCs w:val="22"/>
          <w14:ligatures w14:val="standardContextual"/>
        </w:rPr>
      </w:sdtEndPr>
      <w:sdtContent>
        <w:p w:rsidR="00B21117" w:rsidRPr="00B21117" w:rsidRDefault="00B21117">
          <w:pPr>
            <w:pStyle w:val="TOC"/>
            <w:rPr>
              <w:rFonts w:ascii="Times New Roman" w:hAnsi="Times New Roman" w:cs="Times New Roman"/>
              <w:b/>
            </w:rPr>
          </w:pPr>
          <w:r w:rsidRPr="00B21117">
            <w:rPr>
              <w:rFonts w:ascii="Times New Roman" w:hAnsi="Times New Roman" w:cs="Times New Roman"/>
              <w:b/>
              <w:lang w:val="zh-CN"/>
            </w:rPr>
            <w:t>Content</w:t>
          </w:r>
        </w:p>
        <w:p w:rsidR="00B21117" w:rsidRPr="00B21117" w:rsidRDefault="00B21117">
          <w:pPr>
            <w:pStyle w:val="11"/>
            <w:tabs>
              <w:tab w:val="right" w:leader="dot" w:pos="8296"/>
            </w:tabs>
            <w:rPr>
              <w:rFonts w:ascii="Times New Roman" w:hAnsi="Times New Roman"/>
              <w:noProof/>
              <w:kern w:val="2"/>
              <w:sz w:val="21"/>
            </w:rPr>
          </w:pPr>
          <w:r w:rsidRPr="00B21117">
            <w:rPr>
              <w:rFonts w:ascii="Times New Roman" w:hAnsi="Times New Roman"/>
            </w:rPr>
            <w:fldChar w:fldCharType="begin"/>
          </w:r>
          <w:r w:rsidRPr="00B21117">
            <w:rPr>
              <w:rFonts w:ascii="Times New Roman" w:hAnsi="Times New Roman"/>
            </w:rPr>
            <w:instrText xml:space="preserve"> TOC \o "1-3" \h \z \u </w:instrText>
          </w:r>
          <w:r w:rsidRPr="00B21117">
            <w:rPr>
              <w:rFonts w:ascii="Times New Roman" w:hAnsi="Times New Roman"/>
            </w:rPr>
            <w:fldChar w:fldCharType="separate"/>
          </w:r>
          <w:hyperlink w:anchor="_Toc154148873" w:history="1">
            <w:r>
              <w:rPr>
                <w:rStyle w:val="a8"/>
                <w:rFonts w:ascii="Times New Roman" w:hAnsi="Times New Roman"/>
                <w:noProof/>
              </w:rPr>
              <w:t>Supplemental figure</w:t>
            </w:r>
            <w:r w:rsidRPr="00B21117">
              <w:rPr>
                <w:rFonts w:ascii="Times New Roman" w:hAnsi="Times New Roman"/>
                <w:noProof/>
                <w:webHidden/>
              </w:rPr>
              <w:tab/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B21117">
              <w:rPr>
                <w:rFonts w:ascii="Times New Roman" w:hAnsi="Times New Roman"/>
                <w:noProof/>
                <w:webHidden/>
              </w:rPr>
              <w:instrText xml:space="preserve"> PAGEREF _Toc154148873 \h </w:instrText>
            </w:r>
            <w:r w:rsidRPr="00B21117">
              <w:rPr>
                <w:rFonts w:ascii="Times New Roman" w:hAnsi="Times New Roman"/>
                <w:noProof/>
                <w:webHidden/>
              </w:rPr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B21117">
              <w:rPr>
                <w:rFonts w:ascii="Times New Roman" w:hAnsi="Times New Roman"/>
                <w:noProof/>
                <w:webHidden/>
              </w:rPr>
              <w:t>3</w:t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B21117" w:rsidRPr="00B21117" w:rsidRDefault="00B21117">
          <w:pPr>
            <w:pStyle w:val="21"/>
            <w:tabs>
              <w:tab w:val="right" w:leader="dot" w:pos="8296"/>
            </w:tabs>
            <w:rPr>
              <w:rFonts w:ascii="Times New Roman" w:hAnsi="Times New Roman"/>
              <w:noProof/>
              <w:kern w:val="2"/>
              <w:sz w:val="21"/>
            </w:rPr>
          </w:pPr>
          <w:hyperlink w:anchor="_Toc154148874" w:history="1">
            <w:r w:rsidRPr="00B21117">
              <w:rPr>
                <w:rStyle w:val="a8"/>
                <w:rFonts w:ascii="Times New Roman" w:hAnsi="Times New Roman"/>
                <w:noProof/>
              </w:rPr>
              <w:t xml:space="preserve">Supplemental </w:t>
            </w:r>
            <w:r w:rsidRPr="00B21117">
              <w:rPr>
                <w:rStyle w:val="a8"/>
                <w:rFonts w:ascii="Times New Roman" w:eastAsia="宋体" w:hAnsi="Times New Roman"/>
                <w:noProof/>
                <w:kern w:val="44"/>
              </w:rPr>
              <w:t>Figure 1. Propensity score matching jitter plot (A) and the balance of the covariates after propensity score matching (B).</w:t>
            </w:r>
            <w:r w:rsidRPr="00B21117">
              <w:rPr>
                <w:rFonts w:ascii="Times New Roman" w:hAnsi="Times New Roman"/>
                <w:noProof/>
                <w:webHidden/>
              </w:rPr>
              <w:tab/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B21117">
              <w:rPr>
                <w:rFonts w:ascii="Times New Roman" w:hAnsi="Times New Roman"/>
                <w:noProof/>
                <w:webHidden/>
              </w:rPr>
              <w:instrText xml:space="preserve"> PAGEREF _Toc154148874 \h </w:instrText>
            </w:r>
            <w:r w:rsidRPr="00B21117">
              <w:rPr>
                <w:rFonts w:ascii="Times New Roman" w:hAnsi="Times New Roman"/>
                <w:noProof/>
                <w:webHidden/>
              </w:rPr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B21117">
              <w:rPr>
                <w:rFonts w:ascii="Times New Roman" w:hAnsi="Times New Roman"/>
                <w:noProof/>
                <w:webHidden/>
              </w:rPr>
              <w:t>3</w:t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B21117" w:rsidRPr="00B21117" w:rsidRDefault="00B21117">
          <w:pPr>
            <w:pStyle w:val="11"/>
            <w:tabs>
              <w:tab w:val="right" w:leader="dot" w:pos="8296"/>
            </w:tabs>
            <w:rPr>
              <w:rFonts w:ascii="Times New Roman" w:hAnsi="Times New Roman"/>
              <w:noProof/>
              <w:kern w:val="2"/>
              <w:sz w:val="21"/>
            </w:rPr>
          </w:pPr>
          <w:hyperlink w:anchor="_Toc154148875" w:history="1">
            <w:r w:rsidRPr="00B21117">
              <w:rPr>
                <w:rStyle w:val="a8"/>
                <w:rFonts w:ascii="Times New Roman" w:hAnsi="Times New Roman"/>
                <w:noProof/>
              </w:rPr>
              <w:t>Supplemental tables</w:t>
            </w:r>
            <w:r w:rsidRPr="00B21117">
              <w:rPr>
                <w:rFonts w:ascii="Times New Roman" w:hAnsi="Times New Roman"/>
                <w:noProof/>
                <w:webHidden/>
              </w:rPr>
              <w:tab/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B21117">
              <w:rPr>
                <w:rFonts w:ascii="Times New Roman" w:hAnsi="Times New Roman"/>
                <w:noProof/>
                <w:webHidden/>
              </w:rPr>
              <w:instrText xml:space="preserve"> PAGEREF _Toc154148875 \h </w:instrText>
            </w:r>
            <w:r w:rsidRPr="00B21117">
              <w:rPr>
                <w:rFonts w:ascii="Times New Roman" w:hAnsi="Times New Roman"/>
                <w:noProof/>
                <w:webHidden/>
              </w:rPr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B21117">
              <w:rPr>
                <w:rFonts w:ascii="Times New Roman" w:hAnsi="Times New Roman"/>
                <w:noProof/>
                <w:webHidden/>
              </w:rPr>
              <w:t>4</w:t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B21117" w:rsidRPr="00B21117" w:rsidRDefault="00B21117">
          <w:pPr>
            <w:pStyle w:val="21"/>
            <w:tabs>
              <w:tab w:val="right" w:leader="dot" w:pos="8296"/>
            </w:tabs>
            <w:rPr>
              <w:rFonts w:ascii="Times New Roman" w:hAnsi="Times New Roman"/>
              <w:noProof/>
              <w:kern w:val="2"/>
              <w:sz w:val="21"/>
            </w:rPr>
          </w:pPr>
          <w:hyperlink w:anchor="_Toc154148876" w:history="1">
            <w:r w:rsidRPr="00B21117">
              <w:rPr>
                <w:rStyle w:val="a8"/>
                <w:rFonts w:ascii="Times New Roman" w:hAnsi="Times New Roman"/>
                <w:noProof/>
              </w:rPr>
              <w:t>Supplementary Table 1. The components and individual values of the Murray lung injury score.</w:t>
            </w:r>
            <w:r w:rsidRPr="00B21117">
              <w:rPr>
                <w:rFonts w:ascii="Times New Roman" w:hAnsi="Times New Roman"/>
                <w:noProof/>
                <w:webHidden/>
              </w:rPr>
              <w:tab/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B21117">
              <w:rPr>
                <w:rFonts w:ascii="Times New Roman" w:hAnsi="Times New Roman"/>
                <w:noProof/>
                <w:webHidden/>
              </w:rPr>
              <w:instrText xml:space="preserve"> PAGEREF _Toc154148876 \h </w:instrText>
            </w:r>
            <w:r w:rsidRPr="00B21117">
              <w:rPr>
                <w:rFonts w:ascii="Times New Roman" w:hAnsi="Times New Roman"/>
                <w:noProof/>
                <w:webHidden/>
              </w:rPr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B21117">
              <w:rPr>
                <w:rFonts w:ascii="Times New Roman" w:hAnsi="Times New Roman"/>
                <w:noProof/>
                <w:webHidden/>
              </w:rPr>
              <w:t>4</w:t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B21117" w:rsidRPr="00B21117" w:rsidRDefault="00B21117">
          <w:pPr>
            <w:pStyle w:val="21"/>
            <w:tabs>
              <w:tab w:val="right" w:leader="dot" w:pos="8296"/>
            </w:tabs>
            <w:rPr>
              <w:rFonts w:ascii="Times New Roman" w:hAnsi="Times New Roman"/>
              <w:noProof/>
              <w:kern w:val="2"/>
              <w:sz w:val="21"/>
            </w:rPr>
          </w:pPr>
          <w:hyperlink w:anchor="_Toc154148877" w:history="1">
            <w:r w:rsidRPr="00B21117">
              <w:rPr>
                <w:rStyle w:val="a8"/>
                <w:rFonts w:ascii="Times New Roman" w:hAnsi="Times New Roman"/>
                <w:noProof/>
              </w:rPr>
              <w:t>Supplementary Table S2. The Murry lung injury scores in two groups.</w:t>
            </w:r>
            <w:r w:rsidRPr="00B21117">
              <w:rPr>
                <w:rFonts w:ascii="Times New Roman" w:hAnsi="Times New Roman"/>
                <w:noProof/>
                <w:webHidden/>
              </w:rPr>
              <w:tab/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B21117">
              <w:rPr>
                <w:rFonts w:ascii="Times New Roman" w:hAnsi="Times New Roman"/>
                <w:noProof/>
                <w:webHidden/>
              </w:rPr>
              <w:instrText xml:space="preserve"> PAGEREF _Toc154148877 \h </w:instrText>
            </w:r>
            <w:r w:rsidRPr="00B21117">
              <w:rPr>
                <w:rFonts w:ascii="Times New Roman" w:hAnsi="Times New Roman"/>
                <w:noProof/>
                <w:webHidden/>
              </w:rPr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B21117">
              <w:rPr>
                <w:rFonts w:ascii="Times New Roman" w:hAnsi="Times New Roman"/>
                <w:noProof/>
                <w:webHidden/>
              </w:rPr>
              <w:t>5</w:t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B21117" w:rsidRPr="00B21117" w:rsidRDefault="00B21117">
          <w:pPr>
            <w:pStyle w:val="21"/>
            <w:tabs>
              <w:tab w:val="right" w:leader="dot" w:pos="8296"/>
            </w:tabs>
            <w:rPr>
              <w:rFonts w:ascii="Times New Roman" w:hAnsi="Times New Roman"/>
              <w:noProof/>
              <w:kern w:val="2"/>
              <w:sz w:val="21"/>
            </w:rPr>
          </w:pPr>
          <w:hyperlink w:anchor="_Toc154148878" w:history="1">
            <w:r w:rsidRPr="00B21117">
              <w:rPr>
                <w:rStyle w:val="a8"/>
                <w:rFonts w:ascii="Times New Roman" w:hAnsi="Times New Roman"/>
                <w:noProof/>
              </w:rPr>
              <w:t>Supplementary Table 3. The decrease in Murry lung injury score compared with baseline.</w:t>
            </w:r>
            <w:r w:rsidRPr="00B21117">
              <w:rPr>
                <w:rFonts w:ascii="Times New Roman" w:hAnsi="Times New Roman"/>
                <w:noProof/>
                <w:webHidden/>
              </w:rPr>
              <w:tab/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B21117">
              <w:rPr>
                <w:rFonts w:ascii="Times New Roman" w:hAnsi="Times New Roman"/>
                <w:noProof/>
                <w:webHidden/>
              </w:rPr>
              <w:instrText xml:space="preserve"> PAGEREF _Toc154148878 \h </w:instrText>
            </w:r>
            <w:r w:rsidRPr="00B21117">
              <w:rPr>
                <w:rFonts w:ascii="Times New Roman" w:hAnsi="Times New Roman"/>
                <w:noProof/>
                <w:webHidden/>
              </w:rPr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B21117">
              <w:rPr>
                <w:rFonts w:ascii="Times New Roman" w:hAnsi="Times New Roman"/>
                <w:noProof/>
                <w:webHidden/>
              </w:rPr>
              <w:t>6</w:t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B21117" w:rsidRPr="00B21117" w:rsidRDefault="00B21117">
          <w:pPr>
            <w:pStyle w:val="21"/>
            <w:tabs>
              <w:tab w:val="right" w:leader="dot" w:pos="8296"/>
            </w:tabs>
            <w:rPr>
              <w:rFonts w:ascii="Times New Roman" w:hAnsi="Times New Roman"/>
              <w:noProof/>
              <w:kern w:val="2"/>
              <w:sz w:val="21"/>
            </w:rPr>
          </w:pPr>
          <w:hyperlink w:anchor="_Toc154148879" w:history="1">
            <w:r w:rsidRPr="00B21117">
              <w:rPr>
                <w:rStyle w:val="a8"/>
                <w:rFonts w:ascii="Times New Roman" w:hAnsi="Times New Roman"/>
                <w:noProof/>
              </w:rPr>
              <w:t>Supplementary Table 4. Comparison of adverse events between two groups.</w:t>
            </w:r>
            <w:r w:rsidRPr="00B21117">
              <w:rPr>
                <w:rFonts w:ascii="Times New Roman" w:hAnsi="Times New Roman"/>
                <w:noProof/>
                <w:webHidden/>
              </w:rPr>
              <w:tab/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B21117">
              <w:rPr>
                <w:rFonts w:ascii="Times New Roman" w:hAnsi="Times New Roman"/>
                <w:noProof/>
                <w:webHidden/>
              </w:rPr>
              <w:instrText xml:space="preserve"> PAGEREF _Toc154148879 \h </w:instrText>
            </w:r>
            <w:r w:rsidRPr="00B21117">
              <w:rPr>
                <w:rFonts w:ascii="Times New Roman" w:hAnsi="Times New Roman"/>
                <w:noProof/>
                <w:webHidden/>
              </w:rPr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B21117">
              <w:rPr>
                <w:rFonts w:ascii="Times New Roman" w:hAnsi="Times New Roman"/>
                <w:noProof/>
                <w:webHidden/>
              </w:rPr>
              <w:t>7</w:t>
            </w:r>
            <w:r w:rsidRPr="00B21117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:rsidR="00B21117" w:rsidRDefault="00B21117">
          <w:r w:rsidRPr="00B21117">
            <w:rPr>
              <w:b/>
              <w:bCs/>
              <w:lang w:val="zh-CN"/>
            </w:rPr>
            <w:fldChar w:fldCharType="end"/>
          </w:r>
        </w:p>
      </w:sdtContent>
    </w:sdt>
    <w:p w:rsidR="001607E2" w:rsidRDefault="001607E2" w:rsidP="001607E2">
      <w:pPr>
        <w:spacing w:line="360" w:lineRule="auto"/>
        <w:rPr>
          <w:sz w:val="24"/>
          <w:szCs w:val="24"/>
        </w:rPr>
      </w:pPr>
    </w:p>
    <w:p w:rsidR="001607E2" w:rsidRDefault="001607E2">
      <w:pPr>
        <w:autoSpaceDE/>
        <w:autoSpaceDN/>
        <w:rPr>
          <w:b/>
          <w:szCs w:val="21"/>
        </w:rPr>
      </w:pPr>
      <w:r>
        <w:rPr>
          <w:b/>
          <w:szCs w:val="21"/>
        </w:rPr>
        <w:br w:type="page"/>
      </w:r>
    </w:p>
    <w:p w:rsidR="00B21117" w:rsidRPr="00B21117" w:rsidRDefault="00B21117" w:rsidP="00B21117">
      <w:pPr>
        <w:pStyle w:val="1"/>
        <w:spacing w:after="0" w:line="360" w:lineRule="auto"/>
        <w:rPr>
          <w:rStyle w:val="20"/>
          <w:rFonts w:ascii="Times New Roman" w:eastAsia="宋体" w:hAnsi="Times New Roman" w:cs="Times New Roman" w:hint="eastAsia"/>
          <w:b/>
          <w:bCs/>
          <w:kern w:val="44"/>
          <w:sz w:val="24"/>
          <w:szCs w:val="44"/>
        </w:rPr>
      </w:pPr>
      <w:bookmarkStart w:id="1" w:name="_Toc136715191"/>
      <w:bookmarkStart w:id="2" w:name="_Toc154148873"/>
      <w:r>
        <w:rPr>
          <w:sz w:val="24"/>
        </w:rPr>
        <w:lastRenderedPageBreak/>
        <w:t>Supplemental figure</w:t>
      </w:r>
      <w:bookmarkEnd w:id="1"/>
      <w:bookmarkEnd w:id="2"/>
    </w:p>
    <w:p w:rsidR="00B21117" w:rsidRPr="00B21117" w:rsidRDefault="00B21117" w:rsidP="00B21117">
      <w:pPr>
        <w:pStyle w:val="2"/>
        <w:spacing w:line="360" w:lineRule="auto"/>
        <w:rPr>
          <w:rFonts w:ascii="Times New Roman" w:hAnsi="Times New Roman" w:cs="Times New Roman"/>
          <w:b w:val="0"/>
          <w:bCs w:val="0"/>
        </w:rPr>
      </w:pPr>
      <w:bookmarkStart w:id="3" w:name="_Toc154148874"/>
      <w:r w:rsidRPr="00B21117">
        <w:rPr>
          <w:rFonts w:ascii="Times New Roman" w:hAnsi="Times New Roman" w:cs="Times New Roman"/>
          <w:sz w:val="24"/>
        </w:rPr>
        <w:t xml:space="preserve">Supplemental </w:t>
      </w:r>
      <w:r w:rsidR="00444D0C" w:rsidRPr="00B21117">
        <w:rPr>
          <w:rFonts w:ascii="Times New Roman" w:eastAsia="宋体" w:hAnsi="Times New Roman" w:cs="Times New Roman"/>
          <w:kern w:val="44"/>
          <w:sz w:val="24"/>
          <w:szCs w:val="44"/>
        </w:rPr>
        <w:t xml:space="preserve">Figure 1. </w:t>
      </w:r>
      <w:r w:rsidR="0091741F" w:rsidRPr="00B21117">
        <w:rPr>
          <w:rFonts w:ascii="Times New Roman" w:eastAsia="宋体" w:hAnsi="Times New Roman" w:cs="Times New Roman"/>
          <w:kern w:val="44"/>
          <w:sz w:val="24"/>
          <w:szCs w:val="44"/>
        </w:rPr>
        <w:t>Propensity score matching jitter plot (A) and the balance of the covariates after propensity score matching (B).</w:t>
      </w:r>
      <w:bookmarkEnd w:id="3"/>
      <w:r w:rsidR="0091741F" w:rsidRPr="00B21117">
        <w:rPr>
          <w:rFonts w:ascii="Times New Roman" w:eastAsia="宋体" w:hAnsi="Times New Roman" w:cs="Times New Roman"/>
          <w:b w:val="0"/>
          <w:bCs w:val="0"/>
          <w:kern w:val="44"/>
          <w:szCs w:val="44"/>
        </w:rPr>
        <w:t xml:space="preserve"> </w:t>
      </w:r>
    </w:p>
    <w:p w:rsidR="00B03AA4" w:rsidRPr="00B21117" w:rsidRDefault="0091741F" w:rsidP="00B21117">
      <w:pPr>
        <w:spacing w:line="360" w:lineRule="auto"/>
        <w:rPr>
          <w:sz w:val="24"/>
        </w:rPr>
      </w:pPr>
      <w:r w:rsidRPr="00B21117">
        <w:rPr>
          <w:sz w:val="24"/>
        </w:rPr>
        <w:t>PSM denotes propensity score matching. ICU denotes intensive care unit. WBC denotes white blood cells.</w:t>
      </w:r>
    </w:p>
    <w:p w:rsidR="00444D0C" w:rsidRPr="00AC254A" w:rsidRDefault="00444D0C" w:rsidP="00444D0C">
      <w:pPr>
        <w:rPr>
          <w:szCs w:val="21"/>
        </w:rPr>
      </w:pPr>
      <w:r>
        <w:rPr>
          <w:noProof/>
          <w:szCs w:val="21"/>
          <w14:ligatures w14:val="none"/>
        </w:rPr>
        <w:drawing>
          <wp:inline distT="0" distB="0" distL="0" distR="0">
            <wp:extent cx="5274310" cy="19202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新建 CorelDRAW X4 Graphic (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3AA4" w:rsidRPr="00AC254A" w:rsidRDefault="00B03AA4" w:rsidP="00B03AA4">
      <w:pPr>
        <w:rPr>
          <w:szCs w:val="21"/>
        </w:rPr>
      </w:pPr>
      <w:r w:rsidRPr="00AC254A">
        <w:rPr>
          <w:szCs w:val="21"/>
        </w:rPr>
        <w:br w:type="page"/>
      </w:r>
    </w:p>
    <w:p w:rsidR="00B21117" w:rsidRPr="00B21117" w:rsidRDefault="00B21117" w:rsidP="00B21117">
      <w:pPr>
        <w:pStyle w:val="1"/>
        <w:spacing w:after="0" w:line="360" w:lineRule="auto"/>
        <w:rPr>
          <w:rStyle w:val="20"/>
          <w:rFonts w:ascii="Times New Roman" w:eastAsia="宋体" w:hAnsi="Times New Roman" w:cs="Times New Roman" w:hint="eastAsia"/>
          <w:b/>
          <w:bCs/>
          <w:kern w:val="44"/>
          <w:sz w:val="24"/>
          <w:szCs w:val="44"/>
        </w:rPr>
      </w:pPr>
      <w:bookmarkStart w:id="4" w:name="_Toc154148875"/>
      <w:r>
        <w:rPr>
          <w:sz w:val="24"/>
        </w:rPr>
        <w:lastRenderedPageBreak/>
        <w:t xml:space="preserve">Supplemental </w:t>
      </w:r>
      <w:r>
        <w:rPr>
          <w:rFonts w:hint="eastAsia"/>
          <w:sz w:val="24"/>
        </w:rPr>
        <w:t>tables</w:t>
      </w:r>
      <w:bookmarkEnd w:id="4"/>
    </w:p>
    <w:p w:rsidR="00B21117" w:rsidRDefault="00B21117" w:rsidP="00444D0C">
      <w:pPr>
        <w:rPr>
          <w:b/>
          <w:szCs w:val="21"/>
        </w:rPr>
      </w:pPr>
    </w:p>
    <w:p w:rsidR="00444D0C" w:rsidRPr="00B21117" w:rsidRDefault="00444D0C" w:rsidP="00B21117">
      <w:pPr>
        <w:pStyle w:val="2"/>
        <w:spacing w:after="0" w:line="360" w:lineRule="auto"/>
        <w:rPr>
          <w:rFonts w:ascii="Times New Roman" w:hAnsi="Times New Roman" w:cs="Times New Roman"/>
          <w:sz w:val="24"/>
          <w:szCs w:val="44"/>
        </w:rPr>
      </w:pPr>
      <w:bookmarkStart w:id="5" w:name="_Toc154148876"/>
      <w:r w:rsidRPr="00B21117">
        <w:rPr>
          <w:rFonts w:ascii="Times New Roman" w:hAnsi="Times New Roman" w:cs="Times New Roman"/>
          <w:sz w:val="24"/>
          <w:szCs w:val="44"/>
        </w:rPr>
        <w:t>Supplementary Table 1. The components and individual values of the Murray lung injury score.</w:t>
      </w:r>
      <w:bookmarkEnd w:id="5"/>
    </w:p>
    <w:tbl>
      <w:tblPr>
        <w:tblpPr w:leftFromText="180" w:rightFromText="180" w:vertAnchor="page" w:horzAnchor="margin" w:tblpY="3691"/>
        <w:tblW w:w="508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3"/>
        <w:gridCol w:w="1353"/>
        <w:gridCol w:w="1353"/>
        <w:gridCol w:w="1353"/>
        <w:gridCol w:w="1353"/>
        <w:gridCol w:w="1349"/>
      </w:tblGrid>
      <w:tr w:rsidR="00B21117" w:rsidRPr="00AC254A" w:rsidTr="00B21117">
        <w:tc>
          <w:tcPr>
            <w:tcW w:w="997" w:type="pct"/>
            <w:tcBorders>
              <w:tl2br w:val="single" w:sz="4" w:space="0" w:color="auto"/>
            </w:tcBorders>
            <w:shd w:val="clear" w:color="auto" w:fill="auto"/>
          </w:tcPr>
          <w:p w:rsidR="00B21117" w:rsidRPr="00AC254A" w:rsidRDefault="00B21117" w:rsidP="00B21117">
            <w:pPr>
              <w:rPr>
                <w:bCs/>
                <w:sz w:val="20"/>
                <w:szCs w:val="21"/>
              </w:rPr>
            </w:pPr>
            <w:r w:rsidRPr="00AC254A">
              <w:rPr>
                <w:bCs/>
                <w:sz w:val="20"/>
                <w:szCs w:val="21"/>
              </w:rPr>
              <w:t xml:space="preserve">        Score</w:t>
            </w:r>
          </w:p>
          <w:p w:rsidR="00B21117" w:rsidRPr="00AC254A" w:rsidRDefault="00B21117" w:rsidP="00B21117">
            <w:pPr>
              <w:rPr>
                <w:bCs/>
                <w:szCs w:val="21"/>
              </w:rPr>
            </w:pPr>
            <w:r w:rsidRPr="00AC254A">
              <w:rPr>
                <w:bCs/>
                <w:sz w:val="20"/>
                <w:szCs w:val="21"/>
              </w:rPr>
              <w:t>Components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0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1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2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3</w:t>
            </w:r>
          </w:p>
        </w:tc>
        <w:tc>
          <w:tcPr>
            <w:tcW w:w="799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4</w:t>
            </w:r>
          </w:p>
        </w:tc>
      </w:tr>
      <w:tr w:rsidR="00B21117" w:rsidRPr="00AC254A" w:rsidTr="00B21117">
        <w:tc>
          <w:tcPr>
            <w:tcW w:w="997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PEEP (when ventilated)</w:t>
            </w:r>
          </w:p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（</w:t>
            </w:r>
            <w:r w:rsidRPr="00AC254A">
              <w:rPr>
                <w:bCs/>
                <w:szCs w:val="21"/>
              </w:rPr>
              <w:t>cmH</w:t>
            </w:r>
            <w:r w:rsidRPr="00AC254A">
              <w:rPr>
                <w:bCs/>
                <w:szCs w:val="21"/>
                <w:vertAlign w:val="subscript"/>
              </w:rPr>
              <w:t>2</w:t>
            </w:r>
            <w:r w:rsidRPr="00AC254A">
              <w:rPr>
                <w:bCs/>
                <w:szCs w:val="21"/>
              </w:rPr>
              <w:t>O</w:t>
            </w:r>
            <w:r w:rsidRPr="00AC254A">
              <w:rPr>
                <w:bCs/>
                <w:szCs w:val="21"/>
              </w:rPr>
              <w:t>）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≤5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6-8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9-11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12-14</w:t>
            </w:r>
          </w:p>
        </w:tc>
        <w:tc>
          <w:tcPr>
            <w:tcW w:w="799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≥15</w:t>
            </w:r>
          </w:p>
        </w:tc>
      </w:tr>
      <w:tr w:rsidR="00B21117" w:rsidRPr="00AC254A" w:rsidTr="00B21117">
        <w:tc>
          <w:tcPr>
            <w:tcW w:w="997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Hypoxemia</w:t>
            </w:r>
          </w:p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（</w:t>
            </w:r>
            <w:r w:rsidRPr="00AC254A">
              <w:rPr>
                <w:bCs/>
                <w:szCs w:val="21"/>
              </w:rPr>
              <w:t>PaO</w:t>
            </w:r>
            <w:r w:rsidRPr="00AC254A">
              <w:rPr>
                <w:bCs/>
                <w:szCs w:val="21"/>
                <w:vertAlign w:val="subscript"/>
              </w:rPr>
              <w:t>2</w:t>
            </w:r>
            <w:r w:rsidRPr="00AC254A">
              <w:rPr>
                <w:bCs/>
                <w:szCs w:val="21"/>
              </w:rPr>
              <w:t>/FiO</w:t>
            </w:r>
            <w:r w:rsidRPr="00AC254A">
              <w:rPr>
                <w:bCs/>
                <w:szCs w:val="21"/>
                <w:vertAlign w:val="subscript"/>
              </w:rPr>
              <w:t>2</w:t>
            </w:r>
            <w:r w:rsidRPr="00AC254A">
              <w:rPr>
                <w:bCs/>
                <w:szCs w:val="21"/>
              </w:rPr>
              <w:t>）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≥300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225-299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175-224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100-174</w:t>
            </w:r>
          </w:p>
        </w:tc>
        <w:tc>
          <w:tcPr>
            <w:tcW w:w="799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&lt;100</w:t>
            </w:r>
          </w:p>
        </w:tc>
      </w:tr>
      <w:tr w:rsidR="00B21117" w:rsidRPr="00AC254A" w:rsidTr="00B21117">
        <w:tc>
          <w:tcPr>
            <w:tcW w:w="997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Chest roentgenogram score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No alveolar consolidation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 xml:space="preserve">Alveolar consolidation confined to 1 quadrant 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Alveolar consolidation confined to 2 quadrants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Alveolar consolidation confined to 3 quadrants</w:t>
            </w:r>
          </w:p>
        </w:tc>
        <w:tc>
          <w:tcPr>
            <w:tcW w:w="799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Alveolar consolidation in all 4 quadrants</w:t>
            </w:r>
          </w:p>
        </w:tc>
      </w:tr>
      <w:tr w:rsidR="00B21117" w:rsidRPr="00AC254A" w:rsidTr="00B21117">
        <w:tc>
          <w:tcPr>
            <w:tcW w:w="997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Respiratory system compliance (when ventilated)</w:t>
            </w:r>
          </w:p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（</w:t>
            </w:r>
            <w:r w:rsidRPr="00AC254A">
              <w:rPr>
                <w:bCs/>
                <w:szCs w:val="21"/>
              </w:rPr>
              <w:t>ml/cmH</w:t>
            </w:r>
            <w:r w:rsidRPr="00AC254A">
              <w:rPr>
                <w:bCs/>
                <w:szCs w:val="21"/>
                <w:vertAlign w:val="subscript"/>
              </w:rPr>
              <w:t>2</w:t>
            </w:r>
            <w:r w:rsidRPr="00AC254A">
              <w:rPr>
                <w:bCs/>
                <w:szCs w:val="21"/>
              </w:rPr>
              <w:t>O</w:t>
            </w:r>
            <w:r w:rsidRPr="00AC254A">
              <w:rPr>
                <w:bCs/>
                <w:szCs w:val="21"/>
              </w:rPr>
              <w:t>）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≥80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60-79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40-59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20-39</w:t>
            </w:r>
          </w:p>
        </w:tc>
        <w:tc>
          <w:tcPr>
            <w:tcW w:w="799" w:type="pct"/>
            <w:shd w:val="clear" w:color="auto" w:fill="auto"/>
            <w:vAlign w:val="center"/>
          </w:tcPr>
          <w:p w:rsidR="00B21117" w:rsidRPr="00AC254A" w:rsidRDefault="00B21117" w:rsidP="00B21117">
            <w:pPr>
              <w:jc w:val="center"/>
              <w:rPr>
                <w:bCs/>
                <w:szCs w:val="21"/>
              </w:rPr>
            </w:pPr>
            <w:r w:rsidRPr="00AC254A">
              <w:rPr>
                <w:bCs/>
                <w:szCs w:val="21"/>
              </w:rPr>
              <w:t>≤19</w:t>
            </w:r>
          </w:p>
        </w:tc>
      </w:tr>
    </w:tbl>
    <w:p w:rsidR="00444D0C" w:rsidRDefault="00444D0C" w:rsidP="00444D0C">
      <w:pPr>
        <w:rPr>
          <w:szCs w:val="21"/>
        </w:rPr>
      </w:pPr>
    </w:p>
    <w:p w:rsidR="00B21117" w:rsidRDefault="00B21117" w:rsidP="00444D0C">
      <w:pPr>
        <w:rPr>
          <w:szCs w:val="21"/>
        </w:rPr>
      </w:pPr>
    </w:p>
    <w:p w:rsidR="00B21117" w:rsidRPr="00AC254A" w:rsidRDefault="00B21117" w:rsidP="00444D0C">
      <w:pPr>
        <w:rPr>
          <w:rFonts w:hint="eastAsia"/>
          <w:szCs w:val="21"/>
        </w:rPr>
      </w:pPr>
    </w:p>
    <w:p w:rsidR="00444D0C" w:rsidRPr="00AC254A" w:rsidRDefault="00444D0C" w:rsidP="00444D0C">
      <w:pPr>
        <w:jc w:val="both"/>
        <w:rPr>
          <w:szCs w:val="21"/>
        </w:rPr>
      </w:pPr>
      <w:r w:rsidRPr="00AC254A">
        <w:rPr>
          <w:szCs w:val="21"/>
        </w:rPr>
        <w:t xml:space="preserve">The final value </w:t>
      </w:r>
      <w:proofErr w:type="gramStart"/>
      <w:r w:rsidRPr="00AC254A">
        <w:rPr>
          <w:szCs w:val="21"/>
        </w:rPr>
        <w:t>is obtained</w:t>
      </w:r>
      <w:proofErr w:type="gramEnd"/>
      <w:r w:rsidRPr="00AC254A">
        <w:rPr>
          <w:szCs w:val="21"/>
        </w:rPr>
        <w:t xml:space="preserve"> by dividing the aggregate sum by the number of components that were used.</w:t>
      </w:r>
    </w:p>
    <w:p w:rsidR="00444D0C" w:rsidRPr="00AC254A" w:rsidRDefault="00444D0C" w:rsidP="00444D0C">
      <w:pPr>
        <w:rPr>
          <w:szCs w:val="21"/>
          <w:u w:val="single"/>
        </w:rPr>
      </w:pPr>
      <w:r w:rsidRPr="00AC254A">
        <w:rPr>
          <w:szCs w:val="21"/>
        </w:rPr>
        <w:t xml:space="preserve">                               </w:t>
      </w:r>
      <w:r w:rsidRPr="00AC254A">
        <w:rPr>
          <w:szCs w:val="21"/>
          <w:u w:val="single"/>
        </w:rPr>
        <w:t>Score</w:t>
      </w:r>
    </w:p>
    <w:p w:rsidR="00444D0C" w:rsidRPr="00AC254A" w:rsidRDefault="00444D0C" w:rsidP="00444D0C">
      <w:pPr>
        <w:rPr>
          <w:szCs w:val="21"/>
        </w:rPr>
      </w:pPr>
      <w:r w:rsidRPr="00AC254A">
        <w:rPr>
          <w:szCs w:val="21"/>
        </w:rPr>
        <w:t>No lung injury                   0</w:t>
      </w:r>
    </w:p>
    <w:p w:rsidR="00444D0C" w:rsidRPr="00AC254A" w:rsidRDefault="00444D0C" w:rsidP="00444D0C">
      <w:pPr>
        <w:rPr>
          <w:szCs w:val="21"/>
        </w:rPr>
      </w:pPr>
      <w:r w:rsidRPr="00AC254A">
        <w:rPr>
          <w:szCs w:val="21"/>
        </w:rPr>
        <w:t xml:space="preserve">Mild-to moderate lung injury       0.1-2.5 </w:t>
      </w:r>
    </w:p>
    <w:p w:rsidR="00444D0C" w:rsidRPr="00AC254A" w:rsidRDefault="00444D0C" w:rsidP="00444D0C">
      <w:pPr>
        <w:rPr>
          <w:szCs w:val="21"/>
        </w:rPr>
      </w:pPr>
      <w:r w:rsidRPr="00AC254A">
        <w:rPr>
          <w:szCs w:val="21"/>
        </w:rPr>
        <w:t>Severe lung injury (ARDS)        &gt;2.5</w:t>
      </w:r>
    </w:p>
    <w:p w:rsidR="00444D0C" w:rsidRDefault="00444D0C" w:rsidP="00D07E4C">
      <w:pPr>
        <w:rPr>
          <w:b/>
          <w:szCs w:val="21"/>
        </w:rPr>
      </w:pPr>
    </w:p>
    <w:p w:rsidR="00444D0C" w:rsidRDefault="00444D0C">
      <w:pPr>
        <w:autoSpaceDE/>
        <w:autoSpaceDN/>
        <w:rPr>
          <w:b/>
          <w:szCs w:val="21"/>
        </w:rPr>
      </w:pPr>
      <w:r>
        <w:rPr>
          <w:b/>
          <w:szCs w:val="21"/>
        </w:rPr>
        <w:br w:type="page"/>
      </w:r>
    </w:p>
    <w:p w:rsidR="00D07E4C" w:rsidRPr="00B21117" w:rsidRDefault="00D07E4C" w:rsidP="00B21117">
      <w:pPr>
        <w:pStyle w:val="2"/>
        <w:spacing w:after="0" w:line="360" w:lineRule="auto"/>
        <w:rPr>
          <w:rFonts w:ascii="Times New Roman" w:hAnsi="Times New Roman" w:cs="Times New Roman"/>
          <w:sz w:val="24"/>
          <w:szCs w:val="44"/>
        </w:rPr>
      </w:pPr>
      <w:bookmarkStart w:id="6" w:name="_Toc154148877"/>
      <w:r w:rsidRPr="00B21117">
        <w:rPr>
          <w:rFonts w:ascii="Times New Roman" w:hAnsi="Times New Roman" w:cs="Times New Roman"/>
          <w:sz w:val="24"/>
          <w:szCs w:val="44"/>
        </w:rPr>
        <w:lastRenderedPageBreak/>
        <w:t xml:space="preserve">Supplementary Table S2. The </w:t>
      </w:r>
      <w:proofErr w:type="spellStart"/>
      <w:r w:rsidRPr="00B21117">
        <w:rPr>
          <w:rFonts w:ascii="Times New Roman" w:hAnsi="Times New Roman" w:cs="Times New Roman"/>
          <w:sz w:val="24"/>
          <w:szCs w:val="44"/>
        </w:rPr>
        <w:t>Murry</w:t>
      </w:r>
      <w:proofErr w:type="spellEnd"/>
      <w:r w:rsidRPr="00B21117">
        <w:rPr>
          <w:rFonts w:ascii="Times New Roman" w:hAnsi="Times New Roman" w:cs="Times New Roman"/>
          <w:sz w:val="24"/>
          <w:szCs w:val="44"/>
        </w:rPr>
        <w:t xml:space="preserve"> lung injury scores in two groups.</w:t>
      </w:r>
      <w:bookmarkEnd w:id="6"/>
    </w:p>
    <w:tbl>
      <w:tblPr>
        <w:tblStyle w:val="a7"/>
        <w:tblW w:w="0" w:type="auto"/>
        <w:tblInd w:w="0" w:type="dxa"/>
        <w:tblLook w:val="04A0" w:firstRow="1" w:lastRow="0" w:firstColumn="1" w:lastColumn="0" w:noHBand="0" w:noVBand="1"/>
      </w:tblPr>
      <w:tblGrid>
        <w:gridCol w:w="2552"/>
        <w:gridCol w:w="2410"/>
        <w:gridCol w:w="1842"/>
        <w:gridCol w:w="1492"/>
      </w:tblGrid>
      <w:tr w:rsidR="00D07E4C" w:rsidRPr="00AC254A" w:rsidTr="001757C2"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Variables</w:t>
            </w:r>
          </w:p>
        </w:tc>
        <w:tc>
          <w:tcPr>
            <w:tcW w:w="2410" w:type="dxa"/>
            <w:tcBorders>
              <w:left w:val="nil"/>
              <w:bottom w:val="single" w:sz="4" w:space="0" w:color="auto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proofErr w:type="spellStart"/>
            <w:r w:rsidRPr="00AC254A">
              <w:rPr>
                <w:sz w:val="21"/>
                <w:szCs w:val="21"/>
              </w:rPr>
              <w:t>Sivevastat</w:t>
            </w:r>
            <w:proofErr w:type="spellEnd"/>
            <w:r w:rsidRPr="00AC254A">
              <w:rPr>
                <w:sz w:val="21"/>
                <w:szCs w:val="21"/>
              </w:rPr>
              <w:t xml:space="preserve"> (n=79)</w:t>
            </w:r>
          </w:p>
        </w:tc>
        <w:tc>
          <w:tcPr>
            <w:tcW w:w="1842" w:type="dxa"/>
            <w:tcBorders>
              <w:left w:val="nil"/>
              <w:bottom w:val="single" w:sz="4" w:space="0" w:color="auto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Control (n=79)</w:t>
            </w:r>
          </w:p>
        </w:tc>
        <w:tc>
          <w:tcPr>
            <w:tcW w:w="1492" w:type="dxa"/>
            <w:tcBorders>
              <w:left w:val="nil"/>
              <w:bottom w:val="single" w:sz="4" w:space="0" w:color="auto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 xml:space="preserve">P value </w:t>
            </w:r>
          </w:p>
        </w:tc>
      </w:tr>
      <w:tr w:rsidR="00D07E4C" w:rsidRPr="00AC254A" w:rsidTr="001757C2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Day 1, median (IQR)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2 (0, 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2 (0, 2)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1.00</w:t>
            </w:r>
          </w:p>
        </w:tc>
      </w:tr>
      <w:tr w:rsidR="00D07E4C" w:rsidRPr="00AC254A" w:rsidTr="001757C2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Day 3, median (IQR)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2 (2, 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2 (2, 3)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0.016</w:t>
            </w:r>
          </w:p>
        </w:tc>
      </w:tr>
      <w:tr w:rsidR="00D07E4C" w:rsidRPr="00AC254A" w:rsidTr="001757C2"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Day 5, median (IQR)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2 (2, 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2 (2, 3)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0.157</w:t>
            </w:r>
          </w:p>
        </w:tc>
      </w:tr>
      <w:tr w:rsidR="00D07E4C" w:rsidRPr="00AC254A" w:rsidTr="001757C2">
        <w:tc>
          <w:tcPr>
            <w:tcW w:w="2552" w:type="dxa"/>
            <w:tcBorders>
              <w:top w:val="nil"/>
              <w:left w:val="nil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Day 7, median (IQR)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2 (2, 2)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2 (2, 2.8)</w:t>
            </w:r>
          </w:p>
        </w:tc>
        <w:tc>
          <w:tcPr>
            <w:tcW w:w="1492" w:type="dxa"/>
            <w:tcBorders>
              <w:top w:val="nil"/>
              <w:left w:val="nil"/>
              <w:right w:val="nil"/>
            </w:tcBorders>
          </w:tcPr>
          <w:p w:rsidR="00D07E4C" w:rsidRPr="00AC254A" w:rsidRDefault="00D07E4C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0.317</w:t>
            </w:r>
          </w:p>
        </w:tc>
      </w:tr>
    </w:tbl>
    <w:p w:rsidR="00D07E4C" w:rsidRPr="00AC254A" w:rsidRDefault="00D07E4C" w:rsidP="00D07E4C">
      <w:pPr>
        <w:rPr>
          <w:szCs w:val="21"/>
        </w:rPr>
      </w:pPr>
      <w:r w:rsidRPr="00AC254A">
        <w:rPr>
          <w:b/>
          <w:szCs w:val="21"/>
        </w:rPr>
        <w:t xml:space="preserve">Abbreviations: </w:t>
      </w:r>
      <w:r w:rsidRPr="00AC254A">
        <w:rPr>
          <w:szCs w:val="21"/>
        </w:rPr>
        <w:t>IQR: interquartile range.</w:t>
      </w:r>
    </w:p>
    <w:p w:rsidR="00D07E4C" w:rsidRDefault="00D07E4C" w:rsidP="00B03AA4">
      <w:pPr>
        <w:rPr>
          <w:b/>
          <w:szCs w:val="21"/>
        </w:rPr>
      </w:pPr>
    </w:p>
    <w:p w:rsidR="00D07E4C" w:rsidRDefault="00D07E4C" w:rsidP="00B03AA4">
      <w:pPr>
        <w:rPr>
          <w:b/>
          <w:szCs w:val="21"/>
        </w:rPr>
      </w:pPr>
    </w:p>
    <w:p w:rsidR="00D07E4C" w:rsidRDefault="00D07E4C">
      <w:pPr>
        <w:autoSpaceDE/>
        <w:autoSpaceDN/>
        <w:rPr>
          <w:b/>
          <w:szCs w:val="21"/>
        </w:rPr>
      </w:pPr>
      <w:r>
        <w:rPr>
          <w:b/>
          <w:szCs w:val="21"/>
        </w:rPr>
        <w:br w:type="page"/>
      </w:r>
    </w:p>
    <w:p w:rsidR="00B03AA4" w:rsidRPr="00B21117" w:rsidRDefault="00B03AA4" w:rsidP="00B21117">
      <w:pPr>
        <w:pStyle w:val="2"/>
        <w:spacing w:after="0" w:line="360" w:lineRule="auto"/>
        <w:rPr>
          <w:rFonts w:ascii="Times New Roman" w:hAnsi="Times New Roman" w:cs="Times New Roman"/>
          <w:sz w:val="24"/>
          <w:szCs w:val="44"/>
        </w:rPr>
      </w:pPr>
      <w:bookmarkStart w:id="7" w:name="_Toc154148878"/>
      <w:r w:rsidRPr="00B21117">
        <w:rPr>
          <w:rFonts w:ascii="Times New Roman" w:hAnsi="Times New Roman" w:cs="Times New Roman"/>
          <w:sz w:val="24"/>
          <w:szCs w:val="44"/>
        </w:rPr>
        <w:lastRenderedPageBreak/>
        <w:t xml:space="preserve">Supplementary Table </w:t>
      </w:r>
      <w:r w:rsidR="00D07E4C" w:rsidRPr="00B21117">
        <w:rPr>
          <w:rFonts w:ascii="Times New Roman" w:hAnsi="Times New Roman" w:cs="Times New Roman"/>
          <w:sz w:val="24"/>
          <w:szCs w:val="44"/>
        </w:rPr>
        <w:t>3</w:t>
      </w:r>
      <w:r w:rsidRPr="00B21117">
        <w:rPr>
          <w:rFonts w:ascii="Times New Roman" w:hAnsi="Times New Roman" w:cs="Times New Roman"/>
          <w:sz w:val="24"/>
          <w:szCs w:val="44"/>
        </w:rPr>
        <w:t xml:space="preserve">. The decrease in </w:t>
      </w:r>
      <w:proofErr w:type="spellStart"/>
      <w:r w:rsidRPr="00B21117">
        <w:rPr>
          <w:rFonts w:ascii="Times New Roman" w:hAnsi="Times New Roman" w:cs="Times New Roman"/>
          <w:sz w:val="24"/>
          <w:szCs w:val="44"/>
        </w:rPr>
        <w:t>Murry</w:t>
      </w:r>
      <w:proofErr w:type="spellEnd"/>
      <w:r w:rsidRPr="00B21117">
        <w:rPr>
          <w:rFonts w:ascii="Times New Roman" w:hAnsi="Times New Roman" w:cs="Times New Roman"/>
          <w:sz w:val="24"/>
          <w:szCs w:val="44"/>
        </w:rPr>
        <w:t xml:space="preserve"> lung injury score compared with baseline.</w:t>
      </w:r>
      <w:bookmarkEnd w:id="7"/>
    </w:p>
    <w:tbl>
      <w:tblPr>
        <w:tblStyle w:val="a7"/>
        <w:tblW w:w="0" w:type="auto"/>
        <w:tblInd w:w="0" w:type="dxa"/>
        <w:tblLook w:val="04A0" w:firstRow="1" w:lastRow="0" w:firstColumn="1" w:lastColumn="0" w:noHBand="0" w:noVBand="1"/>
      </w:tblPr>
      <w:tblGrid>
        <w:gridCol w:w="2694"/>
        <w:gridCol w:w="2126"/>
        <w:gridCol w:w="1984"/>
        <w:gridCol w:w="1492"/>
      </w:tblGrid>
      <w:tr w:rsidR="00B03AA4" w:rsidRPr="00AC254A" w:rsidTr="001757C2">
        <w:tc>
          <w:tcPr>
            <w:tcW w:w="2694" w:type="dxa"/>
            <w:tcBorders>
              <w:left w:val="nil"/>
              <w:bottom w:val="single" w:sz="4" w:space="0" w:color="auto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Variables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proofErr w:type="spellStart"/>
            <w:r w:rsidRPr="00AC254A">
              <w:rPr>
                <w:sz w:val="21"/>
                <w:szCs w:val="21"/>
              </w:rPr>
              <w:t>Sivevastat</w:t>
            </w:r>
            <w:proofErr w:type="spellEnd"/>
            <w:r w:rsidRPr="00AC254A">
              <w:rPr>
                <w:sz w:val="21"/>
                <w:szCs w:val="21"/>
              </w:rPr>
              <w:t xml:space="preserve"> (n=79)</w:t>
            </w: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Control (n=79)</w:t>
            </w:r>
          </w:p>
        </w:tc>
        <w:tc>
          <w:tcPr>
            <w:tcW w:w="1492" w:type="dxa"/>
            <w:tcBorders>
              <w:left w:val="nil"/>
              <w:bottom w:val="single" w:sz="4" w:space="0" w:color="auto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 xml:space="preserve">P value </w:t>
            </w:r>
          </w:p>
        </w:tc>
      </w:tr>
      <w:tr w:rsidR="00B03AA4" w:rsidRPr="00AC254A" w:rsidTr="001757C2">
        <w:tc>
          <w:tcPr>
            <w:tcW w:w="2694" w:type="dxa"/>
            <w:tcBorders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Day 1, median (IQR)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 (0, 1)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 (0, 1)</w:t>
            </w:r>
          </w:p>
        </w:tc>
        <w:tc>
          <w:tcPr>
            <w:tcW w:w="1492" w:type="dxa"/>
            <w:tcBorders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0.637</w:t>
            </w:r>
          </w:p>
        </w:tc>
      </w:tr>
      <w:tr w:rsidR="00B03AA4" w:rsidRPr="00AC254A" w:rsidTr="001757C2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Day 3, median (IQR)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 (0, 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 (0, 0)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0.120</w:t>
            </w:r>
          </w:p>
        </w:tc>
      </w:tr>
      <w:tr w:rsidR="00B03AA4" w:rsidRPr="00AC254A" w:rsidTr="001757C2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Day 5, median (IQR)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 (0, 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 (0, 0.5)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0.439</w:t>
            </w:r>
          </w:p>
        </w:tc>
      </w:tr>
      <w:tr w:rsidR="00B03AA4" w:rsidRPr="00AC254A" w:rsidTr="001757C2">
        <w:tc>
          <w:tcPr>
            <w:tcW w:w="2694" w:type="dxa"/>
            <w:tcBorders>
              <w:top w:val="nil"/>
              <w:left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Day 7, median (IQR)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 (0, 1)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 (0, 1)</w:t>
            </w:r>
          </w:p>
        </w:tc>
        <w:tc>
          <w:tcPr>
            <w:tcW w:w="1492" w:type="dxa"/>
            <w:tcBorders>
              <w:top w:val="nil"/>
              <w:left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0.564</w:t>
            </w:r>
          </w:p>
        </w:tc>
      </w:tr>
    </w:tbl>
    <w:p w:rsidR="00B03AA4" w:rsidRPr="00AC254A" w:rsidRDefault="00B03AA4" w:rsidP="00B03AA4">
      <w:pPr>
        <w:rPr>
          <w:szCs w:val="21"/>
        </w:rPr>
      </w:pPr>
      <w:r w:rsidRPr="00AC254A">
        <w:rPr>
          <w:b/>
          <w:szCs w:val="21"/>
        </w:rPr>
        <w:t xml:space="preserve">Abbreviations: </w:t>
      </w:r>
      <w:r w:rsidRPr="00AC254A">
        <w:rPr>
          <w:szCs w:val="21"/>
        </w:rPr>
        <w:t>IQR: interquartile range.</w:t>
      </w:r>
    </w:p>
    <w:p w:rsidR="00B03AA4" w:rsidRPr="00AC254A" w:rsidRDefault="00B03AA4" w:rsidP="00B03AA4">
      <w:pPr>
        <w:rPr>
          <w:szCs w:val="21"/>
        </w:rPr>
      </w:pPr>
    </w:p>
    <w:p w:rsidR="00B03AA4" w:rsidRPr="00AC254A" w:rsidRDefault="00B03AA4" w:rsidP="00B03AA4">
      <w:pPr>
        <w:rPr>
          <w:szCs w:val="21"/>
        </w:rPr>
        <w:sectPr w:rsidR="00B03AA4" w:rsidRPr="00AC254A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03AA4" w:rsidRPr="00B21117" w:rsidRDefault="00B03AA4" w:rsidP="00B21117">
      <w:pPr>
        <w:pStyle w:val="2"/>
        <w:spacing w:after="0" w:line="360" w:lineRule="auto"/>
        <w:rPr>
          <w:rFonts w:ascii="Times New Roman" w:hAnsi="Times New Roman" w:cs="Times New Roman"/>
          <w:sz w:val="24"/>
          <w:szCs w:val="44"/>
        </w:rPr>
      </w:pPr>
      <w:bookmarkStart w:id="8" w:name="_Toc154148879"/>
      <w:r w:rsidRPr="00B21117">
        <w:rPr>
          <w:rFonts w:ascii="Times New Roman" w:hAnsi="Times New Roman" w:cs="Times New Roman"/>
          <w:sz w:val="24"/>
          <w:szCs w:val="44"/>
        </w:rPr>
        <w:lastRenderedPageBreak/>
        <w:t xml:space="preserve">Supplementary Table </w:t>
      </w:r>
      <w:r w:rsidR="00D07E4C" w:rsidRPr="00B21117">
        <w:rPr>
          <w:rFonts w:ascii="Times New Roman" w:hAnsi="Times New Roman" w:cs="Times New Roman"/>
          <w:sz w:val="24"/>
          <w:szCs w:val="44"/>
        </w:rPr>
        <w:t>4</w:t>
      </w:r>
      <w:r w:rsidRPr="00B21117">
        <w:rPr>
          <w:rFonts w:ascii="Times New Roman" w:hAnsi="Times New Roman" w:cs="Times New Roman"/>
          <w:sz w:val="24"/>
          <w:szCs w:val="44"/>
        </w:rPr>
        <w:t>. Comparison of adverse events between two groups.</w:t>
      </w:r>
      <w:bookmarkEnd w:id="8"/>
    </w:p>
    <w:tbl>
      <w:tblPr>
        <w:tblStyle w:val="a7"/>
        <w:tblW w:w="5000" w:type="pct"/>
        <w:jc w:val="center"/>
        <w:tblInd w:w="0" w:type="dxa"/>
        <w:tblLook w:val="04A0" w:firstRow="1" w:lastRow="0" w:firstColumn="1" w:lastColumn="0" w:noHBand="0" w:noVBand="1"/>
      </w:tblPr>
      <w:tblGrid>
        <w:gridCol w:w="3827"/>
        <w:gridCol w:w="1558"/>
        <w:gridCol w:w="1276"/>
        <w:gridCol w:w="1700"/>
        <w:gridCol w:w="854"/>
        <w:gridCol w:w="706"/>
        <w:gridCol w:w="1276"/>
        <w:gridCol w:w="1700"/>
        <w:gridCol w:w="1061"/>
      </w:tblGrid>
      <w:tr w:rsidR="00B03AA4" w:rsidRPr="00AC254A" w:rsidTr="001757C2">
        <w:trPr>
          <w:trHeight w:val="398"/>
          <w:jc w:val="center"/>
        </w:trPr>
        <w:tc>
          <w:tcPr>
            <w:tcW w:w="3301" w:type="pct"/>
            <w:gridSpan w:val="5"/>
            <w:tcBorders>
              <w:left w:val="nil"/>
              <w:bottom w:val="single" w:sz="4" w:space="0" w:color="auto"/>
              <w:right w:val="nil"/>
            </w:tcBorders>
          </w:tcPr>
          <w:p w:rsidR="00B03AA4" w:rsidRPr="00AC254A" w:rsidRDefault="00B03AA4" w:rsidP="001757C2">
            <w:pPr>
              <w:ind w:firstLineChars="1400" w:firstLine="2940"/>
              <w:jc w:val="center"/>
              <w:rPr>
                <w:szCs w:val="21"/>
              </w:rPr>
            </w:pPr>
            <w:proofErr w:type="spellStart"/>
            <w:r w:rsidRPr="00AC254A">
              <w:rPr>
                <w:sz w:val="21"/>
                <w:szCs w:val="21"/>
              </w:rPr>
              <w:t>Sivevastat</w:t>
            </w:r>
            <w:proofErr w:type="spellEnd"/>
          </w:p>
        </w:tc>
        <w:tc>
          <w:tcPr>
            <w:tcW w:w="1699" w:type="pct"/>
            <w:gridSpan w:val="4"/>
            <w:tcBorders>
              <w:left w:val="nil"/>
              <w:bottom w:val="single" w:sz="4" w:space="0" w:color="auto"/>
              <w:right w:val="nil"/>
            </w:tcBorders>
          </w:tcPr>
          <w:p w:rsidR="00B03AA4" w:rsidRPr="00AC254A" w:rsidRDefault="00B03AA4" w:rsidP="001757C2">
            <w:pPr>
              <w:ind w:firstLineChars="400" w:firstLine="840"/>
              <w:jc w:val="left"/>
              <w:rPr>
                <w:szCs w:val="21"/>
              </w:rPr>
            </w:pPr>
            <w:r w:rsidRPr="00AC254A">
              <w:rPr>
                <w:sz w:val="21"/>
                <w:szCs w:val="21"/>
              </w:rPr>
              <w:t>Control</w:t>
            </w:r>
          </w:p>
        </w:tc>
      </w:tr>
      <w:tr w:rsidR="00B03AA4" w:rsidRPr="00AC254A" w:rsidTr="001757C2">
        <w:trPr>
          <w:trHeight w:val="656"/>
          <w:jc w:val="center"/>
        </w:trPr>
        <w:tc>
          <w:tcPr>
            <w:tcW w:w="13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Variables</w:t>
            </w:r>
          </w:p>
        </w:tc>
        <w:tc>
          <w:tcPr>
            <w:tcW w:w="558" w:type="pct"/>
            <w:tcBorders>
              <w:left w:val="nil"/>
              <w:bottom w:val="single" w:sz="4" w:space="0" w:color="auto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Frequency(n)</w:t>
            </w:r>
          </w:p>
        </w:tc>
        <w:tc>
          <w:tcPr>
            <w:tcW w:w="457" w:type="pct"/>
            <w:tcBorders>
              <w:left w:val="nil"/>
              <w:bottom w:val="single" w:sz="4" w:space="0" w:color="auto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Patients(n)</w:t>
            </w:r>
          </w:p>
        </w:tc>
        <w:tc>
          <w:tcPr>
            <w:tcW w:w="609" w:type="pct"/>
            <w:tcBorders>
              <w:left w:val="nil"/>
              <w:bottom w:val="single" w:sz="4" w:space="0" w:color="auto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Percentage (%)</w:t>
            </w:r>
          </w:p>
        </w:tc>
        <w:tc>
          <w:tcPr>
            <w:tcW w:w="559" w:type="pct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Frequency(n)</w:t>
            </w:r>
          </w:p>
        </w:tc>
        <w:tc>
          <w:tcPr>
            <w:tcW w:w="457" w:type="pct"/>
            <w:tcBorders>
              <w:left w:val="nil"/>
              <w:bottom w:val="single" w:sz="4" w:space="0" w:color="auto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Patients(n)</w:t>
            </w:r>
          </w:p>
        </w:tc>
        <w:tc>
          <w:tcPr>
            <w:tcW w:w="609" w:type="pct"/>
            <w:tcBorders>
              <w:left w:val="nil"/>
              <w:bottom w:val="single" w:sz="4" w:space="0" w:color="auto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Percentage (%)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P value</w:t>
            </w:r>
          </w:p>
        </w:tc>
      </w:tr>
      <w:tr w:rsidR="00B03AA4" w:rsidRPr="00AC254A" w:rsidTr="001757C2">
        <w:trPr>
          <w:trHeight w:val="322"/>
          <w:jc w:val="center"/>
        </w:trPr>
        <w:tc>
          <w:tcPr>
            <w:tcW w:w="1371" w:type="pct"/>
            <w:tcBorders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Adverse events</w:t>
            </w:r>
          </w:p>
        </w:tc>
        <w:tc>
          <w:tcPr>
            <w:tcW w:w="558" w:type="pct"/>
            <w:tcBorders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3</w:t>
            </w:r>
          </w:p>
        </w:tc>
        <w:tc>
          <w:tcPr>
            <w:tcW w:w="457" w:type="pct"/>
            <w:tcBorders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3</w:t>
            </w:r>
          </w:p>
        </w:tc>
        <w:tc>
          <w:tcPr>
            <w:tcW w:w="609" w:type="pct"/>
            <w:tcBorders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Cs w:val="21"/>
              </w:rPr>
              <w:t>1.16</w:t>
            </w:r>
          </w:p>
        </w:tc>
        <w:tc>
          <w:tcPr>
            <w:tcW w:w="559" w:type="pct"/>
            <w:gridSpan w:val="2"/>
            <w:tcBorders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1</w:t>
            </w:r>
          </w:p>
        </w:tc>
        <w:tc>
          <w:tcPr>
            <w:tcW w:w="457" w:type="pct"/>
            <w:tcBorders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1</w:t>
            </w:r>
          </w:p>
        </w:tc>
        <w:tc>
          <w:tcPr>
            <w:tcW w:w="609" w:type="pct"/>
            <w:tcBorders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0.78</w:t>
            </w:r>
          </w:p>
        </w:tc>
        <w:tc>
          <w:tcPr>
            <w:tcW w:w="380" w:type="pct"/>
            <w:tcBorders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1.0</w:t>
            </w:r>
          </w:p>
        </w:tc>
      </w:tr>
      <w:tr w:rsidR="00B03AA4" w:rsidRPr="00AC254A" w:rsidTr="001757C2">
        <w:trPr>
          <w:trHeight w:val="971"/>
          <w:jc w:val="center"/>
        </w:trPr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Adverse events related to the study drug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1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Cs w:val="21"/>
              </w:rPr>
              <w:t>0.39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1.0</w:t>
            </w:r>
          </w:p>
        </w:tc>
      </w:tr>
      <w:tr w:rsidR="00B03AA4" w:rsidRPr="00AC254A" w:rsidTr="001757C2">
        <w:trPr>
          <w:trHeight w:val="656"/>
          <w:jc w:val="center"/>
        </w:trPr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Severe adverse events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-</w:t>
            </w:r>
          </w:p>
        </w:tc>
      </w:tr>
      <w:tr w:rsidR="00B03AA4" w:rsidRPr="00AC254A" w:rsidTr="001757C2">
        <w:trPr>
          <w:trHeight w:val="971"/>
          <w:jc w:val="center"/>
        </w:trPr>
        <w:tc>
          <w:tcPr>
            <w:tcW w:w="1371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Severe adverse event related to the study drug</w:t>
            </w:r>
          </w:p>
        </w:tc>
        <w:tc>
          <w:tcPr>
            <w:tcW w:w="558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609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-</w:t>
            </w:r>
          </w:p>
        </w:tc>
      </w:tr>
      <w:tr w:rsidR="00B03AA4" w:rsidRPr="00AC254A" w:rsidTr="001757C2">
        <w:trPr>
          <w:trHeight w:val="691"/>
          <w:jc w:val="center"/>
        </w:trPr>
        <w:tc>
          <w:tcPr>
            <w:tcW w:w="137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03AA4" w:rsidRPr="00AC254A" w:rsidRDefault="00B03AA4" w:rsidP="001757C2">
            <w:pPr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Adverse events leading to withdrawal from the trial</w:t>
            </w:r>
          </w:p>
        </w:tc>
        <w:tc>
          <w:tcPr>
            <w:tcW w:w="558" w:type="pct"/>
            <w:tcBorders>
              <w:top w:val="nil"/>
              <w:left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609" w:type="pct"/>
            <w:tcBorders>
              <w:top w:val="nil"/>
              <w:left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559" w:type="pct"/>
            <w:gridSpan w:val="2"/>
            <w:tcBorders>
              <w:top w:val="nil"/>
              <w:left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609" w:type="pct"/>
            <w:tcBorders>
              <w:top w:val="nil"/>
              <w:left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0</w:t>
            </w:r>
          </w:p>
        </w:tc>
        <w:tc>
          <w:tcPr>
            <w:tcW w:w="380" w:type="pct"/>
            <w:tcBorders>
              <w:top w:val="nil"/>
              <w:left w:val="nil"/>
              <w:right w:val="nil"/>
            </w:tcBorders>
          </w:tcPr>
          <w:p w:rsidR="00B03AA4" w:rsidRPr="00AC254A" w:rsidRDefault="00B03AA4" w:rsidP="001757C2">
            <w:pPr>
              <w:jc w:val="center"/>
              <w:rPr>
                <w:sz w:val="21"/>
                <w:szCs w:val="21"/>
              </w:rPr>
            </w:pPr>
            <w:r w:rsidRPr="00AC254A">
              <w:rPr>
                <w:sz w:val="21"/>
                <w:szCs w:val="21"/>
              </w:rPr>
              <w:t>-</w:t>
            </w:r>
          </w:p>
        </w:tc>
      </w:tr>
    </w:tbl>
    <w:p w:rsidR="00444D0C" w:rsidRDefault="00444D0C"/>
    <w:p w:rsidR="00444D0C" w:rsidRDefault="00444D0C" w:rsidP="00444D0C">
      <w:pPr>
        <w:autoSpaceDE/>
        <w:autoSpaceDN/>
      </w:pPr>
    </w:p>
    <w:sectPr w:rsidR="00444D0C" w:rsidSect="005D4B8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2694" w:rsidRDefault="00212694" w:rsidP="00B03AA4">
      <w:r>
        <w:separator/>
      </w:r>
    </w:p>
  </w:endnote>
  <w:endnote w:type="continuationSeparator" w:id="0">
    <w:p w:rsidR="00212694" w:rsidRDefault="00212694" w:rsidP="00B03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02716730"/>
      <w:docPartObj>
        <w:docPartGallery w:val="Page Numbers (Bottom of Page)"/>
        <w:docPartUnique/>
      </w:docPartObj>
    </w:sdtPr>
    <w:sdtContent>
      <w:p w:rsidR="001607E2" w:rsidRDefault="001607E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1117" w:rsidRPr="00B21117">
          <w:rPr>
            <w:lang w:val="zh-CN"/>
          </w:rPr>
          <w:t>1</w:t>
        </w:r>
        <w:r>
          <w:fldChar w:fldCharType="end"/>
        </w:r>
      </w:p>
    </w:sdtContent>
  </w:sdt>
  <w:p w:rsidR="001607E2" w:rsidRDefault="001607E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2694" w:rsidRDefault="00212694" w:rsidP="00B03AA4">
      <w:r>
        <w:separator/>
      </w:r>
    </w:p>
  </w:footnote>
  <w:footnote w:type="continuationSeparator" w:id="0">
    <w:p w:rsidR="00212694" w:rsidRDefault="00212694" w:rsidP="00B03A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E91"/>
    <w:rsid w:val="001607E2"/>
    <w:rsid w:val="00212694"/>
    <w:rsid w:val="002478B6"/>
    <w:rsid w:val="00444D0C"/>
    <w:rsid w:val="00494BBA"/>
    <w:rsid w:val="006D0B97"/>
    <w:rsid w:val="006F7C4D"/>
    <w:rsid w:val="0091741F"/>
    <w:rsid w:val="00962CD4"/>
    <w:rsid w:val="00B03AA4"/>
    <w:rsid w:val="00B21117"/>
    <w:rsid w:val="00CF6E91"/>
    <w:rsid w:val="00D07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954D45"/>
  <w15:chartTrackingRefBased/>
  <w15:docId w15:val="{C480108B-6081-411B-9F5C-5DFF3F73C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AA4"/>
    <w:pPr>
      <w:autoSpaceDE w:val="0"/>
      <w:autoSpaceDN w:val="0"/>
    </w:pPr>
    <w:rPr>
      <w:rFonts w:ascii="Times New Roman" w:eastAsia="宋体" w:hAnsi="Times New Roman" w:cs="Times New Roman"/>
      <w:color w:val="000000"/>
      <w:kern w:val="0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B211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211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3AA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noProof/>
      <w:color w:val="auto"/>
      <w:kern w:val="2"/>
      <w:sz w:val="18"/>
      <w:szCs w:val="18"/>
      <w14:ligatures w14:val="none"/>
    </w:rPr>
  </w:style>
  <w:style w:type="character" w:customStyle="1" w:styleId="a4">
    <w:name w:val="页眉 字符"/>
    <w:basedOn w:val="a0"/>
    <w:link w:val="a3"/>
    <w:uiPriority w:val="99"/>
    <w:rsid w:val="00B03AA4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3AA4"/>
    <w:pPr>
      <w:widowControl w:val="0"/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noProof/>
      <w:color w:val="auto"/>
      <w:kern w:val="2"/>
      <w:sz w:val="18"/>
      <w:szCs w:val="18"/>
      <w14:ligatures w14:val="none"/>
    </w:rPr>
  </w:style>
  <w:style w:type="character" w:customStyle="1" w:styleId="a6">
    <w:name w:val="页脚 字符"/>
    <w:basedOn w:val="a0"/>
    <w:link w:val="a5"/>
    <w:uiPriority w:val="99"/>
    <w:rsid w:val="00B03AA4"/>
    <w:rPr>
      <w:noProof/>
      <w:sz w:val="18"/>
      <w:szCs w:val="18"/>
    </w:rPr>
  </w:style>
  <w:style w:type="table" w:styleId="a7">
    <w:name w:val="Table Grid"/>
    <w:basedOn w:val="a1"/>
    <w:uiPriority w:val="39"/>
    <w:qFormat/>
    <w:rsid w:val="00B03AA4"/>
    <w:pPr>
      <w:widowControl w:val="0"/>
      <w:jc w:val="both"/>
    </w:pPr>
    <w:rPr>
      <w:rFonts w:ascii="Times New Roman" w:eastAsia="宋体" w:hAnsi="Times New Roman" w:cs="Times New Roman"/>
      <w:color w:val="000000"/>
      <w:kern w:val="0"/>
      <w:sz w:val="20"/>
      <w:szCs w:val="20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B21117"/>
    <w:rPr>
      <w:rFonts w:ascii="Times New Roman" w:eastAsia="宋体" w:hAnsi="Times New Roman" w:cs="Times New Roman"/>
      <w:b/>
      <w:bCs/>
      <w:color w:val="000000"/>
      <w:kern w:val="44"/>
      <w:sz w:val="44"/>
      <w:szCs w:val="44"/>
      <w14:ligatures w14:val="standardContextual"/>
    </w:rPr>
  </w:style>
  <w:style w:type="character" w:customStyle="1" w:styleId="20">
    <w:name w:val="标题 2 字符"/>
    <w:basedOn w:val="a0"/>
    <w:link w:val="2"/>
    <w:uiPriority w:val="9"/>
    <w:rsid w:val="00B21117"/>
    <w:rPr>
      <w:rFonts w:asciiTheme="majorHAnsi" w:eastAsiaTheme="majorEastAsia" w:hAnsiTheme="majorHAnsi" w:cstheme="majorBidi"/>
      <w:b/>
      <w:bCs/>
      <w:color w:val="000000"/>
      <w:kern w:val="0"/>
      <w:sz w:val="32"/>
      <w:szCs w:val="32"/>
      <w14:ligatures w14:val="standardContextual"/>
    </w:rPr>
  </w:style>
  <w:style w:type="paragraph" w:styleId="TOC">
    <w:name w:val="TOC Heading"/>
    <w:basedOn w:val="1"/>
    <w:next w:val="a"/>
    <w:uiPriority w:val="39"/>
    <w:unhideWhenUsed/>
    <w:qFormat/>
    <w:rsid w:val="00B21117"/>
    <w:pPr>
      <w:autoSpaceDE/>
      <w:autoSpaceDN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14:ligatures w14:val="none"/>
    </w:rPr>
  </w:style>
  <w:style w:type="paragraph" w:styleId="21">
    <w:name w:val="toc 2"/>
    <w:basedOn w:val="a"/>
    <w:next w:val="a"/>
    <w:autoRedefine/>
    <w:uiPriority w:val="39"/>
    <w:unhideWhenUsed/>
    <w:rsid w:val="00B21117"/>
    <w:pPr>
      <w:autoSpaceDE/>
      <w:autoSpaceDN/>
      <w:spacing w:after="100" w:line="259" w:lineRule="auto"/>
      <w:ind w:left="220"/>
    </w:pPr>
    <w:rPr>
      <w:rFonts w:asciiTheme="minorHAnsi" w:eastAsiaTheme="minorEastAsia" w:hAnsiTheme="minorHAnsi"/>
      <w:color w:val="auto"/>
      <w:sz w:val="22"/>
      <w14:ligatures w14:val="none"/>
    </w:rPr>
  </w:style>
  <w:style w:type="paragraph" w:styleId="11">
    <w:name w:val="toc 1"/>
    <w:basedOn w:val="a"/>
    <w:next w:val="a"/>
    <w:autoRedefine/>
    <w:uiPriority w:val="39"/>
    <w:unhideWhenUsed/>
    <w:rsid w:val="00B21117"/>
    <w:pPr>
      <w:autoSpaceDE/>
      <w:autoSpaceDN/>
      <w:spacing w:after="100" w:line="259" w:lineRule="auto"/>
    </w:pPr>
    <w:rPr>
      <w:rFonts w:asciiTheme="minorHAnsi" w:eastAsiaTheme="minorEastAsia" w:hAnsiTheme="minorHAnsi"/>
      <w:color w:val="auto"/>
      <w:sz w:val="22"/>
      <w14:ligatures w14:val="none"/>
    </w:rPr>
  </w:style>
  <w:style w:type="paragraph" w:styleId="3">
    <w:name w:val="toc 3"/>
    <w:basedOn w:val="a"/>
    <w:next w:val="a"/>
    <w:autoRedefine/>
    <w:uiPriority w:val="39"/>
    <w:unhideWhenUsed/>
    <w:rsid w:val="00B21117"/>
    <w:pPr>
      <w:autoSpaceDE/>
      <w:autoSpaceDN/>
      <w:spacing w:after="100" w:line="259" w:lineRule="auto"/>
      <w:ind w:left="440"/>
    </w:pPr>
    <w:rPr>
      <w:rFonts w:asciiTheme="minorHAnsi" w:eastAsiaTheme="minorEastAsia" w:hAnsiTheme="minorHAnsi"/>
      <w:color w:val="auto"/>
      <w:sz w:val="22"/>
      <w14:ligatures w14:val="none"/>
    </w:rPr>
  </w:style>
  <w:style w:type="character" w:styleId="a8">
    <w:name w:val="Hyperlink"/>
    <w:basedOn w:val="a0"/>
    <w:uiPriority w:val="99"/>
    <w:unhideWhenUsed/>
    <w:rsid w:val="00B2111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C2D"/>
    <w:rsid w:val="00AD63D6"/>
    <w:rsid w:val="00B45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127687760B041C88CADDEBC6CF00BAC">
    <w:name w:val="7127687760B041C88CADDEBC6CF00BAC"/>
    <w:rsid w:val="00B45C2D"/>
    <w:pPr>
      <w:widowControl w:val="0"/>
      <w:jc w:val="both"/>
    </w:pPr>
  </w:style>
  <w:style w:type="paragraph" w:customStyle="1" w:styleId="63077D097E074743AFBEC1B4608A704F">
    <w:name w:val="63077D097E074743AFBEC1B4608A704F"/>
    <w:rsid w:val="00B45C2D"/>
    <w:pPr>
      <w:widowControl w:val="0"/>
      <w:jc w:val="both"/>
    </w:pPr>
  </w:style>
  <w:style w:type="paragraph" w:customStyle="1" w:styleId="8C247F25E8594E448922C41289F28840">
    <w:name w:val="8C247F25E8594E448922C41289F28840"/>
    <w:rsid w:val="00B45C2D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8AC6F9-45A9-4B09-9648-491438577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7</Pages>
  <Words>538</Words>
  <Characters>3068</Characters>
  <Application>Microsoft Office Word</Application>
  <DocSecurity>0</DocSecurity>
  <Lines>25</Lines>
  <Paragraphs>7</Paragraphs>
  <ScaleCrop>false</ScaleCrop>
  <Company/>
  <LinksUpToDate>false</LinksUpToDate>
  <CharactersWithSpaces>3599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7</cp:revision>
  <dcterms:created xsi:type="dcterms:W3CDTF">2023-12-22T02:50:00Z</dcterms:created>
  <dcterms:modified xsi:type="dcterms:W3CDTF">2023-12-22T06:48:00Z</dcterms:modified>
</cp:coreProperties>
</file>