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2D62" w14:textId="77777777" w:rsidR="0043323D" w:rsidRPr="006D727C" w:rsidRDefault="0043323D" w:rsidP="0043323D">
      <w:pPr>
        <w:spacing w:after="0" w:line="240" w:lineRule="auto"/>
        <w:ind w:left="840" w:hanging="840"/>
        <w:rPr>
          <w:rFonts w:ascii="Times New Roman" w:eastAsia="Meiryo UI" w:hAnsi="Times New Roman" w:cs="Times New Roman"/>
          <w:sz w:val="20"/>
          <w:szCs w:val="20"/>
        </w:rPr>
      </w:pPr>
      <w:r w:rsidRPr="006D727C">
        <w:rPr>
          <w:rFonts w:ascii="Times New Roman" w:eastAsia="Meiryo UI" w:hAnsi="Times New Roman" w:cs="Times New Roman"/>
          <w:b/>
          <w:bCs/>
          <w:sz w:val="20"/>
          <w:szCs w:val="20"/>
        </w:rPr>
        <w:t>Table 1</w:t>
      </w:r>
      <w:r w:rsidRPr="006D727C">
        <w:rPr>
          <w:rFonts w:ascii="Times New Roman" w:eastAsia="Meiryo UI" w:hAnsi="Times New Roman" w:cs="Times New Roman"/>
          <w:sz w:val="20"/>
          <w:szCs w:val="20"/>
        </w:rPr>
        <w:t xml:space="preserve"> Outline of the questionnaire.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"/>
        <w:gridCol w:w="2605"/>
        <w:gridCol w:w="3529"/>
        <w:gridCol w:w="2863"/>
      </w:tblGrid>
      <w:tr w:rsidR="0043323D" w:rsidRPr="006D727C" w14:paraId="59EC3A6C" w14:textId="77777777" w:rsidTr="00530AA9">
        <w:tc>
          <w:tcPr>
            <w:tcW w:w="189" w:type="pct"/>
          </w:tcPr>
          <w:p w14:paraId="3B73FF24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6C0FC957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</w:tcPr>
          <w:p w14:paraId="34ABF076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  <w:highlight w:val="yellow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Name of Hospital/Department,</w:t>
            </w:r>
            <w:r w:rsidRPr="006D727C">
              <w:rPr>
                <w:rFonts w:ascii="Times New Roman" w:eastAsia="Meiryo UI" w:hAnsi="Times New Roman" w:cs="Times New Roman" w:hint="eastAsia"/>
                <w:sz w:val="20"/>
                <w:szCs w:val="20"/>
              </w:rPr>
              <w:t xml:space="preserve">　</w:t>
            </w: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531" w:type="pct"/>
          </w:tcPr>
          <w:p w14:paraId="4334C166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</w:tr>
      <w:tr w:rsidR="0043323D" w:rsidRPr="006D727C" w14:paraId="76B79E7D" w14:textId="77777777" w:rsidTr="00530AA9">
        <w:trPr>
          <w:trHeight w:val="583"/>
        </w:trPr>
        <w:tc>
          <w:tcPr>
            <w:tcW w:w="189" w:type="pct"/>
          </w:tcPr>
          <w:p w14:paraId="568A2F4E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0E4596A9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</w:tcPr>
          <w:p w14:paraId="1EB18446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When using taxanes, do you actively recommend the following prophylaxis for nail changes to your patients (multiple responses allowed)?</w:t>
            </w:r>
          </w:p>
        </w:tc>
        <w:tc>
          <w:tcPr>
            <w:tcW w:w="1531" w:type="pct"/>
          </w:tcPr>
          <w:p w14:paraId="1B2C31B9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Clean</w:t>
            </w:r>
          </w:p>
          <w:p w14:paraId="097C33D8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Moisturizing</w:t>
            </w:r>
          </w:p>
          <w:p w14:paraId="7CDD8A55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c) Protection</w:t>
            </w:r>
          </w:p>
          <w:p w14:paraId="5A10C6CE" w14:textId="77777777" w:rsidR="0043323D" w:rsidRPr="006D727C" w:rsidRDefault="0043323D" w:rsidP="00530AA9">
            <w:pPr>
              <w:spacing w:line="300" w:lineRule="exact"/>
              <w:ind w:left="200" w:hangingChars="100" w:hanging="200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d) Compression therapy such as surgical gloves</w:t>
            </w:r>
          </w:p>
          <w:p w14:paraId="50A7A447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e) Cooling</w:t>
            </w:r>
          </w:p>
          <w:p w14:paraId="4A5610A8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f) None</w:t>
            </w:r>
          </w:p>
          <w:p w14:paraId="62C9E734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g) Other</w:t>
            </w:r>
          </w:p>
        </w:tc>
      </w:tr>
      <w:tr w:rsidR="0043323D" w:rsidRPr="006D727C" w14:paraId="1EF0D8E0" w14:textId="77777777" w:rsidTr="00530AA9">
        <w:tc>
          <w:tcPr>
            <w:tcW w:w="189" w:type="pct"/>
          </w:tcPr>
          <w:p w14:paraId="7D481120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50C5F23C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</w:tcPr>
          <w:p w14:paraId="54EABA24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What evaluation methods do you perform in your daily practice for nail changes?</w:t>
            </w:r>
          </w:p>
        </w:tc>
        <w:tc>
          <w:tcPr>
            <w:tcW w:w="1531" w:type="pct"/>
          </w:tcPr>
          <w:p w14:paraId="4BF3E8D2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CTCAE version 5.0</w:t>
            </w:r>
          </w:p>
          <w:p w14:paraId="67378FC9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Other than CTCAE</w:t>
            </w:r>
          </w:p>
          <w:p w14:paraId="59940781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c) None in particular</w:t>
            </w:r>
          </w:p>
        </w:tc>
      </w:tr>
      <w:tr w:rsidR="0043323D" w:rsidRPr="006D727C" w14:paraId="596CC7BE" w14:textId="77777777" w:rsidTr="00530AA9">
        <w:tc>
          <w:tcPr>
            <w:tcW w:w="189" w:type="pct"/>
          </w:tcPr>
          <w:p w14:paraId="18BCCA44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1DA851B8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</w:tcPr>
          <w:p w14:paraId="5D53D077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If a nail disorder is observed, are photographs taken?</w:t>
            </w:r>
          </w:p>
        </w:tc>
        <w:tc>
          <w:tcPr>
            <w:tcW w:w="1531" w:type="pct"/>
          </w:tcPr>
          <w:p w14:paraId="73715026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Not at all</w:t>
            </w:r>
          </w:p>
          <w:p w14:paraId="5D1CC9B9" w14:textId="77777777" w:rsidR="0043323D" w:rsidRPr="006D727C" w:rsidRDefault="0043323D" w:rsidP="00530AA9">
            <w:pPr>
              <w:spacing w:line="300" w:lineRule="exact"/>
              <w:ind w:left="200" w:hangingChars="100" w:hanging="200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Take pictures of all cases, including minor ones</w:t>
            </w:r>
          </w:p>
          <w:p w14:paraId="3473AB3B" w14:textId="77777777" w:rsidR="0043323D" w:rsidRPr="006D727C" w:rsidRDefault="0043323D" w:rsidP="00530AA9">
            <w:pPr>
              <w:spacing w:line="300" w:lineRule="exact"/>
              <w:ind w:left="200" w:hangingChars="100" w:hanging="200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c) CTCAE grade 2 or higher</w:t>
            </w:r>
          </w:p>
          <w:p w14:paraId="547CB4EC" w14:textId="77777777" w:rsidR="0043323D" w:rsidRPr="006D727C" w:rsidRDefault="0043323D" w:rsidP="00530AA9">
            <w:pPr>
              <w:spacing w:line="300" w:lineRule="exact"/>
              <w:ind w:left="200" w:hangingChars="100" w:hanging="200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d) CTCAE grade 3 or higher</w:t>
            </w:r>
          </w:p>
          <w:p w14:paraId="4F35AE4E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e) Other</w:t>
            </w:r>
          </w:p>
        </w:tc>
      </w:tr>
      <w:tr w:rsidR="0043323D" w:rsidRPr="006D727C" w14:paraId="78B98EA9" w14:textId="77777777" w:rsidTr="00530AA9">
        <w:tc>
          <w:tcPr>
            <w:tcW w:w="189" w:type="pct"/>
          </w:tcPr>
          <w:p w14:paraId="3D37A2F5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1A73702A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</w:tcPr>
          <w:p w14:paraId="59A2C8F5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How long do you get the impression that the nail damage from taxanes continues after the taxanes have been terminated?</w:t>
            </w:r>
          </w:p>
        </w:tc>
        <w:tc>
          <w:tcPr>
            <w:tcW w:w="1531" w:type="pct"/>
          </w:tcPr>
          <w:p w14:paraId="550446B4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Within 1 month</w:t>
            </w:r>
          </w:p>
          <w:p w14:paraId="20195038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2 to 6 months</w:t>
            </w:r>
          </w:p>
          <w:p w14:paraId="06272C3E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c) 6 months to 1 year</w:t>
            </w:r>
          </w:p>
          <w:p w14:paraId="27D90D55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d) 1 to 2 years</w:t>
            </w:r>
          </w:p>
          <w:p w14:paraId="4CE1424E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e) More than 2 years</w:t>
            </w:r>
          </w:p>
        </w:tc>
      </w:tr>
      <w:tr w:rsidR="0043323D" w:rsidRPr="006D727C" w14:paraId="36C2927F" w14:textId="77777777" w:rsidTr="00530AA9">
        <w:tc>
          <w:tcPr>
            <w:tcW w:w="189" w:type="pct"/>
            <w:vMerge w:val="restart"/>
          </w:tcPr>
          <w:p w14:paraId="01A2F1EB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6327760C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  <w:vMerge w:val="restart"/>
          </w:tcPr>
          <w:p w14:paraId="7BE8949B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Below is a list of typical nail changes. Please indicate how the nail disorder is treated.</w:t>
            </w:r>
          </w:p>
          <w:p w14:paraId="2499F958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nail changes: </w:t>
            </w:r>
          </w:p>
          <w:p w14:paraId="41FF6256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(1) Beau's line </w:t>
            </w: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ab/>
            </w:r>
          </w:p>
          <w:p w14:paraId="7D6C4E03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(2) Nail ridging </w:t>
            </w:r>
          </w:p>
          <w:p w14:paraId="3EF9C1F3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(3) Ingrown nail </w:t>
            </w:r>
          </w:p>
          <w:p w14:paraId="0E9260AC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(4) Hyperpigmentation</w:t>
            </w:r>
          </w:p>
          <w:p w14:paraId="20934E59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(5) Leukonychia</w:t>
            </w:r>
          </w:p>
          <w:p w14:paraId="4E317816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(6) Onycholysis </w:t>
            </w: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ab/>
            </w:r>
          </w:p>
          <w:p w14:paraId="5AD8AFF8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(7) Subungual hemorrhage </w:t>
            </w:r>
          </w:p>
          <w:p w14:paraId="45E39DFA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(8) Paronychia </w:t>
            </w: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ab/>
            </w:r>
          </w:p>
          <w:p w14:paraId="48305457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(9) Pyogenic granuloma</w:t>
            </w:r>
          </w:p>
        </w:tc>
        <w:tc>
          <w:tcPr>
            <w:tcW w:w="1531" w:type="pct"/>
          </w:tcPr>
          <w:p w14:paraId="01206341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Examples of treatment:</w:t>
            </w:r>
          </w:p>
          <w:p w14:paraId="528C5954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observation</w:t>
            </w:r>
          </w:p>
          <w:p w14:paraId="6D4BC581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steroid ointment</w:t>
            </w:r>
          </w:p>
          <w:p w14:paraId="0EE4D0F0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c) antibacterial ointment</w:t>
            </w:r>
          </w:p>
          <w:p w14:paraId="7B305064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d) oral antibacterial</w:t>
            </w:r>
          </w:p>
          <w:p w14:paraId="0788F7EE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e) surgical treatment (e.g., excision)</w:t>
            </w:r>
          </w:p>
          <w:p w14:paraId="2C9C12A5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f) nail polish</w:t>
            </w:r>
          </w:p>
          <w:p w14:paraId="7A840BB8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g) nail trimming instructions</w:t>
            </w:r>
          </w:p>
        </w:tc>
      </w:tr>
      <w:tr w:rsidR="0043323D" w:rsidRPr="006D727C" w14:paraId="210BCDAF" w14:textId="77777777" w:rsidTr="00530AA9">
        <w:tc>
          <w:tcPr>
            <w:tcW w:w="189" w:type="pct"/>
            <w:vMerge/>
          </w:tcPr>
          <w:p w14:paraId="617AE754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43096F83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  <w:vMerge/>
          </w:tcPr>
          <w:p w14:paraId="5C07C0F1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531" w:type="pct"/>
          </w:tcPr>
          <w:p w14:paraId="3081BAEA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 xml:space="preserve">Treating department: </w:t>
            </w:r>
          </w:p>
          <w:p w14:paraId="7BEC62EB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No referral to other departments</w:t>
            </w:r>
          </w:p>
          <w:p w14:paraId="369BCF40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Dermatology</w:t>
            </w:r>
          </w:p>
          <w:p w14:paraId="126AAA16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c) Plastic Surgery</w:t>
            </w:r>
          </w:p>
        </w:tc>
      </w:tr>
      <w:tr w:rsidR="0043323D" w:rsidRPr="006D727C" w14:paraId="74B8C623" w14:textId="77777777" w:rsidTr="00530AA9">
        <w:tc>
          <w:tcPr>
            <w:tcW w:w="189" w:type="pct"/>
          </w:tcPr>
          <w:p w14:paraId="5CDE752F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5D427845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</w:tcPr>
          <w:p w14:paraId="5A0CD3FE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Do you ever refer patients to other hospitals for treatment of nail changes?</w:t>
            </w:r>
          </w:p>
        </w:tc>
        <w:tc>
          <w:tcPr>
            <w:tcW w:w="1531" w:type="pct"/>
          </w:tcPr>
          <w:p w14:paraId="392DAAD0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Yes</w:t>
            </w:r>
          </w:p>
          <w:p w14:paraId="27FECADA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No</w:t>
            </w:r>
          </w:p>
        </w:tc>
      </w:tr>
      <w:tr w:rsidR="0043323D" w:rsidRPr="006D727C" w14:paraId="68E3F5C7" w14:textId="77777777" w:rsidTr="00530AA9">
        <w:tc>
          <w:tcPr>
            <w:tcW w:w="189" w:type="pct"/>
          </w:tcPr>
          <w:p w14:paraId="6F962EB6" w14:textId="77777777" w:rsidR="0043323D" w:rsidRPr="006D727C" w:rsidRDefault="0043323D" w:rsidP="0043323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6F8B0203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</w:p>
        </w:tc>
        <w:tc>
          <w:tcPr>
            <w:tcW w:w="1887" w:type="pct"/>
          </w:tcPr>
          <w:p w14:paraId="42D91DB5" w14:textId="77777777" w:rsidR="0043323D" w:rsidRPr="006D727C" w:rsidRDefault="0043323D" w:rsidP="00530AA9">
            <w:pPr>
              <w:spacing w:line="300" w:lineRule="exact"/>
              <w:jc w:val="lef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Do you actively recommend or practice cutting the ingrown toenail when ingrown symptoms are present?</w:t>
            </w:r>
          </w:p>
        </w:tc>
        <w:tc>
          <w:tcPr>
            <w:tcW w:w="1531" w:type="pct"/>
          </w:tcPr>
          <w:p w14:paraId="1E5582E5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a) Yes</w:t>
            </w:r>
          </w:p>
          <w:p w14:paraId="518B525F" w14:textId="77777777" w:rsidR="0043323D" w:rsidRPr="006D727C" w:rsidRDefault="0043323D" w:rsidP="00530AA9">
            <w:pPr>
              <w:spacing w:line="300" w:lineRule="exact"/>
              <w:rPr>
                <w:rFonts w:ascii="Times New Roman" w:eastAsia="Meiryo UI" w:hAnsi="Times New Roman" w:cs="Times New Roman"/>
                <w:sz w:val="20"/>
                <w:szCs w:val="20"/>
              </w:rPr>
            </w:pPr>
            <w:r w:rsidRPr="006D727C">
              <w:rPr>
                <w:rFonts w:ascii="Times New Roman" w:eastAsia="Meiryo UI" w:hAnsi="Times New Roman" w:cs="Times New Roman"/>
                <w:sz w:val="20"/>
                <w:szCs w:val="20"/>
              </w:rPr>
              <w:t>b) No</w:t>
            </w:r>
          </w:p>
        </w:tc>
      </w:tr>
    </w:tbl>
    <w:p w14:paraId="0C58C962" w14:textId="77777777" w:rsidR="0043323D" w:rsidRPr="006D727C" w:rsidRDefault="0043323D" w:rsidP="0043323D">
      <w:pPr>
        <w:rPr>
          <w:rFonts w:ascii="Times New Roman" w:eastAsia="Arial" w:hAnsi="Times New Roman" w:cs="Times New Roman"/>
          <w:sz w:val="20"/>
          <w:szCs w:val="20"/>
        </w:rPr>
      </w:pPr>
      <w:r w:rsidRPr="006D727C">
        <w:rPr>
          <w:rFonts w:ascii="Times New Roman" w:eastAsia="Arial" w:hAnsi="Times New Roman" w:cs="Times New Roman"/>
          <w:sz w:val="20"/>
          <w:szCs w:val="20"/>
        </w:rPr>
        <w:lastRenderedPageBreak/>
        <w:t>Abbreviation: Common terminology criteria for Adverse Events; CTCAE</w:t>
      </w:r>
    </w:p>
    <w:p w14:paraId="051DD8BB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426B3"/>
    <w:multiLevelType w:val="hybridMultilevel"/>
    <w:tmpl w:val="C72091C2"/>
    <w:lvl w:ilvl="0" w:tplc="C256FBEC">
      <w:start w:val="1"/>
      <w:numFmt w:val="decimal"/>
      <w:lvlText w:val="%1."/>
      <w:lvlJc w:val="left"/>
      <w:pPr>
        <w:ind w:left="420" w:hanging="420"/>
      </w:pPr>
    </w:lvl>
    <w:lvl w:ilvl="1" w:tplc="1A4406AA" w:tentative="1">
      <w:start w:val="1"/>
      <w:numFmt w:val="aiueoFullWidth"/>
      <w:lvlText w:val="(%2)"/>
      <w:lvlJc w:val="left"/>
      <w:pPr>
        <w:ind w:left="840" w:hanging="420"/>
      </w:pPr>
    </w:lvl>
    <w:lvl w:ilvl="2" w:tplc="EE92F81A" w:tentative="1">
      <w:start w:val="1"/>
      <w:numFmt w:val="decimalEnclosedCircle"/>
      <w:lvlText w:val="%3"/>
      <w:lvlJc w:val="left"/>
      <w:pPr>
        <w:ind w:left="1260" w:hanging="420"/>
      </w:pPr>
    </w:lvl>
    <w:lvl w:ilvl="3" w:tplc="B440677A" w:tentative="1">
      <w:start w:val="1"/>
      <w:numFmt w:val="decimal"/>
      <w:lvlText w:val="%4."/>
      <w:lvlJc w:val="left"/>
      <w:pPr>
        <w:ind w:left="1680" w:hanging="420"/>
      </w:pPr>
    </w:lvl>
    <w:lvl w:ilvl="4" w:tplc="3DB6BA04" w:tentative="1">
      <w:start w:val="1"/>
      <w:numFmt w:val="aiueoFullWidth"/>
      <w:lvlText w:val="(%5)"/>
      <w:lvlJc w:val="left"/>
      <w:pPr>
        <w:ind w:left="2100" w:hanging="420"/>
      </w:pPr>
    </w:lvl>
    <w:lvl w:ilvl="5" w:tplc="C1F2D7D4" w:tentative="1">
      <w:start w:val="1"/>
      <w:numFmt w:val="decimalEnclosedCircle"/>
      <w:lvlText w:val="%6"/>
      <w:lvlJc w:val="left"/>
      <w:pPr>
        <w:ind w:left="2520" w:hanging="420"/>
      </w:pPr>
    </w:lvl>
    <w:lvl w:ilvl="6" w:tplc="85521DEC" w:tentative="1">
      <w:start w:val="1"/>
      <w:numFmt w:val="decimal"/>
      <w:lvlText w:val="%7."/>
      <w:lvlJc w:val="left"/>
      <w:pPr>
        <w:ind w:left="2940" w:hanging="420"/>
      </w:pPr>
    </w:lvl>
    <w:lvl w:ilvl="7" w:tplc="3E68A1F4" w:tentative="1">
      <w:start w:val="1"/>
      <w:numFmt w:val="aiueoFullWidth"/>
      <w:lvlText w:val="(%8)"/>
      <w:lvlJc w:val="left"/>
      <w:pPr>
        <w:ind w:left="3360" w:hanging="420"/>
      </w:pPr>
    </w:lvl>
    <w:lvl w:ilvl="8" w:tplc="AA22506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564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3D"/>
    <w:rsid w:val="000C30FD"/>
    <w:rsid w:val="000D4074"/>
    <w:rsid w:val="001E4B73"/>
    <w:rsid w:val="0043323D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FBBA1"/>
  <w15:chartTrackingRefBased/>
  <w15:docId w15:val="{679208D2-E56D-4DCC-9640-46EBD3FC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23D"/>
    <w:pPr>
      <w:widowControl w:val="0"/>
      <w:spacing w:line="480" w:lineRule="auto"/>
      <w:jc w:val="both"/>
    </w:pPr>
    <w:rPr>
      <w:rFonts w:eastAsiaTheme="minorEastAsia"/>
      <w:sz w:val="21"/>
      <w:szCs w:val="24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323D"/>
    <w:pPr>
      <w:spacing w:after="0" w:line="240" w:lineRule="auto"/>
    </w:pPr>
    <w:rPr>
      <w:rFonts w:eastAsiaTheme="minorEastAsia"/>
      <w:sz w:val="21"/>
      <w:szCs w:val="24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1471</Characters>
  <Application>Microsoft Office Word</Application>
  <DocSecurity>0</DocSecurity>
  <Lines>12</Lines>
  <Paragraphs>3</Paragraphs>
  <ScaleCrop>false</ScaleCrop>
  <Company>Springer Nature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2024-02-07T19:12:00Z</dcterms:created>
  <dcterms:modified xsi:type="dcterms:W3CDTF">2024-02-07T19:12:00Z</dcterms:modified>
</cp:coreProperties>
</file>