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ABE1" w14:textId="77777777" w:rsidR="008E1232" w:rsidRPr="006B3802" w:rsidRDefault="008E1232" w:rsidP="008E1232">
      <w:pPr>
        <w:spacing w:after="0" w:line="276" w:lineRule="auto"/>
        <w:jc w:val="both"/>
        <w:rPr>
          <w:rFonts w:ascii="Arial" w:hAnsi="Arial" w:cs="Arial"/>
          <w:sz w:val="20"/>
          <w:szCs w:val="20"/>
        </w:rPr>
      </w:pPr>
      <w:r w:rsidRPr="006B3802">
        <w:rPr>
          <w:rFonts w:ascii="Arial" w:hAnsi="Arial" w:cs="Arial"/>
          <w:sz w:val="20"/>
          <w:szCs w:val="20"/>
        </w:rPr>
        <w:t xml:space="preserve">Table </w:t>
      </w:r>
      <w:r>
        <w:rPr>
          <w:rFonts w:ascii="Arial" w:hAnsi="Arial" w:cs="Arial"/>
          <w:sz w:val="20"/>
          <w:szCs w:val="20"/>
        </w:rPr>
        <w:t>1</w:t>
      </w:r>
      <w:r w:rsidRPr="006B3802">
        <w:rPr>
          <w:rFonts w:ascii="Arial" w:hAnsi="Arial" w:cs="Arial"/>
          <w:sz w:val="20"/>
          <w:szCs w:val="20"/>
        </w:rPr>
        <w:t>. The impact of micronutrient supplementation on the average yield of potatoes and sugar beets (measured in kg per hectare) is being assessed.</w:t>
      </w:r>
    </w:p>
    <w:p w14:paraId="34739827" w14:textId="77777777" w:rsidR="008E1232" w:rsidRPr="006B3802" w:rsidRDefault="008E1232" w:rsidP="008E1232">
      <w:pPr>
        <w:spacing w:after="0" w:line="240" w:lineRule="auto"/>
        <w:jc w:val="both"/>
        <w:rPr>
          <w:rFonts w:ascii="Arial" w:hAnsi="Arial" w:cs="Arial"/>
          <w:sz w:val="20"/>
          <w:szCs w:val="20"/>
        </w:rPr>
      </w:pPr>
      <w:r w:rsidRPr="006B3802">
        <w:rPr>
          <w:rFonts w:ascii="Arial" w:hAnsi="Arial" w:cs="Arial"/>
          <w:noProof/>
          <w:sz w:val="20"/>
          <w:szCs w:val="20"/>
        </w:rPr>
        <w:drawing>
          <wp:inline distT="0" distB="0" distL="0" distR="0" wp14:anchorId="22C89CB9" wp14:editId="05312C65">
            <wp:extent cx="5932627" cy="1858061"/>
            <wp:effectExtent l="0" t="0" r="0" b="0"/>
            <wp:docPr id="1029" name="Image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1" descr="A screenshot of a computer&#10;&#10;Description automatically generated"/>
                    <pic:cNvPicPr/>
                  </pic:nvPicPr>
                  <pic:blipFill rotWithShape="1">
                    <a:blip r:embed="rId4" cstate="print">
                      <a:extLst>
                        <a:ext uri="{28A0092B-C50C-407E-A947-70E740481C1C}">
                          <a14:useLocalDpi xmlns:a14="http://schemas.microsoft.com/office/drawing/2010/main" val="0"/>
                        </a:ext>
                      </a:extLst>
                    </a:blip>
                    <a:srcRect/>
                    <a:stretch>
                      <a:fillRect/>
                    </a:stretch>
                  </pic:blipFill>
                  <pic:spPr>
                    <a:xfrm>
                      <a:off x="0" y="0"/>
                      <a:ext cx="5943600" cy="1861498"/>
                    </a:xfrm>
                    <a:prstGeom prst="rect">
                      <a:avLst/>
                    </a:prstGeom>
                  </pic:spPr>
                </pic:pic>
              </a:graphicData>
            </a:graphic>
          </wp:inline>
        </w:drawing>
      </w:r>
    </w:p>
    <w:p w14:paraId="51A0D999" w14:textId="77777777" w:rsidR="008E1232" w:rsidRPr="006B3802" w:rsidRDefault="008E1232" w:rsidP="008E1232">
      <w:pPr>
        <w:pStyle w:val="Caption"/>
        <w:keepNext/>
        <w:jc w:val="both"/>
        <w:rPr>
          <w:rFonts w:ascii="Arial" w:hAnsi="Arial" w:cs="Arial"/>
          <w:b w:val="0"/>
          <w:color w:val="auto"/>
          <w:sz w:val="20"/>
          <w:szCs w:val="20"/>
        </w:rPr>
      </w:pPr>
      <w:r w:rsidRPr="006B3802">
        <w:rPr>
          <w:rFonts w:ascii="Arial" w:hAnsi="Arial" w:cs="Arial"/>
          <w:b w:val="0"/>
          <w:color w:val="auto"/>
          <w:sz w:val="20"/>
          <w:szCs w:val="20"/>
        </w:rPr>
        <w:t>Sources: (Malakouti, 2008)</w:t>
      </w:r>
    </w:p>
    <w:p w14:paraId="3EDD4D83" w14:textId="77777777" w:rsidR="00110104" w:rsidRDefault="00110104"/>
    <w:p w14:paraId="4AE909F5" w14:textId="77777777" w:rsidR="008E1232" w:rsidRDefault="008E1232"/>
    <w:p w14:paraId="3E535B29" w14:textId="77777777" w:rsidR="008E1232" w:rsidRPr="006B3802" w:rsidRDefault="008E1232" w:rsidP="008E1232">
      <w:pPr>
        <w:pStyle w:val="Caption"/>
        <w:keepNext/>
        <w:spacing w:after="0"/>
        <w:jc w:val="both"/>
        <w:rPr>
          <w:rFonts w:ascii="Arial" w:hAnsi="Arial" w:cs="Arial"/>
          <w:sz w:val="20"/>
          <w:szCs w:val="20"/>
        </w:rPr>
      </w:pPr>
      <w:bookmarkStart w:id="0" w:name="_Toc518208624"/>
      <w:r w:rsidRPr="006B3802">
        <w:rPr>
          <w:rFonts w:ascii="Arial" w:hAnsi="Arial" w:cs="Arial"/>
          <w:b w:val="0"/>
          <w:color w:val="auto"/>
          <w:sz w:val="20"/>
          <w:szCs w:val="20"/>
        </w:rPr>
        <w:t xml:space="preserve">Table </w:t>
      </w:r>
      <w:r>
        <w:rPr>
          <w:rFonts w:ascii="Arial" w:hAnsi="Arial" w:cs="Arial"/>
          <w:b w:val="0"/>
          <w:color w:val="auto"/>
          <w:sz w:val="20"/>
          <w:szCs w:val="20"/>
        </w:rPr>
        <w:t>2</w:t>
      </w:r>
      <w:r w:rsidRPr="006B3802">
        <w:rPr>
          <w:rFonts w:ascii="Arial" w:hAnsi="Arial" w:cs="Arial"/>
          <w:b w:val="0"/>
          <w:color w:val="auto"/>
          <w:sz w:val="20"/>
          <w:szCs w:val="20"/>
        </w:rPr>
        <w:t>.</w:t>
      </w:r>
      <w:bookmarkEnd w:id="0"/>
      <w:r w:rsidRPr="006B3802">
        <w:rPr>
          <w:rFonts w:ascii="Arial" w:hAnsi="Arial" w:cs="Arial"/>
          <w:b w:val="0"/>
          <w:color w:val="auto"/>
          <w:sz w:val="20"/>
          <w:szCs w:val="20"/>
        </w:rPr>
        <w:t xml:space="preserve">The impact of adding secondary and micronutrients on cereal yield in different African nations </w:t>
      </w:r>
      <w:r w:rsidRPr="006B3802">
        <w:rPr>
          <w:rFonts w:ascii="Arial" w:hAnsi="Arial" w:cs="Arial"/>
          <w:noProof/>
          <w:sz w:val="20"/>
          <w:szCs w:val="20"/>
        </w:rPr>
        <w:drawing>
          <wp:inline distT="0" distB="0" distL="0" distR="0" wp14:anchorId="1E2E9BF5" wp14:editId="7D21D4C0">
            <wp:extent cx="5917915" cy="2116476"/>
            <wp:effectExtent l="0" t="0" r="0" b="0"/>
            <wp:docPr id="1031" name="Image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1" descr="A table with numbers and text&#10;&#10;Description automatically generated"/>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5924296" cy="2118758"/>
                    </a:xfrm>
                    <a:prstGeom prst="rect">
                      <a:avLst/>
                    </a:prstGeom>
                  </pic:spPr>
                </pic:pic>
              </a:graphicData>
            </a:graphic>
          </wp:inline>
        </w:drawing>
      </w:r>
    </w:p>
    <w:p w14:paraId="1EDCF84E" w14:textId="77777777" w:rsidR="008E1232" w:rsidRPr="006B3802" w:rsidRDefault="008E1232" w:rsidP="008E1232">
      <w:pPr>
        <w:spacing w:after="0"/>
        <w:jc w:val="both"/>
        <w:rPr>
          <w:rFonts w:ascii="Arial" w:hAnsi="Arial" w:cs="Arial"/>
          <w:sz w:val="20"/>
          <w:szCs w:val="20"/>
        </w:rPr>
      </w:pPr>
      <w:r w:rsidRPr="006B3802">
        <w:rPr>
          <w:rFonts w:ascii="Arial" w:hAnsi="Arial" w:cs="Arial"/>
          <w:sz w:val="20"/>
          <w:szCs w:val="20"/>
        </w:rPr>
        <w:t>Source: (IFDC, 2012)</w:t>
      </w:r>
    </w:p>
    <w:p w14:paraId="6C06074F" w14:textId="77777777" w:rsidR="008E1232" w:rsidRDefault="008E1232"/>
    <w:p w14:paraId="11228DCD" w14:textId="77777777" w:rsidR="008E1232" w:rsidRDefault="008E1232"/>
    <w:p w14:paraId="189C4737" w14:textId="77777777" w:rsidR="008E1232" w:rsidRDefault="008E1232"/>
    <w:p w14:paraId="3A7EDC17" w14:textId="77777777" w:rsidR="008E1232" w:rsidRDefault="008E1232"/>
    <w:p w14:paraId="4E3988C7" w14:textId="77777777" w:rsidR="008E1232" w:rsidRDefault="008E1232"/>
    <w:p w14:paraId="7AF3A15F" w14:textId="77777777" w:rsidR="008E1232" w:rsidRPr="006B3802" w:rsidRDefault="008E1232" w:rsidP="008E1232">
      <w:pPr>
        <w:pStyle w:val="Caption"/>
        <w:keepNext/>
        <w:spacing w:line="360" w:lineRule="auto"/>
        <w:jc w:val="both"/>
        <w:rPr>
          <w:rFonts w:ascii="Arial" w:hAnsi="Arial" w:cs="Arial"/>
          <w:b w:val="0"/>
          <w:color w:val="auto"/>
          <w:sz w:val="20"/>
          <w:szCs w:val="20"/>
        </w:rPr>
      </w:pPr>
      <w:bookmarkStart w:id="1" w:name="_Toc518208625"/>
      <w:r>
        <w:rPr>
          <w:rFonts w:ascii="Arial" w:hAnsi="Arial" w:cs="Arial"/>
          <w:b w:val="0"/>
          <w:color w:val="auto"/>
          <w:sz w:val="20"/>
          <w:szCs w:val="20"/>
        </w:rPr>
        <w:lastRenderedPageBreak/>
        <w:t>Table 3</w:t>
      </w:r>
      <w:r w:rsidRPr="006B3802">
        <w:rPr>
          <w:rFonts w:ascii="Arial" w:hAnsi="Arial" w:cs="Arial"/>
          <w:b w:val="0"/>
          <w:color w:val="auto"/>
          <w:sz w:val="20"/>
          <w:szCs w:val="20"/>
        </w:rPr>
        <w:t>.</w:t>
      </w:r>
      <w:bookmarkEnd w:id="1"/>
      <w:r w:rsidRPr="006274F7">
        <w:rPr>
          <w:rFonts w:ascii="Arial" w:hAnsi="Arial" w:cs="Arial"/>
          <w:b w:val="0"/>
          <w:color w:val="auto"/>
          <w:sz w:val="20"/>
          <w:szCs w:val="20"/>
        </w:rPr>
        <w:t>The impact of lime, a combination of fertilizers, and compost on the thousand seed weight, harvest index, grain yield, straw yield, biological yield, and straw yield of barley were investigated in Wolmera district, West Showa, Ethiopia.</w:t>
      </w:r>
    </w:p>
    <w:p w14:paraId="6F82BEE2" w14:textId="77777777" w:rsidR="008E1232" w:rsidRPr="006B3802" w:rsidRDefault="008E1232" w:rsidP="008E1232">
      <w:pPr>
        <w:tabs>
          <w:tab w:val="left" w:pos="360"/>
        </w:tabs>
        <w:spacing w:after="0" w:line="240" w:lineRule="auto"/>
        <w:jc w:val="both"/>
        <w:rPr>
          <w:rFonts w:ascii="Arial" w:hAnsi="Arial" w:cs="Arial"/>
          <w:sz w:val="20"/>
          <w:szCs w:val="20"/>
        </w:rPr>
      </w:pPr>
      <w:r w:rsidRPr="006B3802">
        <w:rPr>
          <w:rFonts w:ascii="Arial" w:hAnsi="Arial" w:cs="Arial"/>
          <w:noProof/>
          <w:sz w:val="20"/>
          <w:szCs w:val="20"/>
        </w:rPr>
        <w:drawing>
          <wp:inline distT="0" distB="0" distL="0" distR="0" wp14:anchorId="2E3B520A" wp14:editId="34C70474">
            <wp:extent cx="5925311" cy="1741018"/>
            <wp:effectExtent l="0" t="0" r="0" b="0"/>
            <wp:docPr id="1032" name="Image1"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1" descr="A table with numbers and symbols&#10;&#10;Description automatically generated"/>
                    <pic:cNvPicPr/>
                  </pic:nvPicPr>
                  <pic:blipFill rotWithShape="1">
                    <a:blip r:embed="rId6" cstate="print">
                      <a:extLst>
                        <a:ext uri="{28A0092B-C50C-407E-A947-70E740481C1C}">
                          <a14:useLocalDpi xmlns:a14="http://schemas.microsoft.com/office/drawing/2010/main" val="0"/>
                        </a:ext>
                      </a:extLst>
                    </a:blip>
                    <a:srcRect/>
                    <a:stretch>
                      <a:fillRect/>
                    </a:stretch>
                  </pic:blipFill>
                  <pic:spPr>
                    <a:xfrm>
                      <a:off x="0" y="0"/>
                      <a:ext cx="5943600" cy="1746392"/>
                    </a:xfrm>
                    <a:prstGeom prst="rect">
                      <a:avLst/>
                    </a:prstGeom>
                  </pic:spPr>
                </pic:pic>
              </a:graphicData>
            </a:graphic>
          </wp:inline>
        </w:drawing>
      </w:r>
    </w:p>
    <w:p w14:paraId="05E1CA3C" w14:textId="77777777" w:rsidR="008E1232" w:rsidRPr="006B3802" w:rsidRDefault="008E1232" w:rsidP="008E1232">
      <w:pPr>
        <w:spacing w:line="240" w:lineRule="auto"/>
        <w:jc w:val="both"/>
        <w:rPr>
          <w:rFonts w:ascii="Arial" w:hAnsi="Arial" w:cs="Arial"/>
          <w:sz w:val="20"/>
          <w:szCs w:val="20"/>
        </w:rPr>
      </w:pPr>
      <w:r>
        <w:rPr>
          <w:rFonts w:ascii="Arial" w:hAnsi="Arial" w:cs="Arial"/>
          <w:sz w:val="20"/>
          <w:szCs w:val="20"/>
        </w:rPr>
        <w:t>Source:</w:t>
      </w:r>
      <w:r w:rsidRPr="006B3802">
        <w:rPr>
          <w:rFonts w:ascii="Arial" w:hAnsi="Arial" w:cs="Arial"/>
          <w:sz w:val="20"/>
          <w:szCs w:val="20"/>
        </w:rPr>
        <w:t xml:space="preserve"> </w:t>
      </w:r>
      <w:r>
        <w:rPr>
          <w:rFonts w:ascii="Arial" w:hAnsi="Arial" w:cs="Arial"/>
          <w:sz w:val="20"/>
          <w:szCs w:val="20"/>
        </w:rPr>
        <w:t>(</w:t>
      </w:r>
      <w:r w:rsidRPr="006B3802">
        <w:rPr>
          <w:rFonts w:ascii="Arial" w:hAnsi="Arial" w:cs="Arial"/>
          <w:sz w:val="20"/>
          <w:szCs w:val="20"/>
        </w:rPr>
        <w:t xml:space="preserve">Woubsh </w:t>
      </w:r>
      <w:r w:rsidRPr="006B3802">
        <w:rPr>
          <w:rFonts w:ascii="Arial" w:hAnsi="Arial" w:cs="Arial"/>
          <w:i/>
          <w:sz w:val="20"/>
          <w:szCs w:val="20"/>
        </w:rPr>
        <w:t>et al</w:t>
      </w:r>
      <w:r w:rsidRPr="006B3802">
        <w:rPr>
          <w:rFonts w:ascii="Arial" w:hAnsi="Arial" w:cs="Arial"/>
          <w:sz w:val="20"/>
          <w:szCs w:val="20"/>
        </w:rPr>
        <w:t>., 2017</w:t>
      </w:r>
      <w:r>
        <w:rPr>
          <w:rFonts w:ascii="Arial" w:hAnsi="Arial" w:cs="Arial"/>
          <w:sz w:val="20"/>
          <w:szCs w:val="20"/>
        </w:rPr>
        <w:t>)</w:t>
      </w:r>
    </w:p>
    <w:p w14:paraId="42180317" w14:textId="77777777" w:rsidR="008E1232" w:rsidRPr="006B3802" w:rsidRDefault="008E1232" w:rsidP="008E1232">
      <w:pPr>
        <w:spacing w:after="0" w:line="360" w:lineRule="auto"/>
        <w:jc w:val="both"/>
        <w:rPr>
          <w:rFonts w:ascii="Arial" w:hAnsi="Arial" w:cs="Arial"/>
          <w:sz w:val="20"/>
          <w:szCs w:val="20"/>
        </w:rPr>
      </w:pPr>
      <w:r w:rsidRPr="006B3802">
        <w:rPr>
          <w:rFonts w:ascii="Arial" w:hAnsi="Arial" w:cs="Arial"/>
          <w:sz w:val="20"/>
          <w:szCs w:val="20"/>
        </w:rPr>
        <w:t>Means within a column followed by the same letter are not significantly different at 5% probability level.</w:t>
      </w:r>
    </w:p>
    <w:p w14:paraId="3FB0C147" w14:textId="77777777" w:rsidR="008E1232" w:rsidRDefault="008E1232"/>
    <w:p w14:paraId="49C77D25" w14:textId="77777777" w:rsidR="008E1232" w:rsidRDefault="008E1232"/>
    <w:p w14:paraId="3E9CA5EF" w14:textId="77777777" w:rsidR="008E1232" w:rsidRPr="006B3802" w:rsidRDefault="008E1232" w:rsidP="008E1232">
      <w:pPr>
        <w:pStyle w:val="Caption"/>
        <w:keepNext/>
        <w:rPr>
          <w:rFonts w:ascii="Arial" w:hAnsi="Arial" w:cs="Arial"/>
          <w:b w:val="0"/>
          <w:color w:val="auto"/>
          <w:sz w:val="20"/>
          <w:szCs w:val="20"/>
        </w:rPr>
      </w:pPr>
      <w:bookmarkStart w:id="2" w:name="_Toc518208626"/>
      <w:r w:rsidRPr="006B3802">
        <w:rPr>
          <w:rFonts w:ascii="Arial" w:hAnsi="Arial" w:cs="Arial"/>
          <w:b w:val="0"/>
          <w:color w:val="auto"/>
          <w:sz w:val="20"/>
          <w:szCs w:val="20"/>
        </w:rPr>
        <w:t xml:space="preserve">Table </w:t>
      </w:r>
      <w:r>
        <w:rPr>
          <w:rFonts w:ascii="Arial" w:hAnsi="Arial" w:cs="Arial"/>
          <w:b w:val="0"/>
          <w:color w:val="auto"/>
          <w:sz w:val="20"/>
          <w:szCs w:val="20"/>
        </w:rPr>
        <w:t>4</w:t>
      </w:r>
      <w:r w:rsidRPr="006B3802">
        <w:rPr>
          <w:rFonts w:ascii="Arial" w:hAnsi="Arial" w:cs="Arial"/>
          <w:b w:val="0"/>
          <w:color w:val="auto"/>
          <w:sz w:val="20"/>
          <w:szCs w:val="20"/>
        </w:rPr>
        <w:t>. Response of teff to application of different fertilizers</w:t>
      </w:r>
      <w:bookmarkEnd w:id="2"/>
      <w:r w:rsidRPr="006B3802">
        <w:rPr>
          <w:rFonts w:ascii="Arial" w:hAnsi="Arial" w:cs="Arial"/>
          <w:b w:val="0"/>
          <w:color w:val="auto"/>
          <w:sz w:val="20"/>
          <w:szCs w:val="20"/>
        </w:rPr>
        <w:t xml:space="preserve"> </w:t>
      </w:r>
    </w:p>
    <w:p w14:paraId="1A9699CB" w14:textId="77777777" w:rsidR="008E1232" w:rsidRPr="006B3802" w:rsidRDefault="008E1232" w:rsidP="008E1232">
      <w:pPr>
        <w:pStyle w:val="Heading1"/>
        <w:rPr>
          <w:rFonts w:ascii="Arial" w:hAnsi="Arial"/>
          <w:sz w:val="20"/>
          <w:szCs w:val="20"/>
        </w:rPr>
      </w:pPr>
      <w:r w:rsidRPr="006B3802">
        <w:rPr>
          <w:rFonts w:ascii="Arial" w:hAnsi="Arial"/>
          <w:noProof/>
          <w:sz w:val="20"/>
          <w:szCs w:val="20"/>
        </w:rPr>
        <w:drawing>
          <wp:inline distT="0" distB="0" distL="0" distR="0" wp14:anchorId="19597023" wp14:editId="172FA20B">
            <wp:extent cx="5933384" cy="2150669"/>
            <wp:effectExtent l="0" t="0" r="0" b="0"/>
            <wp:docPr id="1033" name="Image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1" descr="A table with numbers and letters&#10;&#10;Description automatically generated"/>
                    <pic:cNvPicPr/>
                  </pic:nvPicPr>
                  <pic:blipFill rotWithShape="1">
                    <a:blip r:embed="rId7" cstate="print">
                      <a:extLst>
                        <a:ext uri="{28A0092B-C50C-407E-A947-70E740481C1C}">
                          <a14:useLocalDpi xmlns:a14="http://schemas.microsoft.com/office/drawing/2010/main" val="0"/>
                        </a:ext>
                      </a:extLst>
                    </a:blip>
                    <a:srcRect/>
                    <a:stretch>
                      <a:fillRect/>
                    </a:stretch>
                  </pic:blipFill>
                  <pic:spPr>
                    <a:xfrm>
                      <a:off x="0" y="0"/>
                      <a:ext cx="5943598" cy="2154371"/>
                    </a:xfrm>
                    <a:prstGeom prst="rect">
                      <a:avLst/>
                    </a:prstGeom>
                  </pic:spPr>
                </pic:pic>
              </a:graphicData>
            </a:graphic>
          </wp:inline>
        </w:drawing>
      </w:r>
    </w:p>
    <w:p w14:paraId="1E96BDAA" w14:textId="77777777" w:rsidR="008E1232" w:rsidRPr="006B3802" w:rsidRDefault="008E1232" w:rsidP="008E1232">
      <w:pPr>
        <w:spacing w:line="240" w:lineRule="auto"/>
        <w:jc w:val="both"/>
        <w:rPr>
          <w:rFonts w:ascii="Arial" w:hAnsi="Arial" w:cs="Arial"/>
          <w:sz w:val="20"/>
          <w:szCs w:val="20"/>
        </w:rPr>
      </w:pPr>
      <w:r w:rsidRPr="006B3802">
        <w:rPr>
          <w:rFonts w:ascii="Arial" w:hAnsi="Arial" w:cs="Arial"/>
          <w:sz w:val="20"/>
          <w:szCs w:val="20"/>
        </w:rPr>
        <w:t>Source: Ayalew and Habte, 2017</w:t>
      </w:r>
    </w:p>
    <w:p w14:paraId="17F6F016" w14:textId="77777777" w:rsidR="008E1232" w:rsidRPr="006B3802" w:rsidRDefault="008E1232" w:rsidP="008E1232">
      <w:pPr>
        <w:spacing w:line="360" w:lineRule="auto"/>
        <w:jc w:val="both"/>
        <w:rPr>
          <w:rFonts w:ascii="Arial" w:hAnsi="Arial" w:cs="Arial"/>
          <w:sz w:val="20"/>
          <w:szCs w:val="20"/>
        </w:rPr>
      </w:pPr>
      <w:r w:rsidRPr="006B3802">
        <w:rPr>
          <w:rFonts w:ascii="Arial" w:hAnsi="Arial" w:cs="Arial"/>
          <w:sz w:val="20"/>
          <w:szCs w:val="20"/>
        </w:rPr>
        <w:t>Means within a column followed by the same letter are not significantly different at 5% probability level</w:t>
      </w:r>
      <w:r>
        <w:rPr>
          <w:rFonts w:ascii="Arial" w:hAnsi="Arial" w:cs="Arial"/>
          <w:sz w:val="20"/>
          <w:szCs w:val="20"/>
        </w:rPr>
        <w:t>.</w:t>
      </w:r>
    </w:p>
    <w:p w14:paraId="776540D9" w14:textId="77777777" w:rsidR="008E1232" w:rsidRPr="006B3802" w:rsidRDefault="008E1232" w:rsidP="008E1232">
      <w:pPr>
        <w:pStyle w:val="Caption"/>
        <w:keepNext/>
        <w:spacing w:line="360" w:lineRule="auto"/>
        <w:rPr>
          <w:rFonts w:ascii="Arial" w:hAnsi="Arial" w:cs="Arial"/>
          <w:b w:val="0"/>
          <w:color w:val="auto"/>
          <w:sz w:val="20"/>
          <w:szCs w:val="20"/>
        </w:rPr>
      </w:pPr>
      <w:bookmarkStart w:id="3" w:name="_Toc518208627"/>
      <w:r w:rsidRPr="006B3802">
        <w:rPr>
          <w:rFonts w:ascii="Arial" w:hAnsi="Arial" w:cs="Arial"/>
          <w:b w:val="0"/>
          <w:color w:val="auto"/>
          <w:sz w:val="20"/>
          <w:szCs w:val="20"/>
        </w:rPr>
        <w:lastRenderedPageBreak/>
        <w:t xml:space="preserve">Table </w:t>
      </w:r>
      <w:r>
        <w:rPr>
          <w:rFonts w:ascii="Arial" w:hAnsi="Arial" w:cs="Arial"/>
          <w:b w:val="0"/>
          <w:color w:val="auto"/>
          <w:sz w:val="20"/>
          <w:szCs w:val="20"/>
        </w:rPr>
        <w:t>5</w:t>
      </w:r>
      <w:r w:rsidRPr="006B3802">
        <w:rPr>
          <w:rFonts w:ascii="Arial" w:hAnsi="Arial" w:cs="Arial"/>
          <w:b w:val="0"/>
          <w:color w:val="auto"/>
          <w:sz w:val="20"/>
          <w:szCs w:val="20"/>
        </w:rPr>
        <w:t xml:space="preserve">. </w:t>
      </w:r>
      <w:r w:rsidRPr="00EA5077">
        <w:rPr>
          <w:rFonts w:ascii="Arial" w:hAnsi="Arial" w:cs="Arial"/>
          <w:b w:val="0"/>
          <w:color w:val="auto"/>
          <w:sz w:val="20"/>
          <w:szCs w:val="20"/>
        </w:rPr>
        <w:t>Evaluating teff production involves examining partial budgets, marginal rates of return, and conducting dominance analysis on fertilizers</w:t>
      </w:r>
      <w:bookmarkEnd w:id="3"/>
      <w:r>
        <w:rPr>
          <w:rFonts w:ascii="Arial" w:hAnsi="Arial" w:cs="Arial"/>
          <w:b w:val="0"/>
          <w:color w:val="auto"/>
          <w:sz w:val="20"/>
          <w:szCs w:val="20"/>
        </w:rPr>
        <w:t>.</w:t>
      </w:r>
      <w:r w:rsidRPr="006B3802">
        <w:rPr>
          <w:rFonts w:ascii="Arial" w:hAnsi="Arial" w:cs="Arial"/>
          <w:b w:val="0"/>
          <w:color w:val="auto"/>
          <w:sz w:val="20"/>
          <w:szCs w:val="20"/>
        </w:rPr>
        <w:t xml:space="preserve"> </w:t>
      </w:r>
    </w:p>
    <w:p w14:paraId="0275C244" w14:textId="77777777" w:rsidR="008E1232" w:rsidRPr="006B3802" w:rsidRDefault="008E1232" w:rsidP="008E1232">
      <w:pPr>
        <w:spacing w:line="240" w:lineRule="auto"/>
        <w:rPr>
          <w:rFonts w:ascii="Arial" w:hAnsi="Arial" w:cs="Arial"/>
          <w:sz w:val="20"/>
          <w:szCs w:val="20"/>
        </w:rPr>
      </w:pPr>
      <w:r w:rsidRPr="006B3802">
        <w:rPr>
          <w:rFonts w:ascii="Arial" w:hAnsi="Arial" w:cs="Arial"/>
          <w:noProof/>
          <w:sz w:val="20"/>
          <w:szCs w:val="20"/>
        </w:rPr>
        <w:drawing>
          <wp:inline distT="0" distB="0" distL="0" distR="0" wp14:anchorId="196843BC" wp14:editId="4FFB3E91">
            <wp:extent cx="5932627" cy="1931213"/>
            <wp:effectExtent l="0" t="0" r="0" b="0"/>
            <wp:docPr id="1034" name="Image1" descr="A table of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1" descr="A table of numbers and letters&#10;&#10;Description automatically generated"/>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5935430" cy="1932125"/>
                    </a:xfrm>
                    <a:prstGeom prst="rect">
                      <a:avLst/>
                    </a:prstGeom>
                  </pic:spPr>
                </pic:pic>
              </a:graphicData>
            </a:graphic>
          </wp:inline>
        </w:drawing>
      </w:r>
    </w:p>
    <w:p w14:paraId="7AAA60DF" w14:textId="77777777" w:rsidR="008E1232" w:rsidRPr="006B3802" w:rsidRDefault="008E1232" w:rsidP="008E1232">
      <w:pPr>
        <w:spacing w:line="240" w:lineRule="auto"/>
        <w:jc w:val="both"/>
        <w:rPr>
          <w:rFonts w:ascii="Arial" w:hAnsi="Arial" w:cs="Arial"/>
          <w:sz w:val="20"/>
          <w:szCs w:val="20"/>
        </w:rPr>
      </w:pPr>
      <w:r w:rsidRPr="006B3802">
        <w:rPr>
          <w:rFonts w:ascii="Arial" w:hAnsi="Arial" w:cs="Arial"/>
          <w:sz w:val="20"/>
          <w:szCs w:val="20"/>
        </w:rPr>
        <w:t>Source: (Ayalew and Habte, 2017)</w:t>
      </w:r>
    </w:p>
    <w:p w14:paraId="755357BA" w14:textId="77777777" w:rsidR="008E1232" w:rsidRPr="006B3802" w:rsidRDefault="008E1232" w:rsidP="008E1232">
      <w:pPr>
        <w:spacing w:line="276" w:lineRule="auto"/>
        <w:jc w:val="both"/>
        <w:rPr>
          <w:rFonts w:ascii="Arial" w:hAnsi="Arial" w:cs="Arial"/>
          <w:sz w:val="20"/>
          <w:szCs w:val="20"/>
        </w:rPr>
      </w:pPr>
      <w:r w:rsidRPr="006B3802">
        <w:rPr>
          <w:rFonts w:ascii="Arial" w:hAnsi="Arial" w:cs="Arial"/>
          <w:sz w:val="20"/>
          <w:szCs w:val="20"/>
        </w:rPr>
        <w:t>Yield adjustment=10%, Field price of teff = 18/kg, MRR= marginal rate of return, MARR=100%, BF= blended fertilizer, Av.yield= average yield, Adj.yield=adjusted yield, TCTV= total cost that vary, NB=net benefit, D= dominated treatments, ETB=Ethiopian Birr</w:t>
      </w:r>
    </w:p>
    <w:p w14:paraId="21B1A8B9" w14:textId="77777777" w:rsidR="008E1232" w:rsidRDefault="008E1232"/>
    <w:p w14:paraId="21D7C0F7" w14:textId="77777777" w:rsidR="008E1232" w:rsidRDefault="008E1232"/>
    <w:p w14:paraId="14E041BF" w14:textId="77777777" w:rsidR="008E1232" w:rsidRPr="006B3802" w:rsidRDefault="008E1232" w:rsidP="008E1232">
      <w:pPr>
        <w:pStyle w:val="Caption"/>
        <w:keepNext/>
        <w:jc w:val="both"/>
        <w:rPr>
          <w:rFonts w:ascii="Arial" w:hAnsi="Arial" w:cs="Arial"/>
          <w:b w:val="0"/>
          <w:color w:val="auto"/>
          <w:sz w:val="20"/>
          <w:szCs w:val="20"/>
        </w:rPr>
      </w:pPr>
      <w:r w:rsidRPr="006B3802">
        <w:rPr>
          <w:rFonts w:ascii="Arial" w:hAnsi="Arial" w:cs="Arial"/>
          <w:b w:val="0"/>
          <w:color w:val="auto"/>
          <w:sz w:val="20"/>
          <w:szCs w:val="20"/>
        </w:rPr>
        <w:t xml:space="preserve">Table </w:t>
      </w:r>
      <w:r>
        <w:rPr>
          <w:rFonts w:ascii="Arial" w:hAnsi="Arial" w:cs="Arial"/>
          <w:b w:val="0"/>
          <w:color w:val="auto"/>
          <w:sz w:val="20"/>
          <w:szCs w:val="20"/>
        </w:rPr>
        <w:t>6</w:t>
      </w:r>
      <w:r w:rsidRPr="006B3802">
        <w:rPr>
          <w:rFonts w:ascii="Arial" w:hAnsi="Arial" w:cs="Arial"/>
          <w:b w:val="0"/>
          <w:color w:val="auto"/>
          <w:sz w:val="20"/>
          <w:szCs w:val="20"/>
        </w:rPr>
        <w:t xml:space="preserve">.The effect of balanced fertilization on grain yield (kg /ha) and thousand kernel weight index </w:t>
      </w:r>
    </w:p>
    <w:p w14:paraId="7A46F7A7" w14:textId="77777777" w:rsidR="008E1232" w:rsidRDefault="008E1232" w:rsidP="008E1232">
      <w:pPr>
        <w:tabs>
          <w:tab w:val="left" w:pos="360"/>
        </w:tabs>
        <w:spacing w:line="240" w:lineRule="auto"/>
        <w:jc w:val="both"/>
        <w:rPr>
          <w:rFonts w:ascii="Arial" w:hAnsi="Arial" w:cs="Arial"/>
          <w:sz w:val="20"/>
          <w:szCs w:val="20"/>
        </w:rPr>
      </w:pPr>
      <w:r w:rsidRPr="006B3802">
        <w:rPr>
          <w:rFonts w:ascii="Arial" w:hAnsi="Arial" w:cs="Arial"/>
          <w:noProof/>
          <w:sz w:val="20"/>
          <w:szCs w:val="20"/>
        </w:rPr>
        <w:drawing>
          <wp:inline distT="0" distB="0" distL="0" distR="0" wp14:anchorId="0B21E7C0" wp14:editId="2EC45F48">
            <wp:extent cx="5939938" cy="1733702"/>
            <wp:effectExtent l="0" t="0" r="0" b="0"/>
            <wp:docPr id="1035" name="Image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1" descr="A screenshot of a graph&#10;&#10;Description automatically generated"/>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5943600" cy="1734771"/>
                    </a:xfrm>
                    <a:prstGeom prst="rect">
                      <a:avLst/>
                    </a:prstGeom>
                  </pic:spPr>
                </pic:pic>
              </a:graphicData>
            </a:graphic>
          </wp:inline>
        </w:drawing>
      </w:r>
    </w:p>
    <w:p w14:paraId="0F97B583" w14:textId="77777777" w:rsidR="008E1232" w:rsidRPr="00AD0BF2" w:rsidRDefault="008E1232" w:rsidP="008E1232">
      <w:pPr>
        <w:tabs>
          <w:tab w:val="left" w:pos="360"/>
        </w:tabs>
        <w:spacing w:line="240" w:lineRule="auto"/>
        <w:jc w:val="both"/>
        <w:rPr>
          <w:rFonts w:ascii="Arial" w:hAnsi="Arial" w:cs="Arial"/>
          <w:sz w:val="20"/>
          <w:szCs w:val="20"/>
        </w:rPr>
      </w:pPr>
      <w:r w:rsidRPr="006B3802">
        <w:rPr>
          <w:rFonts w:ascii="Arial" w:hAnsi="Arial" w:cs="Arial"/>
          <w:sz w:val="20"/>
          <w:szCs w:val="20"/>
        </w:rPr>
        <w:t>Source: (Malakouti, 2008)</w:t>
      </w:r>
    </w:p>
    <w:p w14:paraId="4A1B0F2C" w14:textId="77777777" w:rsidR="008E1232" w:rsidRPr="006B3802" w:rsidRDefault="008E1232" w:rsidP="008E1232">
      <w:pPr>
        <w:spacing w:line="360" w:lineRule="auto"/>
        <w:jc w:val="both"/>
        <w:rPr>
          <w:rFonts w:ascii="Arial" w:hAnsi="Arial" w:cs="Arial"/>
          <w:sz w:val="20"/>
          <w:szCs w:val="20"/>
        </w:rPr>
      </w:pPr>
      <w:r w:rsidRPr="006B3802">
        <w:rPr>
          <w:rFonts w:ascii="Arial" w:hAnsi="Arial" w:cs="Arial"/>
          <w:sz w:val="20"/>
          <w:szCs w:val="20"/>
        </w:rPr>
        <w:t>*Significant differences at the 5% level. **Significant differences at the 1% level. ***The main cause of the decrease in the thousand kernel weight index in the field studies was the existence of some growth-limiting factors in some of the p</w:t>
      </w:r>
      <w:r>
        <w:rPr>
          <w:rFonts w:ascii="Arial" w:hAnsi="Arial" w:cs="Arial"/>
          <w:sz w:val="20"/>
          <w:szCs w:val="20"/>
        </w:rPr>
        <w:t>rovinces, such as soil salinity.</w:t>
      </w:r>
      <w:r w:rsidRPr="006B3802">
        <w:rPr>
          <w:rFonts w:ascii="Arial" w:hAnsi="Arial" w:cs="Arial"/>
          <w:sz w:val="20"/>
          <w:szCs w:val="20"/>
        </w:rPr>
        <w:br/>
        <w:t>ns: no significant differences between treatments.</w:t>
      </w:r>
    </w:p>
    <w:p w14:paraId="7C900E97" w14:textId="77777777" w:rsidR="008E1232" w:rsidRDefault="008E1232"/>
    <w:p w14:paraId="7B44E6F3" w14:textId="77777777" w:rsidR="008E1232" w:rsidRDefault="008E1232"/>
    <w:p w14:paraId="19931E2A" w14:textId="77777777" w:rsidR="008E1232" w:rsidRPr="006B3802" w:rsidRDefault="008E1232" w:rsidP="008E1232">
      <w:pPr>
        <w:pStyle w:val="Caption"/>
        <w:keepNext/>
        <w:jc w:val="both"/>
        <w:rPr>
          <w:rFonts w:ascii="Arial" w:hAnsi="Arial" w:cs="Arial"/>
          <w:b w:val="0"/>
          <w:color w:val="auto"/>
          <w:sz w:val="20"/>
          <w:szCs w:val="20"/>
        </w:rPr>
      </w:pPr>
      <w:bookmarkStart w:id="4" w:name="_Toc518208630"/>
      <w:r w:rsidRPr="006B3802">
        <w:rPr>
          <w:rFonts w:ascii="Arial" w:hAnsi="Arial" w:cs="Arial"/>
          <w:b w:val="0"/>
          <w:color w:val="auto"/>
          <w:sz w:val="20"/>
          <w:szCs w:val="20"/>
        </w:rPr>
        <w:t>Table</w:t>
      </w:r>
      <w:r>
        <w:rPr>
          <w:rFonts w:ascii="Arial" w:hAnsi="Arial" w:cs="Arial"/>
          <w:b w:val="0"/>
          <w:color w:val="auto"/>
          <w:sz w:val="20"/>
          <w:szCs w:val="20"/>
        </w:rPr>
        <w:t xml:space="preserve"> 7</w:t>
      </w:r>
      <w:r w:rsidRPr="006B3802">
        <w:rPr>
          <w:rFonts w:ascii="Arial" w:hAnsi="Arial" w:cs="Arial"/>
          <w:b w:val="0"/>
          <w:color w:val="auto"/>
          <w:sz w:val="20"/>
          <w:szCs w:val="20"/>
        </w:rPr>
        <w:t>. Amount of micronutrients removed by major intensified production systems in Indi</w:t>
      </w:r>
      <w:bookmarkEnd w:id="4"/>
    </w:p>
    <w:p w14:paraId="3BF8EF13" w14:textId="77777777" w:rsidR="008E1232" w:rsidRDefault="008E1232" w:rsidP="008E1232">
      <w:pPr>
        <w:tabs>
          <w:tab w:val="left" w:pos="360"/>
        </w:tabs>
        <w:jc w:val="both"/>
        <w:rPr>
          <w:rFonts w:ascii="Arial" w:hAnsi="Arial" w:cs="Arial"/>
          <w:sz w:val="20"/>
          <w:szCs w:val="20"/>
        </w:rPr>
      </w:pPr>
      <w:r w:rsidRPr="006B3802">
        <w:rPr>
          <w:rFonts w:ascii="Arial" w:hAnsi="Arial" w:cs="Arial"/>
          <w:b/>
          <w:bCs/>
          <w:noProof/>
          <w:sz w:val="20"/>
          <w:szCs w:val="20"/>
        </w:rPr>
        <w:drawing>
          <wp:inline distT="0" distB="0" distL="0" distR="0" wp14:anchorId="1C6287B4" wp14:editId="0AFCCCA0">
            <wp:extent cx="5929361" cy="1690577"/>
            <wp:effectExtent l="19050" t="0" r="0" b="0"/>
            <wp:docPr id="1036" name="Image1" descr="A table of information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1" descr="A table of information with numbers and letters&#10;&#10;Description automatically generated"/>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5929361" cy="1690577"/>
                    </a:xfrm>
                    <a:prstGeom prst="rect">
                      <a:avLst/>
                    </a:prstGeom>
                  </pic:spPr>
                </pic:pic>
              </a:graphicData>
            </a:graphic>
          </wp:inline>
        </w:drawing>
      </w:r>
    </w:p>
    <w:p w14:paraId="57F8801F" w14:textId="77777777" w:rsidR="008E1232" w:rsidRPr="006B3802" w:rsidRDefault="008E1232" w:rsidP="008E1232">
      <w:pPr>
        <w:tabs>
          <w:tab w:val="left" w:pos="360"/>
        </w:tabs>
        <w:jc w:val="both"/>
        <w:rPr>
          <w:rFonts w:ascii="Arial" w:hAnsi="Arial" w:cs="Arial"/>
          <w:b/>
          <w:bCs/>
          <w:sz w:val="20"/>
          <w:szCs w:val="20"/>
        </w:rPr>
      </w:pPr>
      <w:r w:rsidRPr="006B3802">
        <w:rPr>
          <w:rFonts w:ascii="Arial" w:hAnsi="Arial" w:cs="Arial"/>
          <w:sz w:val="20"/>
          <w:szCs w:val="20"/>
        </w:rPr>
        <w:t xml:space="preserve">Source: Takkar, 1996 cited by Reg </w:t>
      </w:r>
      <w:r w:rsidRPr="006B3802">
        <w:rPr>
          <w:rFonts w:ascii="Arial" w:hAnsi="Arial" w:cs="Arial"/>
          <w:i/>
          <w:sz w:val="20"/>
          <w:szCs w:val="20"/>
        </w:rPr>
        <w:t>et al</w:t>
      </w:r>
      <w:r w:rsidRPr="006B3802">
        <w:rPr>
          <w:rFonts w:ascii="Arial" w:hAnsi="Arial" w:cs="Arial"/>
          <w:sz w:val="20"/>
          <w:szCs w:val="20"/>
        </w:rPr>
        <w:t>. (2005)</w:t>
      </w:r>
    </w:p>
    <w:p w14:paraId="73580564" w14:textId="77777777" w:rsidR="008E1232" w:rsidRPr="006B3802" w:rsidRDefault="008E1232" w:rsidP="008E1232">
      <w:pPr>
        <w:pStyle w:val="Caption"/>
        <w:keepNext/>
        <w:jc w:val="both"/>
        <w:rPr>
          <w:rFonts w:ascii="Arial" w:hAnsi="Arial" w:cs="Arial"/>
          <w:b w:val="0"/>
          <w:color w:val="auto"/>
          <w:sz w:val="20"/>
          <w:szCs w:val="20"/>
        </w:rPr>
      </w:pPr>
      <w:bookmarkStart w:id="5" w:name="_Toc518208631"/>
      <w:r w:rsidRPr="006B3802">
        <w:rPr>
          <w:rFonts w:ascii="Arial" w:hAnsi="Arial" w:cs="Arial"/>
          <w:b w:val="0"/>
          <w:color w:val="auto"/>
          <w:sz w:val="20"/>
          <w:szCs w:val="20"/>
        </w:rPr>
        <w:t>Table</w:t>
      </w:r>
      <w:r>
        <w:rPr>
          <w:rFonts w:ascii="Arial" w:hAnsi="Arial" w:cs="Arial"/>
          <w:b w:val="0"/>
          <w:color w:val="auto"/>
          <w:sz w:val="20"/>
          <w:szCs w:val="20"/>
        </w:rPr>
        <w:t xml:space="preserve"> 8</w:t>
      </w:r>
      <w:r w:rsidRPr="006B3802">
        <w:rPr>
          <w:rFonts w:ascii="Arial" w:hAnsi="Arial" w:cs="Arial"/>
          <w:b w:val="0"/>
          <w:color w:val="auto"/>
          <w:sz w:val="20"/>
          <w:szCs w:val="20"/>
        </w:rPr>
        <w:t>. Shoot dry weight, grain yield, number of panicles, grain harvest index (GHI), (across two Zn levels) and Zn harvest index (ZnHI) of 10 upland rice genotypes</w:t>
      </w:r>
      <w:bookmarkEnd w:id="5"/>
      <w:r w:rsidRPr="006B3802">
        <w:rPr>
          <w:rFonts w:ascii="Arial" w:hAnsi="Arial" w:cs="Arial"/>
          <w:b w:val="0"/>
          <w:color w:val="auto"/>
          <w:sz w:val="20"/>
          <w:szCs w:val="20"/>
        </w:rPr>
        <w:t xml:space="preserve"> </w:t>
      </w:r>
    </w:p>
    <w:p w14:paraId="12D3CF42" w14:textId="77777777" w:rsidR="008E1232" w:rsidRDefault="008E1232" w:rsidP="008E1232">
      <w:pPr>
        <w:pStyle w:val="Caption"/>
        <w:keepNext/>
        <w:spacing w:after="240"/>
        <w:jc w:val="both"/>
        <w:rPr>
          <w:rFonts w:ascii="Arial" w:hAnsi="Arial" w:cs="Arial"/>
          <w:b w:val="0"/>
          <w:color w:val="auto"/>
          <w:sz w:val="20"/>
          <w:szCs w:val="20"/>
        </w:rPr>
      </w:pPr>
      <w:r w:rsidRPr="006B3802">
        <w:rPr>
          <w:rFonts w:ascii="Arial" w:hAnsi="Arial" w:cs="Arial"/>
          <w:noProof/>
          <w:sz w:val="20"/>
          <w:szCs w:val="20"/>
        </w:rPr>
        <w:drawing>
          <wp:inline distT="0" distB="0" distL="0" distR="0" wp14:anchorId="1F42CD80" wp14:editId="60D263E4">
            <wp:extent cx="6356909" cy="2011680"/>
            <wp:effectExtent l="0" t="0" r="0" b="0"/>
            <wp:docPr id="1037" name="Image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1" descr="A table with numbers and letters&#10;&#10;Description automatically generated"/>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6363665" cy="2013818"/>
                    </a:xfrm>
                    <a:prstGeom prst="rect">
                      <a:avLst/>
                    </a:prstGeom>
                  </pic:spPr>
                </pic:pic>
              </a:graphicData>
            </a:graphic>
          </wp:inline>
        </w:drawing>
      </w:r>
    </w:p>
    <w:p w14:paraId="62C2C940" w14:textId="77777777" w:rsidR="008E1232" w:rsidRPr="006B3802" w:rsidRDefault="008E1232" w:rsidP="008E1232">
      <w:pPr>
        <w:pStyle w:val="Caption"/>
        <w:keepNext/>
        <w:spacing w:after="240"/>
        <w:jc w:val="both"/>
        <w:rPr>
          <w:rFonts w:ascii="Arial" w:hAnsi="Arial" w:cs="Arial"/>
          <w:b w:val="0"/>
          <w:color w:val="auto"/>
          <w:sz w:val="20"/>
          <w:szCs w:val="20"/>
        </w:rPr>
      </w:pPr>
      <w:r w:rsidRPr="006B3802">
        <w:rPr>
          <w:rFonts w:ascii="Arial" w:hAnsi="Arial" w:cs="Arial"/>
          <w:b w:val="0"/>
          <w:color w:val="auto"/>
          <w:sz w:val="20"/>
          <w:szCs w:val="20"/>
        </w:rPr>
        <w:t>Source: (Alloway, 2008)</w:t>
      </w:r>
    </w:p>
    <w:p w14:paraId="65AF97E1" w14:textId="77777777" w:rsidR="008E1232" w:rsidRPr="006B3802" w:rsidRDefault="008E1232" w:rsidP="008E1232">
      <w:pPr>
        <w:spacing w:line="360" w:lineRule="auto"/>
        <w:jc w:val="both"/>
        <w:rPr>
          <w:rFonts w:ascii="Arial" w:hAnsi="Arial" w:cs="Arial"/>
          <w:sz w:val="20"/>
          <w:szCs w:val="20"/>
        </w:rPr>
      </w:pPr>
      <w:r w:rsidRPr="006B3802">
        <w:rPr>
          <w:rFonts w:ascii="Arial" w:hAnsi="Arial" w:cs="Arial"/>
          <w:sz w:val="20"/>
          <w:szCs w:val="20"/>
        </w:rPr>
        <w:t>*, **, NS Significant at the 5%, 1% probability levels and non-significant, respectively Means in the same column followed by the same letter are not statistically different at the 5% probability level by the Tukey’s test.</w:t>
      </w:r>
      <w:r>
        <w:rPr>
          <w:rFonts w:ascii="Arial" w:hAnsi="Arial" w:cs="Arial"/>
          <w:sz w:val="20"/>
          <w:szCs w:val="20"/>
        </w:rPr>
        <w:t xml:space="preserve"> </w:t>
      </w:r>
      <w:r w:rsidRPr="006B3802">
        <w:rPr>
          <w:rFonts w:ascii="Arial" w:hAnsi="Arial" w:cs="Arial"/>
          <w:sz w:val="20"/>
          <w:szCs w:val="20"/>
        </w:rPr>
        <w:t>Several application methods are used for the correcti</w:t>
      </w:r>
      <w:r>
        <w:rPr>
          <w:rFonts w:ascii="Arial" w:hAnsi="Arial" w:cs="Arial"/>
          <w:sz w:val="20"/>
          <w:szCs w:val="20"/>
        </w:rPr>
        <w:t>on of micronutrient deficiency.</w:t>
      </w:r>
      <w:r w:rsidRPr="006B3802">
        <w:rPr>
          <w:rFonts w:ascii="Arial" w:hAnsi="Arial" w:cs="Arial"/>
          <w:sz w:val="20"/>
          <w:szCs w:val="20"/>
        </w:rPr>
        <w:t xml:space="preserve"> The mos</w:t>
      </w:r>
      <w:r>
        <w:rPr>
          <w:rFonts w:ascii="Arial" w:hAnsi="Arial" w:cs="Arial"/>
          <w:sz w:val="20"/>
          <w:szCs w:val="20"/>
        </w:rPr>
        <w:t xml:space="preserve">t </w:t>
      </w:r>
      <w:r w:rsidRPr="006B3802">
        <w:rPr>
          <w:rFonts w:ascii="Arial" w:hAnsi="Arial" w:cs="Arial"/>
          <w:sz w:val="20"/>
          <w:szCs w:val="20"/>
        </w:rPr>
        <w:t>frequent method is the broadcast application of micronutrient onto soil. Irrespective of the methods used, application of Zn very significantly enhanced grain yield and shoot biomass. The highest increases in grain yield were found with soil, soil + leaf or seed + leaf application methods (fig 2).</w:t>
      </w:r>
    </w:p>
    <w:p w14:paraId="0F03A30F" w14:textId="77777777" w:rsidR="008E1232" w:rsidRDefault="008E1232"/>
    <w:sectPr w:rsidR="008E12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232"/>
    <w:rsid w:val="00110104"/>
    <w:rsid w:val="0021090F"/>
    <w:rsid w:val="00220E4E"/>
    <w:rsid w:val="003A76DF"/>
    <w:rsid w:val="008E1232"/>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0CBA"/>
  <w15:chartTrackingRefBased/>
  <w15:docId w15:val="{3D4513FB-FCBC-49D9-8FED-5C806F9D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232"/>
    <w:pPr>
      <w:spacing w:after="200" w:line="48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8E1232"/>
    <w:pPr>
      <w:keepNext/>
      <w:spacing w:before="240" w:after="60" w:line="240" w:lineRule="auto"/>
      <w:outlineLvl w:val="0"/>
    </w:pPr>
    <w:rPr>
      <w:rFonts w:eastAsia="Times New Roman"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8E1232"/>
    <w:pPr>
      <w:spacing w:line="240" w:lineRule="auto"/>
    </w:pPr>
    <w:rPr>
      <w:rFonts w:eastAsiaTheme="minorEastAsia"/>
      <w:b/>
      <w:bCs/>
      <w:color w:val="F0A22E"/>
      <w:sz w:val="18"/>
      <w:szCs w:val="18"/>
    </w:rPr>
  </w:style>
  <w:style w:type="character" w:customStyle="1" w:styleId="Heading1Char">
    <w:name w:val="Heading 1 Char"/>
    <w:basedOn w:val="DefaultParagraphFont"/>
    <w:link w:val="Heading1"/>
    <w:uiPriority w:val="9"/>
    <w:rsid w:val="008E1232"/>
    <w:rPr>
      <w:rFonts w:ascii="Times New Roman" w:eastAsia="Times New Roman" w:hAnsi="Times New Roman" w:cs="Arial"/>
      <w:b/>
      <w:bCs/>
      <w:kern w:val="32"/>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411</Words>
  <Characters>2344</Characters>
  <Application>Microsoft Office Word</Application>
  <DocSecurity>0</DocSecurity>
  <Lines>19</Lines>
  <Paragraphs>5</Paragraphs>
  <ScaleCrop>false</ScaleCrop>
  <Company>Springer Nature</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2024-02-06T10:20:00Z</dcterms:created>
  <dcterms:modified xsi:type="dcterms:W3CDTF">2024-02-06T10:22:00Z</dcterms:modified>
</cp:coreProperties>
</file>