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42634" w14:textId="3274D849" w:rsidR="005776AC" w:rsidRPr="0077326C" w:rsidRDefault="00FB51C1" w:rsidP="0077326C">
      <w:pPr>
        <w:pStyle w:val="pb-2"/>
        <w:jc w:val="center"/>
        <w:rPr>
          <w:sz w:val="32"/>
          <w:szCs w:val="32"/>
        </w:rPr>
      </w:pPr>
      <w:r w:rsidRPr="00FB51C1">
        <w:rPr>
          <w:rStyle w:val="Strong"/>
          <w:sz w:val="32"/>
          <w:szCs w:val="32"/>
        </w:rPr>
        <w:t xml:space="preserve">Impact of </w:t>
      </w:r>
      <w:r>
        <w:rPr>
          <w:rStyle w:val="Strong"/>
          <w:sz w:val="32"/>
          <w:szCs w:val="32"/>
        </w:rPr>
        <w:t>D</w:t>
      </w:r>
      <w:r w:rsidRPr="00FB51C1">
        <w:rPr>
          <w:rStyle w:val="Strong"/>
          <w:sz w:val="32"/>
          <w:szCs w:val="32"/>
        </w:rPr>
        <w:t xml:space="preserve">ividend </w:t>
      </w:r>
      <w:r>
        <w:rPr>
          <w:rStyle w:val="Strong"/>
          <w:sz w:val="32"/>
          <w:szCs w:val="32"/>
        </w:rPr>
        <w:t>R</w:t>
      </w:r>
      <w:r w:rsidRPr="00FB51C1">
        <w:rPr>
          <w:rStyle w:val="Strong"/>
          <w:sz w:val="32"/>
          <w:szCs w:val="32"/>
        </w:rPr>
        <w:t>egulation on Islamic Banking Performance in Pakistan</w:t>
      </w:r>
    </w:p>
    <w:p w14:paraId="78B805EE" w14:textId="77777777" w:rsidR="005776AC" w:rsidRDefault="004C0476" w:rsidP="005776AC">
      <w:pPr>
        <w:shd w:val="clear" w:color="auto" w:fill="F2DBDB" w:themeFill="accent2" w:themeFillTint="33"/>
        <w:adjustRightInd w:val="0"/>
        <w:contextualSpacing/>
        <w:jc w:val="both"/>
        <w:rPr>
          <w:b/>
          <w:bCs/>
          <w:sz w:val="20"/>
          <w:szCs w:val="20"/>
        </w:rPr>
      </w:pPr>
      <w:r w:rsidRPr="005776AC">
        <w:rPr>
          <w:b/>
          <w:bCs/>
          <w:sz w:val="20"/>
          <w:szCs w:val="20"/>
        </w:rPr>
        <w:t>Abstract</w:t>
      </w:r>
    </w:p>
    <w:p w14:paraId="453D5D51" w14:textId="5CF0933B" w:rsidR="005776AC" w:rsidRDefault="000320DF" w:rsidP="005776AC">
      <w:pPr>
        <w:shd w:val="clear" w:color="auto" w:fill="F2DBDB" w:themeFill="accent2" w:themeFillTint="33"/>
        <w:adjustRightInd w:val="0"/>
        <w:contextualSpacing/>
        <w:jc w:val="both"/>
        <w:rPr>
          <w:sz w:val="20"/>
          <w:szCs w:val="20"/>
        </w:rPr>
      </w:pPr>
      <w:r w:rsidRPr="000320DF">
        <w:rPr>
          <w:sz w:val="20"/>
          <w:szCs w:val="20"/>
        </w:rPr>
        <w:t xml:space="preserve">Islamic banks operate in a similar environment but have different dividend regulations. There appears to be a lack of agreement regarding Pakistan's dividend regulations. Dividend distribution is essential to a company's financial success, but it has not yet been resolved in the finance field. In Pakistan, this study was undertaken to determine whether dividend distribution regulation has a significant impact on Islamic banking's financial performance. This study has the following specific objectives: to examine the impact of RIBA on Islamic banking performance in Pakistan; and to determine the impact of dividend payout ratio on that performance. A theoretical framework was developed based on dividend irrelevance and signal impact. The study was conducted with a descriptive research design A study of all five Islamic financial institutions registered with SBP was performed. During </w:t>
      </w:r>
      <w:r w:rsidR="00A9215C">
        <w:rPr>
          <w:sz w:val="20"/>
          <w:szCs w:val="20"/>
        </w:rPr>
        <w:t>(</w:t>
      </w:r>
      <w:r w:rsidRPr="000320DF">
        <w:rPr>
          <w:sz w:val="20"/>
          <w:szCs w:val="20"/>
        </w:rPr>
        <w:t>2019</w:t>
      </w:r>
      <w:r w:rsidR="00A9215C">
        <w:rPr>
          <w:sz w:val="20"/>
          <w:szCs w:val="20"/>
        </w:rPr>
        <w:t>-</w:t>
      </w:r>
      <w:r w:rsidRPr="000320DF">
        <w:rPr>
          <w:sz w:val="20"/>
          <w:szCs w:val="20"/>
        </w:rPr>
        <w:t>2023</w:t>
      </w:r>
      <w:r w:rsidR="00A9215C">
        <w:rPr>
          <w:sz w:val="20"/>
          <w:szCs w:val="20"/>
        </w:rPr>
        <w:t>)</w:t>
      </w:r>
      <w:r w:rsidRPr="000320DF">
        <w:rPr>
          <w:sz w:val="20"/>
          <w:szCs w:val="20"/>
        </w:rPr>
        <w:t>, data was collected. Using a secondary data collection sheet of paper, secondary data was obtained from the State Bank of Pakistan's Supervisory Reports. Secondary data was also collected from Islamic banks. Data processing and analysis were performed with STATA software version 13. Panel data regression and descriptive analysis were conducted to analyze the data. The results were presented in tables and figures. The data were analyzed using multiple regression models, and SPSS version 21 was selected as the data analysis program. Statistics show 76.9% of Islamic banks fail to generate sufficient income to cover financing costs. There are three types of operating costs: total operating costs, loan loss reserves, and financing costs excluding capital costs. According to the analysis of variance (ANOVA) table, the predictor factors significantly impacted the predictor variable at the 5% level of significance. Islamic banking organizations perform by 0.347 points for every unit change in dividend payout ratio or RIBA, respectively. Consequently, Islamic banking institutions must take advantage of all available borrowing opportunities in order to continue to operate in the lending sector. As well as reinvesting earnings in their business, they must also grow it.</w:t>
      </w:r>
    </w:p>
    <w:p w14:paraId="0E0FCB0D" w14:textId="14D83386" w:rsidR="0088129D" w:rsidRPr="005776AC" w:rsidRDefault="0088129D" w:rsidP="005776AC">
      <w:pPr>
        <w:shd w:val="clear" w:color="auto" w:fill="F2DBDB" w:themeFill="accent2" w:themeFillTint="33"/>
        <w:adjustRightInd w:val="0"/>
        <w:contextualSpacing/>
        <w:jc w:val="both"/>
        <w:rPr>
          <w:b/>
          <w:bCs/>
        </w:rPr>
      </w:pPr>
      <w:r w:rsidRPr="005776AC">
        <w:rPr>
          <w:b/>
          <w:bCs/>
          <w:i/>
          <w:iCs/>
          <w:sz w:val="20"/>
          <w:szCs w:val="20"/>
        </w:rPr>
        <w:t>Keywords:</w:t>
      </w:r>
      <w:r w:rsidRPr="000320DF">
        <w:rPr>
          <w:sz w:val="20"/>
          <w:szCs w:val="20"/>
        </w:rPr>
        <w:t xml:space="preserve"> Dividend Payout</w:t>
      </w:r>
      <w:r w:rsidR="00270A42">
        <w:rPr>
          <w:sz w:val="20"/>
          <w:szCs w:val="20"/>
        </w:rPr>
        <w:t>;</w:t>
      </w:r>
      <w:r w:rsidRPr="000320DF">
        <w:rPr>
          <w:sz w:val="20"/>
          <w:szCs w:val="20"/>
        </w:rPr>
        <w:t xml:space="preserve"> Dividend Payout Regulation</w:t>
      </w:r>
      <w:r w:rsidR="00270A42">
        <w:rPr>
          <w:sz w:val="20"/>
          <w:szCs w:val="20"/>
        </w:rPr>
        <w:t>;</w:t>
      </w:r>
      <w:r w:rsidRPr="000320DF">
        <w:rPr>
          <w:sz w:val="20"/>
          <w:szCs w:val="20"/>
        </w:rPr>
        <w:t xml:space="preserve"> Dividend Payout Ratio</w:t>
      </w:r>
      <w:r w:rsidR="00270A42">
        <w:rPr>
          <w:sz w:val="20"/>
          <w:szCs w:val="20"/>
        </w:rPr>
        <w:t>;</w:t>
      </w:r>
      <w:r w:rsidRPr="000320DF">
        <w:rPr>
          <w:sz w:val="20"/>
          <w:szCs w:val="20"/>
        </w:rPr>
        <w:t xml:space="preserve"> Riba &amp; IBs Performance</w:t>
      </w:r>
    </w:p>
    <w:p w14:paraId="7C8215E6" w14:textId="77777777" w:rsidR="00595B00" w:rsidRDefault="00595B00" w:rsidP="00595B00">
      <w:pPr>
        <w:adjustRightInd w:val="0"/>
        <w:contextualSpacing/>
        <w:jc w:val="both"/>
        <w:rPr>
          <w:b/>
          <w:bCs/>
          <w:sz w:val="28"/>
          <w:szCs w:val="28"/>
        </w:rPr>
      </w:pPr>
    </w:p>
    <w:p w14:paraId="123DA194" w14:textId="77777777" w:rsidR="00FF1E78" w:rsidRDefault="00595B00" w:rsidP="00FF1E78">
      <w:pPr>
        <w:adjustRightInd w:val="0"/>
        <w:contextualSpacing/>
        <w:jc w:val="both"/>
        <w:rPr>
          <w:b/>
          <w:bCs/>
          <w:sz w:val="28"/>
          <w:szCs w:val="28"/>
        </w:rPr>
      </w:pPr>
      <w:r>
        <w:rPr>
          <w:b/>
          <w:bCs/>
          <w:sz w:val="28"/>
          <w:szCs w:val="28"/>
        </w:rPr>
        <w:t xml:space="preserve">1. </w:t>
      </w:r>
      <w:r w:rsidRPr="00595B00">
        <w:rPr>
          <w:b/>
          <w:bCs/>
          <w:sz w:val="28"/>
          <w:szCs w:val="28"/>
        </w:rPr>
        <w:t xml:space="preserve">Introduction </w:t>
      </w:r>
    </w:p>
    <w:p w14:paraId="1A359E23" w14:textId="77777777" w:rsidR="006129F1" w:rsidRDefault="00FF1E78" w:rsidP="006129F1">
      <w:pPr>
        <w:adjustRightInd w:val="0"/>
        <w:contextualSpacing/>
        <w:jc w:val="both"/>
        <w:rPr>
          <w:sz w:val="24"/>
          <w:szCs w:val="24"/>
        </w:rPr>
      </w:pPr>
      <w:r w:rsidRPr="00FF1E78">
        <w:rPr>
          <w:sz w:val="24"/>
          <w:szCs w:val="24"/>
        </w:rPr>
        <w:t xml:space="preserve">A company's earnings distribution is of the utmost importance, in fact. This is due to the fact that they represent a significant amount of money for the majority of the company's components. This is one method of receiving returns from investors' organizations </w:t>
      </w:r>
      <w:r w:rsidRPr="00FF1E78">
        <w:rPr>
          <w:color w:val="7030A0"/>
          <w:sz w:val="24"/>
          <w:szCs w:val="24"/>
        </w:rPr>
        <w:t xml:space="preserve">(Kim, 2018). </w:t>
      </w:r>
      <w:r w:rsidRPr="00FF1E78">
        <w:rPr>
          <w:sz w:val="24"/>
          <w:szCs w:val="24"/>
        </w:rPr>
        <w:t xml:space="preserve">There are many organizations in which the finance director does not distribute the entire company's income as profits. </w:t>
      </w:r>
      <w:r w:rsidRPr="00FF1E78">
        <w:rPr>
          <w:color w:val="7030A0"/>
          <w:sz w:val="24"/>
          <w:szCs w:val="24"/>
        </w:rPr>
        <w:t xml:space="preserve">(Ross, 2015; Iqbal et al., 2023). </w:t>
      </w:r>
      <w:r w:rsidRPr="00FF1E78">
        <w:rPr>
          <w:sz w:val="24"/>
          <w:szCs w:val="24"/>
        </w:rPr>
        <w:t xml:space="preserve">Pakistan's Islamic banks have announced and paid dividends. Dividend selection is crucial as it determines whether earnings should be distributed or retained as a means of reinvestment. The macroeconomic climate in Pakistan, such as the interest rate cap, influences Islamic banking institutions' dividend policy decisions. In recent years, interest rate limits have reduced Islamic banking organizations' profitability, resulting in poor financial results. Pakistan's Islamic banks have announced and paid dividends. Dividend selection is crucial as it determines whether earnings should be distributed or retained as a means of reinvestment. The macroeconomic climate in Pakistan, such as the interest rate cap, influences Islamic banking institutions' dividend policy decisions. In recent years, interest rate limits have reduced Islamic banking organizations' profitability, resulting in poor financial results. </w:t>
      </w:r>
      <w:r w:rsidRPr="00FF1E78">
        <w:rPr>
          <w:color w:val="7030A0"/>
          <w:sz w:val="24"/>
          <w:szCs w:val="24"/>
        </w:rPr>
        <w:t>Rozeff (2019)</w:t>
      </w:r>
      <w:r w:rsidR="00FC70E9">
        <w:rPr>
          <w:color w:val="7030A0"/>
          <w:sz w:val="24"/>
          <w:szCs w:val="24"/>
        </w:rPr>
        <w:t>; Iqbal et al. (2023)</w:t>
      </w:r>
      <w:r w:rsidRPr="00FF1E78">
        <w:rPr>
          <w:color w:val="7030A0"/>
          <w:sz w:val="24"/>
          <w:szCs w:val="24"/>
        </w:rPr>
        <w:t xml:space="preserve"> </w:t>
      </w:r>
      <w:r w:rsidRPr="00FF1E78">
        <w:rPr>
          <w:sz w:val="24"/>
          <w:szCs w:val="24"/>
        </w:rPr>
        <w:t>claims that chiefs use the profit strategy more often to provide investors with wealth than to create wealth for them themselves. Profit strategy affects the financial presentation of assets based on how profits are distributed to investors.</w:t>
      </w:r>
      <w:r w:rsidR="00162190">
        <w:rPr>
          <w:sz w:val="24"/>
          <w:szCs w:val="24"/>
        </w:rPr>
        <w:t xml:space="preserve"> </w:t>
      </w:r>
      <w:r w:rsidR="00162190" w:rsidRPr="00162190">
        <w:rPr>
          <w:sz w:val="24"/>
          <w:szCs w:val="24"/>
        </w:rPr>
        <w:t xml:space="preserve">It is believed that organizations generate large profits from their data assets. In a precarious society, </w:t>
      </w:r>
      <w:r w:rsidR="00162190" w:rsidRPr="00162190">
        <w:rPr>
          <w:color w:val="7030A0"/>
          <w:sz w:val="24"/>
          <w:szCs w:val="24"/>
        </w:rPr>
        <w:t>Jean (2015)</w:t>
      </w:r>
      <w:r w:rsidR="00162190">
        <w:rPr>
          <w:color w:val="7030A0"/>
          <w:sz w:val="24"/>
          <w:szCs w:val="24"/>
        </w:rPr>
        <w:t>; Iqbal et al. (2023)</w:t>
      </w:r>
      <w:r w:rsidR="00162190" w:rsidRPr="00162190">
        <w:rPr>
          <w:color w:val="7030A0"/>
          <w:sz w:val="24"/>
          <w:szCs w:val="24"/>
        </w:rPr>
        <w:t xml:space="preserve"> </w:t>
      </w:r>
      <w:r w:rsidR="00162190" w:rsidRPr="00162190">
        <w:rPr>
          <w:sz w:val="24"/>
          <w:szCs w:val="24"/>
        </w:rPr>
        <w:t>points out that the distribution of earnings is a significant indicator of the organization's usefulness and financial market advantage. Changes in profit strategy indicate that they are a result of organization productivity and are likely to continue for some time. An increase in a company's profits is a sign that profits are increasing as they should. It is critical to note, however, that a decline in profit distribution signals to investors that the firm is failing. As a result, the organization does not fully consider whether it can sustain its existing profit strategy.</w:t>
      </w:r>
    </w:p>
    <w:p w14:paraId="2A579287" w14:textId="77777777" w:rsidR="006129F1" w:rsidRDefault="006129F1" w:rsidP="006129F1">
      <w:pPr>
        <w:adjustRightInd w:val="0"/>
        <w:contextualSpacing/>
        <w:jc w:val="both"/>
        <w:rPr>
          <w:sz w:val="24"/>
          <w:szCs w:val="24"/>
        </w:rPr>
      </w:pPr>
    </w:p>
    <w:p w14:paraId="69C69FF0" w14:textId="77777777" w:rsidR="0090477B" w:rsidRDefault="006129F1" w:rsidP="0090477B">
      <w:pPr>
        <w:adjustRightInd w:val="0"/>
        <w:contextualSpacing/>
        <w:jc w:val="both"/>
        <w:rPr>
          <w:sz w:val="24"/>
          <w:szCs w:val="24"/>
        </w:rPr>
      </w:pPr>
      <w:r w:rsidRPr="006129F1">
        <w:rPr>
          <w:sz w:val="24"/>
          <w:szCs w:val="24"/>
        </w:rPr>
        <w:t xml:space="preserve">In the current industry state, profit strategy is of the utmost importance. According to </w:t>
      </w:r>
      <w:r w:rsidRPr="006129F1">
        <w:rPr>
          <w:color w:val="7030A0"/>
          <w:sz w:val="24"/>
          <w:szCs w:val="24"/>
        </w:rPr>
        <w:t xml:space="preserve">Nissim et al. (2017), </w:t>
      </w:r>
      <w:r w:rsidRPr="006129F1">
        <w:rPr>
          <w:sz w:val="24"/>
          <w:szCs w:val="24"/>
        </w:rPr>
        <w:lastRenderedPageBreak/>
        <w:t xml:space="preserve">a company's profit strategy is a set of principles and criteria used to determine how much profit to distribute to investors. When executives researchers and financial experts completed their hypothetical demonstrations and observational assessments, the company's profit strategy stood out. It is for this reason that profit strategy is one of the most confusing aspects of finance. There is no doubt that the method of implementing a profit strategy is one of the most contentious issues in corporate finance. It is, however, still a viable option for both established and emerging industries </w:t>
      </w:r>
      <w:r w:rsidRPr="006129F1">
        <w:rPr>
          <w:color w:val="7030A0"/>
          <w:sz w:val="24"/>
          <w:szCs w:val="24"/>
        </w:rPr>
        <w:t xml:space="preserve">(Hafeez et al., 2019); Iqbal et al., 2023). </w:t>
      </w:r>
      <w:r w:rsidRPr="006129F1">
        <w:rPr>
          <w:sz w:val="24"/>
          <w:szCs w:val="24"/>
        </w:rPr>
        <w:t xml:space="preserve">Experts have pointed out problems with regard to profit components and causes of profit strategies, but there is no effective explanation for business profit behavior </w:t>
      </w:r>
      <w:r w:rsidRPr="006129F1">
        <w:rPr>
          <w:color w:val="7030A0"/>
          <w:sz w:val="24"/>
          <w:szCs w:val="24"/>
        </w:rPr>
        <w:t>(Dark, 1976; Brealey et al., 2017).</w:t>
      </w:r>
      <w:r w:rsidR="00BF481B">
        <w:rPr>
          <w:color w:val="7030A0"/>
          <w:sz w:val="24"/>
          <w:szCs w:val="24"/>
        </w:rPr>
        <w:t xml:space="preserve"> </w:t>
      </w:r>
      <w:r w:rsidR="00BF481B" w:rsidRPr="00BF481B">
        <w:rPr>
          <w:sz w:val="24"/>
          <w:szCs w:val="24"/>
        </w:rPr>
        <w:t xml:space="preserve">Cash is the lifeblood of every business because it fuels its operations. This is an essential requirement for organizations' growth and development, and, as such, must be available to perform any contract </w:t>
      </w:r>
      <w:r w:rsidR="00BF481B" w:rsidRPr="00BF481B">
        <w:rPr>
          <w:color w:val="7030A0"/>
          <w:sz w:val="24"/>
          <w:szCs w:val="24"/>
        </w:rPr>
        <w:t xml:space="preserve">(Edesses et al., 2013; Iqbal et al., 2023). </w:t>
      </w:r>
      <w:r w:rsidR="00BF481B" w:rsidRPr="00BF481B">
        <w:rPr>
          <w:sz w:val="24"/>
          <w:szCs w:val="24"/>
        </w:rPr>
        <w:t xml:space="preserve">Finance decisions are influenced by financial sources, whether internal or external (Asutay, 2011). Business strategies should increase advantages and investor wealth </w:t>
      </w:r>
      <w:r w:rsidR="00BF481B" w:rsidRPr="00BF481B">
        <w:rPr>
          <w:color w:val="7030A0"/>
          <w:sz w:val="24"/>
          <w:szCs w:val="24"/>
        </w:rPr>
        <w:t>(Zamir et al., 2012).</w:t>
      </w:r>
      <w:r w:rsidR="00BF481B" w:rsidRPr="00BF481B">
        <w:rPr>
          <w:sz w:val="24"/>
          <w:szCs w:val="24"/>
        </w:rPr>
        <w:t xml:space="preserve"> As a result, affordable, capable, flexible, and reliable asset sources are required. Foundations provide a variety of types of support depending on their customers' needs </w:t>
      </w:r>
      <w:r w:rsidR="00BF481B" w:rsidRPr="00BF481B">
        <w:rPr>
          <w:color w:val="7030A0"/>
          <w:sz w:val="24"/>
          <w:szCs w:val="24"/>
        </w:rPr>
        <w:t xml:space="preserve">(Bowman et al., 2002); Iqbal et al., 2022). </w:t>
      </w:r>
      <w:r w:rsidR="00BF481B" w:rsidRPr="00BF481B">
        <w:rPr>
          <w:sz w:val="24"/>
          <w:szCs w:val="24"/>
        </w:rPr>
        <w:t>Banks are the most well-known companies that finance, providing a variety of financial products, including bank accounts, current accounts, and credit products.</w:t>
      </w:r>
    </w:p>
    <w:p w14:paraId="0F58DD5C" w14:textId="77777777" w:rsidR="0090477B" w:rsidRDefault="0090477B" w:rsidP="0090477B">
      <w:pPr>
        <w:adjustRightInd w:val="0"/>
        <w:contextualSpacing/>
        <w:jc w:val="both"/>
        <w:rPr>
          <w:sz w:val="24"/>
          <w:szCs w:val="24"/>
        </w:rPr>
      </w:pPr>
    </w:p>
    <w:p w14:paraId="733B405D" w14:textId="77777777" w:rsidR="00F01E59" w:rsidRDefault="0090477B" w:rsidP="00F01E59">
      <w:pPr>
        <w:adjustRightInd w:val="0"/>
        <w:contextualSpacing/>
        <w:jc w:val="both"/>
        <w:rPr>
          <w:sz w:val="24"/>
          <w:szCs w:val="24"/>
        </w:rPr>
      </w:pPr>
      <w:r w:rsidRPr="0090477B">
        <w:rPr>
          <w:sz w:val="24"/>
          <w:szCs w:val="24"/>
        </w:rPr>
        <w:t xml:space="preserve">The Shari'ah Regulations, a body of Islamic law, prohibit the payment of interest on money as well as investing in businesses that offer stocks or services that are not in accordance with Islamic law </w:t>
      </w:r>
      <w:r w:rsidRPr="0090477B">
        <w:rPr>
          <w:color w:val="7030A0"/>
          <w:sz w:val="24"/>
          <w:szCs w:val="24"/>
        </w:rPr>
        <w:t xml:space="preserve">(Matemilola et al., 2021). </w:t>
      </w:r>
      <w:r w:rsidRPr="0090477B">
        <w:rPr>
          <w:sz w:val="24"/>
          <w:szCs w:val="24"/>
        </w:rPr>
        <w:t xml:space="preserve">Islamic microfinance is based on the principle of prohibiting "Riba," or premium on acquired currency. Rent-to-claim strategies, loan programs, joint buy-and-sell agreements, or organizations can be considered Shari'ah-compliant financing structures. As a result of the increased exploration of these countries, the Arabic-created globe has grown in significance in the modern world. The development of a Shari'ah-compliant financial sector is responsible for this development </w:t>
      </w:r>
      <w:r w:rsidRPr="0090477B">
        <w:rPr>
          <w:color w:val="7030A0"/>
          <w:sz w:val="24"/>
          <w:szCs w:val="24"/>
        </w:rPr>
        <w:t xml:space="preserve">(Cihak et al., 2018; Iqbal et al., 2023). </w:t>
      </w:r>
      <w:r w:rsidRPr="0090477B">
        <w:rPr>
          <w:sz w:val="24"/>
          <w:szCs w:val="24"/>
        </w:rPr>
        <w:t>While Islamic finance is relatively new to Pakistani business, they have a significant impact on the country by allowing transactions in financial institutions, allowing individuals to suggest, and supporting institutions that contribute to all sectors of the national economy. Islamic small finance is crucial to Pakistan's future economic development.</w:t>
      </w:r>
    </w:p>
    <w:p w14:paraId="6B96CA84" w14:textId="77777777" w:rsidR="00F01E59" w:rsidRDefault="00F01E59" w:rsidP="00F01E59">
      <w:pPr>
        <w:adjustRightInd w:val="0"/>
        <w:contextualSpacing/>
        <w:jc w:val="both"/>
        <w:rPr>
          <w:sz w:val="24"/>
          <w:szCs w:val="24"/>
        </w:rPr>
      </w:pPr>
    </w:p>
    <w:p w14:paraId="5FD556E1" w14:textId="01D59BC4" w:rsidR="00F01E59" w:rsidRDefault="00F01E59" w:rsidP="00F01E59">
      <w:pPr>
        <w:adjustRightInd w:val="0"/>
        <w:contextualSpacing/>
        <w:jc w:val="both"/>
        <w:rPr>
          <w:b/>
          <w:bCs/>
        </w:rPr>
      </w:pPr>
      <w:r w:rsidRPr="00F01E59">
        <w:rPr>
          <w:b/>
          <w:bCs/>
          <w:sz w:val="24"/>
          <w:szCs w:val="24"/>
        </w:rPr>
        <w:t>1.</w:t>
      </w:r>
      <w:r w:rsidR="00C432E4">
        <w:rPr>
          <w:b/>
          <w:bCs/>
          <w:sz w:val="24"/>
          <w:szCs w:val="24"/>
        </w:rPr>
        <w:t>1</w:t>
      </w:r>
      <w:r w:rsidRPr="00F01E59">
        <w:rPr>
          <w:b/>
          <w:bCs/>
          <w:sz w:val="24"/>
          <w:szCs w:val="24"/>
        </w:rPr>
        <w:t xml:space="preserve"> </w:t>
      </w:r>
      <w:r w:rsidR="00B1182D" w:rsidRPr="00F01E59">
        <w:rPr>
          <w:b/>
          <w:bCs/>
        </w:rPr>
        <w:t xml:space="preserve">Problem Statement </w:t>
      </w:r>
    </w:p>
    <w:p w14:paraId="070AB070" w14:textId="77777777" w:rsidR="00837F97" w:rsidRDefault="00F01E59" w:rsidP="00837F97">
      <w:pPr>
        <w:adjustRightInd w:val="0"/>
        <w:contextualSpacing/>
        <w:jc w:val="both"/>
        <w:rPr>
          <w:sz w:val="24"/>
          <w:szCs w:val="24"/>
        </w:rPr>
      </w:pPr>
      <w:r w:rsidRPr="00F01E59">
        <w:rPr>
          <w:sz w:val="24"/>
          <w:szCs w:val="24"/>
        </w:rPr>
        <w:t xml:space="preserve">Dividend payment regulations established by various institutions vary due to the fact that each bank determines the quantity, timing, and method by which dividends will be paid to shareholders. This is on a voluntary basis. It is important to note that despite banks operating in the same environment, each bank has a different dividend policy </w:t>
      </w:r>
      <w:r w:rsidRPr="00F01E59">
        <w:rPr>
          <w:color w:val="7030A0"/>
          <w:sz w:val="24"/>
          <w:szCs w:val="24"/>
        </w:rPr>
        <w:t xml:space="preserve">(Kamau, 2021). </w:t>
      </w:r>
      <w:r w:rsidRPr="00F01E59">
        <w:rPr>
          <w:sz w:val="24"/>
          <w:szCs w:val="24"/>
        </w:rPr>
        <w:t xml:space="preserve">Most Pakistani banks are concerned about the methodology used in determining dividend payouts and justifying them. There is no doubt that Pakistan's dividend regulations are controversial. </w:t>
      </w:r>
      <w:r w:rsidRPr="00F01E59">
        <w:rPr>
          <w:color w:val="7030A0"/>
          <w:sz w:val="24"/>
          <w:szCs w:val="24"/>
        </w:rPr>
        <w:t xml:space="preserve">Mbuki (2020) </w:t>
      </w:r>
      <w:r w:rsidRPr="00F01E59">
        <w:rPr>
          <w:sz w:val="24"/>
          <w:szCs w:val="24"/>
        </w:rPr>
        <w:t xml:space="preserve">has concerns regarding inconsistent dividend payments. In this field of corporate finance, there are several contentious disagreements. It may also be attributed to the fact that several factors influence dividend distribution. Furthermore, there is no regulation that requires certain businesses to issue a certain percentage of their revenues to investors. However, dividend distribution has not been adequately addressed in the finance community </w:t>
      </w:r>
      <w:r w:rsidRPr="00F01E59">
        <w:rPr>
          <w:color w:val="7030A0"/>
          <w:sz w:val="24"/>
          <w:szCs w:val="24"/>
        </w:rPr>
        <w:t>(Brealey et al., 2018).</w:t>
      </w:r>
      <w:r w:rsidRPr="00F01E59">
        <w:rPr>
          <w:sz w:val="24"/>
          <w:szCs w:val="24"/>
        </w:rPr>
        <w:t xml:space="preserve"> Under SBP regulations from 2016, banks are required to develop and maintain a dividend strategy to guide dividend payments. A study of this type is necessary to determine if dividend distribution strategies have a significant impact on Islamic banks' financial performance.</w:t>
      </w:r>
      <w:r w:rsidR="002C62E6">
        <w:rPr>
          <w:sz w:val="24"/>
          <w:szCs w:val="24"/>
        </w:rPr>
        <w:t xml:space="preserve"> </w:t>
      </w:r>
      <w:r w:rsidR="000F71FC" w:rsidRPr="000F71FC">
        <w:rPr>
          <w:sz w:val="24"/>
          <w:szCs w:val="24"/>
        </w:rPr>
        <w:t xml:space="preserve">Based on his research conducted in Pakistan between 2012-2019, </w:t>
      </w:r>
      <w:r w:rsidR="000F71FC" w:rsidRPr="000F71FC">
        <w:rPr>
          <w:color w:val="7030A0"/>
          <w:sz w:val="24"/>
          <w:szCs w:val="24"/>
        </w:rPr>
        <w:t xml:space="preserve">Nash (2015) </w:t>
      </w:r>
      <w:r w:rsidR="000F71FC" w:rsidRPr="000F71FC">
        <w:rPr>
          <w:sz w:val="24"/>
          <w:szCs w:val="24"/>
        </w:rPr>
        <w:t xml:space="preserve">found that dividend policies were positively correlated with Pakistan's banks' potential future earnings. Compared to an </w:t>
      </w:r>
      <w:r w:rsidR="000F71FC" w:rsidRPr="000F71FC">
        <w:rPr>
          <w:color w:val="7030A0"/>
          <w:sz w:val="24"/>
          <w:szCs w:val="24"/>
        </w:rPr>
        <w:t xml:space="preserve">Okwar (2015) </w:t>
      </w:r>
      <w:r w:rsidR="000F71FC" w:rsidRPr="000F71FC">
        <w:rPr>
          <w:sz w:val="24"/>
          <w:szCs w:val="24"/>
        </w:rPr>
        <w:t xml:space="preserve">study, dividend payout ratios do not have a significant impact on the health of businesses listed on the Karachi Stock </w:t>
      </w:r>
      <w:r w:rsidR="000F71FC" w:rsidRPr="000F71FC">
        <w:rPr>
          <w:sz w:val="24"/>
          <w:szCs w:val="24"/>
        </w:rPr>
        <w:lastRenderedPageBreak/>
        <w:t xml:space="preserve">Exchange. </w:t>
      </w:r>
      <w:r w:rsidR="000F71FC" w:rsidRPr="000F71FC">
        <w:rPr>
          <w:color w:val="7030A0"/>
          <w:sz w:val="24"/>
          <w:szCs w:val="24"/>
        </w:rPr>
        <w:t xml:space="preserve">Kamar (2017) </w:t>
      </w:r>
      <w:r w:rsidR="000F71FC" w:rsidRPr="000F71FC">
        <w:rPr>
          <w:sz w:val="24"/>
          <w:szCs w:val="24"/>
        </w:rPr>
        <w:t xml:space="preserve">examined the effect of dividend policy on Indian companies' financial performance. According to the study's findings, dividend policy has a strong correlation with financial performance. In the study, it was found that the dividend payout ratio had a significant impact on company success. </w:t>
      </w:r>
      <w:r w:rsidR="000F71FC" w:rsidRPr="000F71FC">
        <w:rPr>
          <w:color w:val="7030A0"/>
          <w:sz w:val="24"/>
          <w:szCs w:val="24"/>
        </w:rPr>
        <w:t xml:space="preserve">Kamau (2017) </w:t>
      </w:r>
      <w:r w:rsidR="000F71FC" w:rsidRPr="000F71FC">
        <w:rPr>
          <w:sz w:val="24"/>
          <w:szCs w:val="24"/>
        </w:rPr>
        <w:t>says dividend policies negatively affect insurance companies in Pakistan.</w:t>
      </w:r>
      <w:r w:rsidR="00B533D9">
        <w:rPr>
          <w:sz w:val="24"/>
          <w:szCs w:val="24"/>
        </w:rPr>
        <w:t xml:space="preserve"> </w:t>
      </w:r>
      <w:r w:rsidR="001130BD" w:rsidRPr="00B533D9">
        <w:rPr>
          <w:color w:val="7030A0"/>
          <w:sz w:val="24"/>
          <w:szCs w:val="24"/>
        </w:rPr>
        <w:t xml:space="preserve">Ochieng (2015) </w:t>
      </w:r>
      <w:r w:rsidR="001130BD" w:rsidRPr="00B533D9">
        <w:rPr>
          <w:sz w:val="24"/>
          <w:szCs w:val="24"/>
        </w:rPr>
        <w:t xml:space="preserve">says the dividend payout ratio significantly affects Pakistani companies' financial performance. </w:t>
      </w:r>
      <w:r w:rsidR="001130BD" w:rsidRPr="00B533D9">
        <w:rPr>
          <w:color w:val="7030A0"/>
          <w:sz w:val="24"/>
          <w:szCs w:val="24"/>
        </w:rPr>
        <w:t xml:space="preserve">Tarus (2015) </w:t>
      </w:r>
      <w:r w:rsidR="001130BD" w:rsidRPr="00B533D9">
        <w:rPr>
          <w:sz w:val="24"/>
          <w:szCs w:val="24"/>
        </w:rPr>
        <w:t xml:space="preserve">assumed that Pakistani enterprises' profit strategies had a minimal impact on their financial performance. In contrast to </w:t>
      </w:r>
      <w:r w:rsidR="001130BD" w:rsidRPr="00B533D9">
        <w:rPr>
          <w:color w:val="7030A0"/>
          <w:sz w:val="24"/>
          <w:szCs w:val="24"/>
        </w:rPr>
        <w:t>Nash (2018)</w:t>
      </w:r>
      <w:r w:rsidR="00B533D9">
        <w:rPr>
          <w:color w:val="7030A0"/>
          <w:sz w:val="24"/>
          <w:szCs w:val="24"/>
        </w:rPr>
        <w:t>;</w:t>
      </w:r>
      <w:r w:rsidR="001130BD" w:rsidRPr="00B533D9">
        <w:rPr>
          <w:color w:val="7030A0"/>
          <w:sz w:val="24"/>
          <w:szCs w:val="24"/>
        </w:rPr>
        <w:t xml:space="preserve"> Okwar (2015)</w:t>
      </w:r>
      <w:r w:rsidR="00B533D9">
        <w:rPr>
          <w:color w:val="7030A0"/>
          <w:sz w:val="24"/>
          <w:szCs w:val="24"/>
        </w:rPr>
        <w:t>;</w:t>
      </w:r>
      <w:r w:rsidR="001130BD" w:rsidRPr="00B533D9">
        <w:rPr>
          <w:color w:val="7030A0"/>
          <w:sz w:val="24"/>
          <w:szCs w:val="24"/>
        </w:rPr>
        <w:t xml:space="preserve"> Kamar (2017)</w:t>
      </w:r>
      <w:r w:rsidR="00B533D9">
        <w:rPr>
          <w:color w:val="7030A0"/>
          <w:sz w:val="24"/>
          <w:szCs w:val="24"/>
        </w:rPr>
        <w:t>;</w:t>
      </w:r>
      <w:r w:rsidR="001130BD" w:rsidRPr="00B533D9">
        <w:rPr>
          <w:color w:val="7030A0"/>
          <w:sz w:val="24"/>
          <w:szCs w:val="24"/>
        </w:rPr>
        <w:t xml:space="preserve"> Ochieng (2016) and Tarus (2015),</w:t>
      </w:r>
      <w:r w:rsidR="001130BD" w:rsidRPr="00B533D9">
        <w:rPr>
          <w:sz w:val="24"/>
          <w:szCs w:val="24"/>
        </w:rPr>
        <w:t xml:space="preserve"> this study adopted a registration strategy. Numerous studies support inconsistent results, especially when it comes to dividend policy's impact on business success. Therefore, the current study aims to determine how Pakistan's Islamic banking sector is performing with respect to its dividend policy.</w:t>
      </w:r>
    </w:p>
    <w:p w14:paraId="12BE7F54" w14:textId="77777777" w:rsidR="00837F97" w:rsidRDefault="00837F97" w:rsidP="00837F97">
      <w:pPr>
        <w:adjustRightInd w:val="0"/>
        <w:contextualSpacing/>
        <w:jc w:val="both"/>
        <w:rPr>
          <w:sz w:val="24"/>
          <w:szCs w:val="24"/>
        </w:rPr>
      </w:pPr>
    </w:p>
    <w:p w14:paraId="774633AF" w14:textId="77777777" w:rsidR="00421125" w:rsidRPr="00421125" w:rsidRDefault="00136B04" w:rsidP="00421125">
      <w:pPr>
        <w:pStyle w:val="ListParagraph"/>
        <w:numPr>
          <w:ilvl w:val="1"/>
          <w:numId w:val="10"/>
        </w:numPr>
        <w:adjustRightInd w:val="0"/>
        <w:contextualSpacing/>
        <w:rPr>
          <w:b/>
          <w:bCs/>
          <w:sz w:val="24"/>
          <w:szCs w:val="24"/>
        </w:rPr>
      </w:pPr>
      <w:r w:rsidRPr="00421125">
        <w:rPr>
          <w:b/>
          <w:bCs/>
          <w:sz w:val="24"/>
          <w:szCs w:val="24"/>
        </w:rPr>
        <w:t xml:space="preserve">Research Objectives </w:t>
      </w:r>
    </w:p>
    <w:p w14:paraId="5520DFC1" w14:textId="77777777" w:rsidR="00421125" w:rsidRPr="00421125" w:rsidRDefault="00421125" w:rsidP="00421125">
      <w:pPr>
        <w:adjustRightInd w:val="0"/>
        <w:contextualSpacing/>
        <w:rPr>
          <w:sz w:val="24"/>
          <w:szCs w:val="24"/>
        </w:rPr>
      </w:pPr>
      <w:r w:rsidRPr="00421125">
        <w:rPr>
          <w:sz w:val="24"/>
          <w:szCs w:val="24"/>
        </w:rPr>
        <w:t>This study aims to determine how dividend policies influence Pakistani Islamic banks' financial performance. In the study, the following objectives were specifically addressed:</w:t>
      </w:r>
    </w:p>
    <w:p w14:paraId="6C3BBD76" w14:textId="77777777" w:rsidR="00421125" w:rsidRPr="00421125" w:rsidRDefault="00972644" w:rsidP="00421125">
      <w:pPr>
        <w:pStyle w:val="ListParagraph"/>
        <w:numPr>
          <w:ilvl w:val="0"/>
          <w:numId w:val="11"/>
        </w:numPr>
        <w:adjustRightInd w:val="0"/>
        <w:contextualSpacing/>
        <w:rPr>
          <w:sz w:val="24"/>
          <w:szCs w:val="24"/>
        </w:rPr>
      </w:pPr>
      <w:r w:rsidRPr="00421125">
        <w:rPr>
          <w:sz w:val="24"/>
          <w:szCs w:val="24"/>
        </w:rPr>
        <w:t>To determine how riba impacts the performance of Pakistani Islamic banks.</w:t>
      </w:r>
    </w:p>
    <w:p w14:paraId="08F2E44A" w14:textId="25C4068B" w:rsidR="00972644" w:rsidRDefault="00972644" w:rsidP="00421125">
      <w:pPr>
        <w:pStyle w:val="ListParagraph"/>
        <w:numPr>
          <w:ilvl w:val="0"/>
          <w:numId w:val="11"/>
        </w:numPr>
        <w:adjustRightInd w:val="0"/>
        <w:contextualSpacing/>
        <w:rPr>
          <w:sz w:val="24"/>
          <w:szCs w:val="24"/>
        </w:rPr>
      </w:pPr>
      <w:r w:rsidRPr="00421125">
        <w:rPr>
          <w:sz w:val="24"/>
          <w:szCs w:val="24"/>
        </w:rPr>
        <w:t>This study aims to determine how Pakistan's dividend payout ratio influences Islamic banking performance.</w:t>
      </w:r>
    </w:p>
    <w:p w14:paraId="0B8D6B3C" w14:textId="77777777" w:rsidR="003444E5" w:rsidRPr="00421125" w:rsidRDefault="003444E5" w:rsidP="003444E5">
      <w:pPr>
        <w:pStyle w:val="ListParagraph"/>
        <w:adjustRightInd w:val="0"/>
        <w:ind w:left="720" w:firstLine="0"/>
        <w:contextualSpacing/>
        <w:rPr>
          <w:sz w:val="24"/>
          <w:szCs w:val="24"/>
        </w:rPr>
      </w:pPr>
    </w:p>
    <w:p w14:paraId="2A5609C1" w14:textId="2C87979D" w:rsidR="003139B5" w:rsidRPr="003444E5" w:rsidRDefault="003E6F58" w:rsidP="003444E5">
      <w:pPr>
        <w:adjustRightInd w:val="0"/>
        <w:contextualSpacing/>
        <w:rPr>
          <w:b/>
          <w:bCs/>
          <w:sz w:val="24"/>
          <w:szCs w:val="24"/>
        </w:rPr>
      </w:pPr>
      <w:r w:rsidRPr="003444E5">
        <w:rPr>
          <w:b/>
          <w:bCs/>
          <w:sz w:val="28"/>
          <w:szCs w:val="28"/>
        </w:rPr>
        <w:t>2. Literature Review</w:t>
      </w:r>
    </w:p>
    <w:p w14:paraId="5CAFD30C" w14:textId="5870559B" w:rsidR="00DE1E98" w:rsidRPr="006F663E" w:rsidRDefault="006F663E" w:rsidP="006F663E">
      <w:pPr>
        <w:adjustRightInd w:val="0"/>
        <w:contextualSpacing/>
        <w:rPr>
          <w:b/>
          <w:bCs/>
          <w:sz w:val="24"/>
          <w:szCs w:val="24"/>
        </w:rPr>
      </w:pPr>
      <w:r>
        <w:rPr>
          <w:b/>
          <w:bCs/>
          <w:sz w:val="24"/>
          <w:szCs w:val="24"/>
        </w:rPr>
        <w:t xml:space="preserve">2.1 </w:t>
      </w:r>
      <w:r w:rsidR="003139B5" w:rsidRPr="006F663E">
        <w:rPr>
          <w:b/>
          <w:bCs/>
          <w:sz w:val="24"/>
          <w:szCs w:val="24"/>
        </w:rPr>
        <w:t xml:space="preserve">Signal Impact </w:t>
      </w:r>
      <w:r w:rsidR="00BC1C6D" w:rsidRPr="006F663E">
        <w:rPr>
          <w:b/>
          <w:bCs/>
          <w:sz w:val="24"/>
          <w:szCs w:val="24"/>
        </w:rPr>
        <w:t>Theory</w:t>
      </w:r>
      <w:r w:rsidR="003139B5" w:rsidRPr="006F663E">
        <w:rPr>
          <w:b/>
          <w:bCs/>
          <w:sz w:val="24"/>
          <w:szCs w:val="24"/>
        </w:rPr>
        <w:t xml:space="preserve"> – Theoretical Review </w:t>
      </w:r>
    </w:p>
    <w:p w14:paraId="1F4EDF2D" w14:textId="77777777" w:rsidR="002778FE" w:rsidRDefault="00DE1E98" w:rsidP="002778FE">
      <w:pPr>
        <w:adjustRightInd w:val="0"/>
        <w:contextualSpacing/>
        <w:jc w:val="both"/>
        <w:rPr>
          <w:sz w:val="24"/>
          <w:szCs w:val="24"/>
        </w:rPr>
      </w:pPr>
      <w:r w:rsidRPr="00DE1E98">
        <w:rPr>
          <w:sz w:val="24"/>
          <w:szCs w:val="24"/>
        </w:rPr>
        <w:t xml:space="preserve">Based on </w:t>
      </w:r>
      <w:r w:rsidRPr="00DE1E98">
        <w:rPr>
          <w:color w:val="7030A0"/>
          <w:sz w:val="24"/>
          <w:szCs w:val="24"/>
        </w:rPr>
        <w:t xml:space="preserve">Miller et al. (1961) </w:t>
      </w:r>
      <w:r w:rsidRPr="00DE1E98">
        <w:rPr>
          <w:sz w:val="24"/>
          <w:szCs w:val="24"/>
        </w:rPr>
        <w:t xml:space="preserve">research on dividend signaling theory. A company cutting dividends sends investors a depressing message that future earnings will be lower than current earnings </w:t>
      </w:r>
      <w:r w:rsidRPr="00DE1E98">
        <w:rPr>
          <w:color w:val="7030A0"/>
          <w:sz w:val="24"/>
          <w:szCs w:val="24"/>
        </w:rPr>
        <w:t>(Hussein et al., 2016).</w:t>
      </w:r>
      <w:r w:rsidRPr="00DE1E98">
        <w:rPr>
          <w:sz w:val="24"/>
          <w:szCs w:val="24"/>
        </w:rPr>
        <w:t xml:space="preserve"> The concept of signaling implies that management is aware that they are unable to communicate effectively with shareholders or do not wish to do so. The result is, for instance, more accurate earnings forecasts. It is the easiest strategy for investors to reduce uncertainty about a company's worth if they accept dividends from management. Since </w:t>
      </w:r>
      <w:r w:rsidRPr="00DE1E98">
        <w:rPr>
          <w:color w:val="7030A0"/>
          <w:sz w:val="24"/>
          <w:szCs w:val="24"/>
        </w:rPr>
        <w:t>Choi et al. (2014)</w:t>
      </w:r>
      <w:r w:rsidRPr="00DE1E98">
        <w:rPr>
          <w:sz w:val="24"/>
          <w:szCs w:val="24"/>
        </w:rPr>
        <w:t xml:space="preserve"> note that outside investors usually lack a comprehensive understanding of how firms perform. Dividends represent projected cash flows. Businesses must have favorable cash flows due to dividends.</w:t>
      </w:r>
      <w:r w:rsidR="00CC0BE0">
        <w:rPr>
          <w:sz w:val="24"/>
          <w:szCs w:val="24"/>
        </w:rPr>
        <w:t xml:space="preserve"> </w:t>
      </w:r>
      <w:r w:rsidR="00CC0BE0" w:rsidRPr="00CC0BE0">
        <w:rPr>
          <w:sz w:val="24"/>
          <w:szCs w:val="24"/>
        </w:rPr>
        <w:t xml:space="preserve">Based on the theory, it might be possible to determine whether or not potential cash flows are likely to rise, or fall based on certain indicators. This is due to the fact that businesses that rely heavily on future cash flows will want to share this information with investors to improve dividend profits. In response to the simultaneous goal of increasing market value, unprofitable firms cannot imitate them </w:t>
      </w:r>
      <w:r w:rsidR="00CC0BE0" w:rsidRPr="00CC0BE0">
        <w:rPr>
          <w:color w:val="7030A0"/>
          <w:sz w:val="24"/>
          <w:szCs w:val="24"/>
        </w:rPr>
        <w:t>(Godager et al., 2019).</w:t>
      </w:r>
      <w:r w:rsidR="004106C7">
        <w:rPr>
          <w:color w:val="7030A0"/>
          <w:sz w:val="24"/>
          <w:szCs w:val="24"/>
        </w:rPr>
        <w:t xml:space="preserve"> </w:t>
      </w:r>
      <w:r w:rsidR="004106C7" w:rsidRPr="004106C7">
        <w:rPr>
          <w:sz w:val="24"/>
          <w:szCs w:val="24"/>
        </w:rPr>
        <w:t xml:space="preserve">Signaling is the easiest way to explain why certain companies insist on paying dividends. Capital gains are often worth more than dividends due to higher tax rates. It is also possible to use dividends to demonstrate management's confidence in a company's future prospects. </w:t>
      </w:r>
      <w:r w:rsidR="004106C7" w:rsidRPr="004106C7">
        <w:rPr>
          <w:color w:val="7030A0"/>
          <w:sz w:val="24"/>
          <w:szCs w:val="24"/>
        </w:rPr>
        <w:t xml:space="preserve">Brian's (2016) </w:t>
      </w:r>
      <w:r w:rsidR="004106C7" w:rsidRPr="004106C7">
        <w:rPr>
          <w:sz w:val="24"/>
          <w:szCs w:val="24"/>
        </w:rPr>
        <w:t>dividend research shows dividend signaling has a greater impact when there is a high degree of information asymmetry.</w:t>
      </w:r>
      <w:r w:rsidR="00EA74A3">
        <w:rPr>
          <w:sz w:val="24"/>
          <w:szCs w:val="24"/>
        </w:rPr>
        <w:t xml:space="preserve"> </w:t>
      </w:r>
      <w:r w:rsidR="00EA74A3" w:rsidRPr="00EA74A3">
        <w:rPr>
          <w:sz w:val="24"/>
          <w:szCs w:val="24"/>
        </w:rPr>
        <w:t xml:space="preserve">According to </w:t>
      </w:r>
      <w:r w:rsidR="00EA74A3" w:rsidRPr="00EA74A3">
        <w:rPr>
          <w:color w:val="7030A0"/>
          <w:sz w:val="24"/>
          <w:szCs w:val="24"/>
        </w:rPr>
        <w:t xml:space="preserve">Laurence et al. (2015), </w:t>
      </w:r>
      <w:r w:rsidR="00EA74A3" w:rsidRPr="00EA74A3">
        <w:rPr>
          <w:sz w:val="24"/>
          <w:szCs w:val="24"/>
        </w:rPr>
        <w:t xml:space="preserve">dividends fail to accurately reflect anticipated earnings for this reason. Consider smaller corporations that pay dividends over larger companies if asymmetric dividend information is significant. Managers usually resist dividend reductions since they believe dividend announcements may increase profits. Due to this, dividend absence does not provide investors with satisfactory returns. An increase in dividends is generally viewed favorably by investors, whereas a decrease is generally considered negative by investors. Moreover, dividend signaling effects are significantly stronger when dividend taxes are high </w:t>
      </w:r>
      <w:r w:rsidR="00EA74A3" w:rsidRPr="00EA74A3">
        <w:rPr>
          <w:color w:val="7030A0"/>
          <w:sz w:val="24"/>
          <w:szCs w:val="24"/>
        </w:rPr>
        <w:t>(Godager et al., 2019).</w:t>
      </w:r>
      <w:r w:rsidR="00EA74A3" w:rsidRPr="00EA74A3">
        <w:rPr>
          <w:sz w:val="24"/>
          <w:szCs w:val="24"/>
        </w:rPr>
        <w:t xml:space="preserve"> It depends on the dividend policy choice whether dividend signals provide information for investors. It is possible to eliminate dividend signaling by establishing a policy to distribute dividends as a percentage of earnings. Investors cannot depend on dividend increases to indicate a company's future prospects. As a result, management no longer modifies payments to reflect expected earnings. It is </w:t>
      </w:r>
      <w:r w:rsidR="00EA74A3" w:rsidRPr="00EA74A3">
        <w:rPr>
          <w:sz w:val="24"/>
          <w:szCs w:val="24"/>
        </w:rPr>
        <w:lastRenderedPageBreak/>
        <w:t>hypothesized that the company's liquidity variable can be explained by this hypothesis.</w:t>
      </w:r>
    </w:p>
    <w:p w14:paraId="7E05788A" w14:textId="77777777" w:rsidR="002778FE" w:rsidRDefault="002778FE" w:rsidP="002778FE">
      <w:pPr>
        <w:adjustRightInd w:val="0"/>
        <w:contextualSpacing/>
        <w:jc w:val="both"/>
        <w:rPr>
          <w:sz w:val="24"/>
          <w:szCs w:val="24"/>
        </w:rPr>
      </w:pPr>
    </w:p>
    <w:p w14:paraId="43459442" w14:textId="15AA8962" w:rsidR="005C60B9" w:rsidRPr="006F663E" w:rsidRDefault="006F663E" w:rsidP="006F663E">
      <w:pPr>
        <w:adjustRightInd w:val="0"/>
        <w:contextualSpacing/>
        <w:rPr>
          <w:b/>
          <w:bCs/>
          <w:sz w:val="24"/>
          <w:szCs w:val="24"/>
        </w:rPr>
      </w:pPr>
      <w:r>
        <w:rPr>
          <w:b/>
          <w:bCs/>
          <w:sz w:val="24"/>
          <w:szCs w:val="24"/>
        </w:rPr>
        <w:t xml:space="preserve">2.2 </w:t>
      </w:r>
      <w:r w:rsidR="00C6036B" w:rsidRPr="006F663E">
        <w:rPr>
          <w:b/>
          <w:bCs/>
          <w:sz w:val="24"/>
          <w:szCs w:val="24"/>
        </w:rPr>
        <w:t>Theory of the Bird in the Hand</w:t>
      </w:r>
    </w:p>
    <w:p w14:paraId="6523EAA3" w14:textId="77777777" w:rsidR="0072753A" w:rsidRDefault="005C60B9" w:rsidP="0072753A">
      <w:pPr>
        <w:adjustRightInd w:val="0"/>
        <w:contextualSpacing/>
        <w:jc w:val="both"/>
        <w:rPr>
          <w:sz w:val="24"/>
          <w:szCs w:val="24"/>
        </w:rPr>
      </w:pPr>
      <w:r w:rsidRPr="005C60B9">
        <w:rPr>
          <w:sz w:val="24"/>
          <w:szCs w:val="24"/>
        </w:rPr>
        <w:t xml:space="preserve">It is hypothesized that dividend distribution affects a company's market value </w:t>
      </w:r>
      <w:r w:rsidRPr="005C60B9">
        <w:rPr>
          <w:color w:val="7030A0"/>
          <w:sz w:val="24"/>
          <w:szCs w:val="24"/>
        </w:rPr>
        <w:t xml:space="preserve">(Gordon, 1962). </w:t>
      </w:r>
      <w:r w:rsidRPr="005C60B9">
        <w:rPr>
          <w:sz w:val="24"/>
          <w:szCs w:val="24"/>
        </w:rPr>
        <w:t>Financial performance is not affected by dividends or capital gains, and investors are unconcerned. Based on this reasoning, stock investors prefer dividends paid in the current period because they are risk averse. As a result of knowledge asymmetry, dividend values change so that capital gains or earnings can be retained.</w:t>
      </w:r>
      <w:r w:rsidR="0045264F">
        <w:rPr>
          <w:sz w:val="24"/>
          <w:szCs w:val="24"/>
        </w:rPr>
        <w:t xml:space="preserve"> </w:t>
      </w:r>
      <w:r w:rsidR="0045264F" w:rsidRPr="0045264F">
        <w:rPr>
          <w:sz w:val="24"/>
          <w:szCs w:val="24"/>
        </w:rPr>
        <w:t xml:space="preserve">According to the Bird in the Hand Hypothesis </w:t>
      </w:r>
      <w:r w:rsidR="0045264F" w:rsidRPr="0045264F">
        <w:rPr>
          <w:color w:val="7030A0"/>
          <w:sz w:val="24"/>
          <w:szCs w:val="24"/>
        </w:rPr>
        <w:t xml:space="preserve">(Gordon, 1962), </w:t>
      </w:r>
      <w:r w:rsidR="0045264F" w:rsidRPr="0045264F">
        <w:rPr>
          <w:sz w:val="24"/>
          <w:szCs w:val="24"/>
        </w:rPr>
        <w:t xml:space="preserve">the choice of profit strategy is significant since a certain level of profit is considered equal to the potential investments or profits or capital gains that a company may generate. Financial supporters find the prospect of future capital additions more attractive than a cash dividend presented as a bird in the hand. In addition, he suggested that investors preferred immediate profits over projected capital gains due to information asymmetry. As a result of the Gordon model, dividend yields are considered more significant than cost when determining what equity investors can expect. Additionally, it asserts that dividends are the most effective way to determine company value. Capital gains cannot be reliably predicted since earnings are unpredictable </w:t>
      </w:r>
      <w:r w:rsidR="0045264F" w:rsidRPr="0045264F">
        <w:rPr>
          <w:color w:val="7030A0"/>
          <w:sz w:val="24"/>
          <w:szCs w:val="24"/>
        </w:rPr>
        <w:t>(Gordon, 1962).</w:t>
      </w:r>
      <w:r w:rsidR="00496D4A">
        <w:rPr>
          <w:color w:val="7030A0"/>
          <w:sz w:val="24"/>
          <w:szCs w:val="24"/>
        </w:rPr>
        <w:t xml:space="preserve"> </w:t>
      </w:r>
      <w:r w:rsidR="00496D4A" w:rsidRPr="00496D4A">
        <w:rPr>
          <w:sz w:val="24"/>
          <w:szCs w:val="24"/>
        </w:rPr>
        <w:t xml:space="preserve">As it is impossible to predict a company's future worth in the market, investors view non-paying companies as underperforming since they may not receive a return on their investment. Businesses should consider a dividend policy because a specific dividend is preferable to future dividends or, in some cases, capital gains </w:t>
      </w:r>
      <w:r w:rsidR="00496D4A" w:rsidRPr="00496D4A">
        <w:rPr>
          <w:color w:val="7030A0"/>
          <w:sz w:val="24"/>
          <w:szCs w:val="24"/>
        </w:rPr>
        <w:t xml:space="preserve">(Gordon, 1962). </w:t>
      </w:r>
      <w:r w:rsidR="00496D4A" w:rsidRPr="00496D4A">
        <w:rPr>
          <w:sz w:val="24"/>
          <w:szCs w:val="24"/>
        </w:rPr>
        <w:t xml:space="preserve">It is erroneous to argue that Bird in Hand is the most effective solution. </w:t>
      </w:r>
      <w:r w:rsidR="00496D4A" w:rsidRPr="00496D4A">
        <w:rPr>
          <w:color w:val="7030A0"/>
          <w:sz w:val="24"/>
          <w:szCs w:val="24"/>
        </w:rPr>
        <w:t xml:space="preserve">Bhattacharya (2014) </w:t>
      </w:r>
      <w:r w:rsidR="00496D4A" w:rsidRPr="00496D4A">
        <w:rPr>
          <w:sz w:val="24"/>
          <w:szCs w:val="24"/>
        </w:rPr>
        <w:t xml:space="preserve">criticizes this argument. The firm's share distribution is influenced by cash flow risk, not the other way around. When dividends and investment decisions are separated, </w:t>
      </w:r>
      <w:r w:rsidR="00496D4A" w:rsidRPr="00496D4A">
        <w:rPr>
          <w:color w:val="7030A0"/>
          <w:sz w:val="24"/>
          <w:szCs w:val="24"/>
        </w:rPr>
        <w:t xml:space="preserve">Adedeji (2015) </w:t>
      </w:r>
      <w:r w:rsidR="00496D4A" w:rsidRPr="00496D4A">
        <w:rPr>
          <w:sz w:val="24"/>
          <w:szCs w:val="24"/>
        </w:rPr>
        <w:t>asserts that the firm's share price is determined by the returns from adopted investment decisions rather than the dividend policy. The firm's risk factor and earnings power are distinct from the dividend policy, and asset quality depends on asset quality.</w:t>
      </w:r>
      <w:r w:rsidR="00EB6A2A">
        <w:rPr>
          <w:sz w:val="24"/>
          <w:szCs w:val="24"/>
        </w:rPr>
        <w:t xml:space="preserve"> </w:t>
      </w:r>
      <w:r w:rsidR="00EB6A2A" w:rsidRPr="00EB6A2A">
        <w:rPr>
          <w:sz w:val="24"/>
          <w:szCs w:val="24"/>
        </w:rPr>
        <w:t>Islamic banking's ability to survive in a highly competitive dividend environment is a serious concern for its members. Risk-averse investor behavior is emphasized in the theory, where behavioral factors are taken into account when choosing the appropriate dividend policy. Dividend distributions impact the liquidity of Islamic banking systems, which may ultimately impact the operation of the industry.</w:t>
      </w:r>
    </w:p>
    <w:p w14:paraId="083454EB" w14:textId="77777777" w:rsidR="0072753A" w:rsidRDefault="0072753A" w:rsidP="0072753A">
      <w:pPr>
        <w:adjustRightInd w:val="0"/>
        <w:contextualSpacing/>
        <w:jc w:val="both"/>
        <w:rPr>
          <w:sz w:val="24"/>
          <w:szCs w:val="24"/>
        </w:rPr>
      </w:pPr>
    </w:p>
    <w:p w14:paraId="13346C4C" w14:textId="77777777" w:rsidR="006F663E" w:rsidRPr="006F663E" w:rsidRDefault="0072753A" w:rsidP="006F663E">
      <w:pPr>
        <w:adjustRightInd w:val="0"/>
        <w:contextualSpacing/>
        <w:rPr>
          <w:b/>
          <w:bCs/>
          <w:sz w:val="24"/>
          <w:szCs w:val="24"/>
        </w:rPr>
      </w:pPr>
      <w:r w:rsidRPr="006F663E">
        <w:rPr>
          <w:b/>
          <w:bCs/>
          <w:sz w:val="24"/>
          <w:szCs w:val="24"/>
        </w:rPr>
        <w:t xml:space="preserve">2.3 </w:t>
      </w:r>
      <w:r w:rsidR="009D38A1" w:rsidRPr="006F663E">
        <w:rPr>
          <w:b/>
          <w:bCs/>
          <w:sz w:val="24"/>
          <w:szCs w:val="24"/>
        </w:rPr>
        <w:t xml:space="preserve">Conceptual Framework </w:t>
      </w:r>
    </w:p>
    <w:p w14:paraId="5202ED03" w14:textId="510A4CE2" w:rsidR="007D28A6" w:rsidRPr="006F663E" w:rsidRDefault="006F663E" w:rsidP="006F663E">
      <w:pPr>
        <w:adjustRightInd w:val="0"/>
        <w:contextualSpacing/>
        <w:jc w:val="both"/>
        <w:rPr>
          <w:b/>
          <w:bCs/>
          <w:color w:val="7030A0"/>
          <w:sz w:val="36"/>
          <w:szCs w:val="36"/>
        </w:rPr>
      </w:pPr>
      <w:r w:rsidRPr="006F663E">
        <w:rPr>
          <w:sz w:val="24"/>
          <w:szCs w:val="24"/>
        </w:rPr>
        <w:t>Research was conducted to examine how Pakistan's Islamic banks' dividend policy impacts their financial performance. Control variable analysis was conducted using dividend coverage, firm size, leverage, and liquidity. The independent variables were dividend payout ratio and dividend regulation. The Islamic Banks (IBs) performance as the dependent variable was determined by ROA and ROE</w:t>
      </w:r>
      <w:r w:rsidRPr="006F663E">
        <w:t>.</w:t>
      </w:r>
      <w:r w:rsidR="007D28A6" w:rsidRPr="007C525B">
        <w:rPr>
          <w:noProof/>
        </w:rPr>
        <w:drawing>
          <wp:inline distT="0" distB="0" distL="0" distR="0" wp14:anchorId="68105F7D" wp14:editId="4D66EDF8">
            <wp:extent cx="6267450" cy="1828800"/>
            <wp:effectExtent l="76200" t="0" r="38100" b="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32CFFD8" w14:textId="04133D44" w:rsidR="009D38A1" w:rsidRPr="00222DA9" w:rsidRDefault="006E6104" w:rsidP="006E6104">
      <w:pPr>
        <w:pStyle w:val="pb-2"/>
        <w:jc w:val="center"/>
        <w:rPr>
          <w:i/>
          <w:iCs/>
          <w:sz w:val="22"/>
          <w:szCs w:val="22"/>
        </w:rPr>
      </w:pPr>
      <w:r w:rsidRPr="00222DA9">
        <w:rPr>
          <w:b/>
          <w:bCs/>
          <w:i/>
          <w:iCs/>
          <w:sz w:val="22"/>
          <w:szCs w:val="22"/>
        </w:rPr>
        <w:t>Figure 1:</w:t>
      </w:r>
      <w:r w:rsidRPr="00222DA9">
        <w:rPr>
          <w:i/>
          <w:iCs/>
          <w:sz w:val="22"/>
          <w:szCs w:val="22"/>
        </w:rPr>
        <w:t xml:space="preserve"> Conceptual Framework: Researcher (2023) as a </w:t>
      </w:r>
      <w:r w:rsidR="005A0D82" w:rsidRPr="00222DA9">
        <w:rPr>
          <w:i/>
          <w:iCs/>
          <w:sz w:val="22"/>
          <w:szCs w:val="22"/>
        </w:rPr>
        <w:t>S</w:t>
      </w:r>
      <w:r w:rsidRPr="00222DA9">
        <w:rPr>
          <w:i/>
          <w:iCs/>
          <w:sz w:val="22"/>
          <w:szCs w:val="22"/>
        </w:rPr>
        <w:t>ource</w:t>
      </w:r>
    </w:p>
    <w:p w14:paraId="11042657" w14:textId="77777777" w:rsidR="00F5239E" w:rsidRDefault="00523E41" w:rsidP="00F5239E">
      <w:pPr>
        <w:adjustRightInd w:val="0"/>
        <w:contextualSpacing/>
        <w:rPr>
          <w:b/>
          <w:bCs/>
          <w:sz w:val="24"/>
          <w:szCs w:val="24"/>
        </w:rPr>
      </w:pPr>
      <w:r w:rsidRPr="00523E41">
        <w:rPr>
          <w:b/>
          <w:bCs/>
          <w:sz w:val="24"/>
          <w:szCs w:val="24"/>
        </w:rPr>
        <w:lastRenderedPageBreak/>
        <w:t xml:space="preserve">2.4 </w:t>
      </w:r>
      <w:r w:rsidR="00E96F6F" w:rsidRPr="00523E41">
        <w:rPr>
          <w:b/>
          <w:bCs/>
          <w:sz w:val="24"/>
          <w:szCs w:val="24"/>
        </w:rPr>
        <w:t>Riba</w:t>
      </w:r>
    </w:p>
    <w:p w14:paraId="0E834C09" w14:textId="2DBA577F" w:rsidR="00A10CB8" w:rsidRDefault="00F078A8" w:rsidP="002231FD">
      <w:pPr>
        <w:adjustRightInd w:val="0"/>
        <w:contextualSpacing/>
        <w:jc w:val="both"/>
        <w:rPr>
          <w:sz w:val="24"/>
          <w:szCs w:val="24"/>
        </w:rPr>
      </w:pPr>
      <w:r w:rsidRPr="00F5239E">
        <w:rPr>
          <w:sz w:val="24"/>
          <w:szCs w:val="24"/>
        </w:rPr>
        <w:t xml:space="preserve">Riba, when expressed as a percentage, represents the fee charged for a money loan, according to </w:t>
      </w:r>
      <w:r w:rsidRPr="00F5239E">
        <w:rPr>
          <w:color w:val="7030A0"/>
          <w:sz w:val="24"/>
          <w:szCs w:val="24"/>
        </w:rPr>
        <w:t xml:space="preserve">(McConnell 2019; Lloyd 2016). </w:t>
      </w:r>
      <w:r w:rsidRPr="00F5239E">
        <w:rPr>
          <w:sz w:val="24"/>
          <w:szCs w:val="24"/>
        </w:rPr>
        <w:t xml:space="preserve">Deferred purchasing authority can also be called the cost the debtor must pay to refund the bank. Using </w:t>
      </w:r>
      <w:r w:rsidRPr="00F5239E">
        <w:rPr>
          <w:color w:val="7030A0"/>
          <w:sz w:val="24"/>
          <w:szCs w:val="24"/>
        </w:rPr>
        <w:t xml:space="preserve">Keynes (2016) </w:t>
      </w:r>
      <w:r w:rsidRPr="00F5239E">
        <w:rPr>
          <w:sz w:val="24"/>
          <w:szCs w:val="24"/>
        </w:rPr>
        <w:t xml:space="preserve">as an example, the interest rate represents the cost of borrowing a principal for a specified period of time. Interest rates are of the utmost importance to businesses and companies that borrow heavily to finance their operations. It has a direct effect on their pay and other actions, so they are concerned. </w:t>
      </w:r>
      <w:r w:rsidRPr="00F5239E">
        <w:rPr>
          <w:color w:val="7030A0"/>
          <w:sz w:val="24"/>
          <w:szCs w:val="24"/>
        </w:rPr>
        <w:t xml:space="preserve">Cartgill (2017) </w:t>
      </w:r>
      <w:r w:rsidRPr="00F5239E">
        <w:rPr>
          <w:sz w:val="24"/>
          <w:szCs w:val="24"/>
        </w:rPr>
        <w:t xml:space="preserve">describes "Riga" as a structure used by lenders and other financial intermediaries to account for losses in the value of advanced principals due primarily to price increases and revenue margins resulting from the lender's exposure to default risk during the loan term. </w:t>
      </w:r>
      <w:r w:rsidRPr="00F5239E">
        <w:rPr>
          <w:color w:val="7030A0"/>
          <w:sz w:val="24"/>
          <w:szCs w:val="24"/>
        </w:rPr>
        <w:t xml:space="preserve">Lloyd (2016) </w:t>
      </w:r>
      <w:r w:rsidRPr="00F5239E">
        <w:rPr>
          <w:sz w:val="24"/>
          <w:szCs w:val="24"/>
        </w:rPr>
        <w:t xml:space="preserve">says Riba is one of the most significant macroeconomic terms used in the financial sector. Aside from this, </w:t>
      </w:r>
      <w:r w:rsidRPr="00F5239E">
        <w:rPr>
          <w:color w:val="7030A0"/>
          <w:sz w:val="24"/>
          <w:szCs w:val="24"/>
        </w:rPr>
        <w:t xml:space="preserve">Reilly (2019) </w:t>
      </w:r>
      <w:r w:rsidRPr="00F5239E">
        <w:rPr>
          <w:sz w:val="24"/>
          <w:szCs w:val="24"/>
        </w:rPr>
        <w:t xml:space="preserve">noted that Riba for Islamic banks depends on a number of variables, including price increases, government borrowing, and associated risks. Furthermore, he established that since inflation increases interest rates, no Islamic bank can provide loans at a rate lower than the anticipated amount of inflation. </w:t>
      </w:r>
      <w:r w:rsidR="00C52F4F">
        <w:rPr>
          <w:b/>
          <w:bCs/>
          <w:sz w:val="28"/>
          <w:szCs w:val="28"/>
        </w:rPr>
        <w:t xml:space="preserve"> </w:t>
      </w:r>
      <w:r w:rsidR="00C52F4F" w:rsidRPr="00C52F4F">
        <w:rPr>
          <w:sz w:val="24"/>
          <w:szCs w:val="24"/>
        </w:rPr>
        <w:t xml:space="preserve">As a result, to provide a loan with a set interest rate, one should consider the regulations of a recognized Islamic investment organization. According to </w:t>
      </w:r>
      <w:r w:rsidR="00C52F4F" w:rsidRPr="00C52F4F">
        <w:rPr>
          <w:color w:val="7030A0"/>
          <w:sz w:val="24"/>
          <w:szCs w:val="24"/>
        </w:rPr>
        <w:t xml:space="preserve">Jacob et al. (2017), </w:t>
      </w:r>
      <w:r w:rsidR="00C52F4F" w:rsidRPr="00C52F4F">
        <w:rPr>
          <w:sz w:val="24"/>
          <w:szCs w:val="24"/>
        </w:rPr>
        <w:t>Islamic banks may have to reconsider their plans to increase interest rates through tax policy due to dividend rules. A financing theory illustrates how, despite significant increases in implications, the financial division cannot allocate resources effectively. Research has demonstrated that increases in progress rates have a negative impact on perceived and publicized declines. This in turn affects the economic sector's performance (including banks and confidence development) and long-term historical growth. Recent hypotheses highlight the significance of highlighting credit feature asymmetries</w:t>
      </w:r>
      <w:r w:rsidR="00386D75">
        <w:rPr>
          <w:sz w:val="24"/>
          <w:szCs w:val="24"/>
        </w:rPr>
        <w:t xml:space="preserve"> </w:t>
      </w:r>
      <w:r w:rsidR="00386D75" w:rsidRPr="00386D75">
        <w:rPr>
          <w:color w:val="7030A0"/>
          <w:sz w:val="24"/>
          <w:szCs w:val="24"/>
        </w:rPr>
        <w:t>(Iqbal et al., 2023).</w:t>
      </w:r>
      <w:r w:rsidR="002231FD">
        <w:rPr>
          <w:color w:val="7030A0"/>
          <w:sz w:val="24"/>
          <w:szCs w:val="24"/>
        </w:rPr>
        <w:t xml:space="preserve"> </w:t>
      </w:r>
      <w:r w:rsidR="002231FD" w:rsidRPr="002231FD">
        <w:rPr>
          <w:sz w:val="24"/>
          <w:szCs w:val="24"/>
        </w:rPr>
        <w:t>Therefore, an increase in inflation lowers the verifiable return on money, and assets in general. Credit disintegration is indicative of the proposed reduction in real returns. When development increases, credit proportioning becomes more accurate due to market fluctuations. Capital/whole deal concepts are</w:t>
      </w:r>
      <w:r w:rsidR="002231FD">
        <w:rPr>
          <w:sz w:val="24"/>
          <w:szCs w:val="24"/>
        </w:rPr>
        <w:t xml:space="preserve"> </w:t>
      </w:r>
      <w:r w:rsidR="002231FD" w:rsidRPr="002231FD">
        <w:rPr>
          <w:sz w:val="24"/>
          <w:szCs w:val="24"/>
        </w:rPr>
        <w:t>threatened due to credit creation reduction, reduced resource capacity, and diminished delegation. Financial institutions' liquid or irrefutably held assets in this context.</w:t>
      </w:r>
    </w:p>
    <w:p w14:paraId="1215873F" w14:textId="77777777" w:rsidR="002231FD" w:rsidRPr="002231FD" w:rsidRDefault="002231FD" w:rsidP="002231FD">
      <w:pPr>
        <w:adjustRightInd w:val="0"/>
        <w:contextualSpacing/>
        <w:jc w:val="both"/>
        <w:rPr>
          <w:color w:val="7030A0"/>
          <w:sz w:val="24"/>
          <w:szCs w:val="24"/>
        </w:rPr>
      </w:pPr>
    </w:p>
    <w:p w14:paraId="29AD86B2" w14:textId="77777777" w:rsidR="00A27F18" w:rsidRDefault="007864F9" w:rsidP="00A27F18">
      <w:pPr>
        <w:adjustRightInd w:val="0"/>
        <w:contextualSpacing/>
        <w:rPr>
          <w:b/>
          <w:bCs/>
          <w:sz w:val="24"/>
          <w:szCs w:val="24"/>
        </w:rPr>
      </w:pPr>
      <w:r>
        <w:rPr>
          <w:b/>
          <w:bCs/>
          <w:sz w:val="24"/>
          <w:szCs w:val="24"/>
        </w:rPr>
        <w:t xml:space="preserve">2.5 </w:t>
      </w:r>
      <w:r w:rsidR="00A10CB8" w:rsidRPr="007C525B">
        <w:rPr>
          <w:b/>
          <w:bCs/>
          <w:sz w:val="24"/>
          <w:szCs w:val="24"/>
        </w:rPr>
        <w:t xml:space="preserve">Dividend Payout Ratio </w:t>
      </w:r>
    </w:p>
    <w:p w14:paraId="63E8F643" w14:textId="77777777" w:rsidR="00F9657F" w:rsidRDefault="00A27F18" w:rsidP="00F9657F">
      <w:pPr>
        <w:adjustRightInd w:val="0"/>
        <w:contextualSpacing/>
        <w:jc w:val="both"/>
        <w:rPr>
          <w:sz w:val="24"/>
          <w:szCs w:val="24"/>
        </w:rPr>
      </w:pPr>
      <w:r w:rsidRPr="00A27F18">
        <w:rPr>
          <w:sz w:val="24"/>
          <w:szCs w:val="24"/>
        </w:rPr>
        <w:t xml:space="preserve">According to </w:t>
      </w:r>
      <w:r w:rsidRPr="000A316B">
        <w:rPr>
          <w:color w:val="7030A0"/>
          <w:sz w:val="24"/>
          <w:szCs w:val="24"/>
        </w:rPr>
        <w:t>Rehman et al. (2018)</w:t>
      </w:r>
      <w:r w:rsidRPr="00A27F18">
        <w:rPr>
          <w:sz w:val="24"/>
          <w:szCs w:val="24"/>
        </w:rPr>
        <w:t xml:space="preserve">, the profit payout ratio is defined as the percentage of profits distributed as dividends to shareholders compared to profits retained for investment. An organization's dividend policy establishes the criteria for allocating its net earnings between dividend payments to investors and retained earnings for future investment </w:t>
      </w:r>
      <w:r w:rsidRPr="000A316B">
        <w:rPr>
          <w:color w:val="7030A0"/>
          <w:sz w:val="24"/>
          <w:szCs w:val="24"/>
        </w:rPr>
        <w:t>(Wasike et al., 2017).</w:t>
      </w:r>
      <w:r w:rsidR="007D2305">
        <w:rPr>
          <w:b/>
          <w:bCs/>
          <w:sz w:val="24"/>
          <w:szCs w:val="24"/>
        </w:rPr>
        <w:t xml:space="preserve"> </w:t>
      </w:r>
      <w:r w:rsidR="007D2305" w:rsidRPr="007D2305">
        <w:rPr>
          <w:sz w:val="24"/>
          <w:szCs w:val="24"/>
        </w:rPr>
        <w:t xml:space="preserve">The determination of the appropriate dividend payout ratio is crucial for businesses since failing to pay out a dividend could indicate that the company is not financially sound while paying out a large dividend might undermine investment prospects. </w:t>
      </w:r>
      <w:r w:rsidR="007D2305" w:rsidRPr="007D2305">
        <w:rPr>
          <w:color w:val="7030A0"/>
          <w:sz w:val="24"/>
          <w:szCs w:val="24"/>
        </w:rPr>
        <w:t xml:space="preserve">Korir (2018) </w:t>
      </w:r>
      <w:r w:rsidR="007D2305" w:rsidRPr="007D2305">
        <w:rPr>
          <w:sz w:val="24"/>
          <w:szCs w:val="24"/>
        </w:rPr>
        <w:t>claims that net income or excess not distributed to shareholders is often reinvested to ensure future earnings growth. Dividend distribution is in accordance with Islamic banking policies.</w:t>
      </w:r>
      <w:r w:rsidR="009F45D6">
        <w:rPr>
          <w:b/>
          <w:bCs/>
          <w:sz w:val="24"/>
          <w:szCs w:val="24"/>
        </w:rPr>
        <w:t xml:space="preserve"> </w:t>
      </w:r>
      <w:r w:rsidR="009F45D6" w:rsidRPr="009F45D6">
        <w:rPr>
          <w:sz w:val="24"/>
          <w:szCs w:val="24"/>
        </w:rPr>
        <w:t>Investors prefer ongoing concerns. Islamic banking's financial performance is heavily influenced by its share pay relationship. As a result, the amount to be distributed as dividends and the amount to remain within the organization are determined. When a large portion of the surplus is paid out as dividends, the retention ratio decreases. Therefore, Islamic banking's investment horizon is threatened precisely by a decline in the amount of permitted cash issue. At the end of the day, this impacts financial performance.</w:t>
      </w:r>
      <w:r w:rsidR="00087BBF">
        <w:rPr>
          <w:b/>
          <w:bCs/>
          <w:sz w:val="24"/>
          <w:szCs w:val="24"/>
        </w:rPr>
        <w:t xml:space="preserve"> </w:t>
      </w:r>
      <w:r w:rsidR="00087BBF" w:rsidRPr="00087BBF">
        <w:rPr>
          <w:sz w:val="24"/>
          <w:szCs w:val="24"/>
        </w:rPr>
        <w:t xml:space="preserve">Upon determining its annual net profit, the corporation develops a plan to manage the proceeds. It is critical to consider the dividends to be paid to shareholders, which may impact how the company is perceived in the market. Profit circulation refers to the distribution of a company's net profit to its shareholders based on their ownership stake, as stated by </w:t>
      </w:r>
      <w:r w:rsidR="00087BBF" w:rsidRPr="00087BBF">
        <w:rPr>
          <w:color w:val="7030A0"/>
          <w:sz w:val="24"/>
          <w:szCs w:val="24"/>
        </w:rPr>
        <w:t xml:space="preserve">Tajiriani (2017). </w:t>
      </w:r>
      <w:r w:rsidR="00087BBF" w:rsidRPr="00087BBF">
        <w:rPr>
          <w:sz w:val="24"/>
          <w:szCs w:val="24"/>
        </w:rPr>
        <w:t>A high dividend payout ratio suggests that a company allocates a small proportion of its profits to reinvestment. In contrast, a low</w:t>
      </w:r>
      <w:r w:rsidR="00087BBF">
        <w:rPr>
          <w:sz w:val="24"/>
          <w:szCs w:val="24"/>
        </w:rPr>
        <w:t xml:space="preserve"> </w:t>
      </w:r>
      <w:r w:rsidR="00087BBF" w:rsidRPr="00087BBF">
        <w:rPr>
          <w:sz w:val="24"/>
          <w:szCs w:val="24"/>
        </w:rPr>
        <w:lastRenderedPageBreak/>
        <w:t>dividend payout ratio suggests that a company is distributing fewer dividends and allocating a larger</w:t>
      </w:r>
      <w:r w:rsidR="00087BBF">
        <w:rPr>
          <w:sz w:val="24"/>
          <w:szCs w:val="24"/>
        </w:rPr>
        <w:t xml:space="preserve"> </w:t>
      </w:r>
      <w:r w:rsidR="00087BBF" w:rsidRPr="00087BBF">
        <w:rPr>
          <w:sz w:val="24"/>
          <w:szCs w:val="24"/>
        </w:rPr>
        <w:t>amount of its net earnings towards reinvestment. Based on the theory, businesses that pay dividends</w:t>
      </w:r>
      <w:r w:rsidR="00087BBF">
        <w:rPr>
          <w:sz w:val="24"/>
          <w:szCs w:val="24"/>
        </w:rPr>
        <w:t xml:space="preserve"> </w:t>
      </w:r>
      <w:r w:rsidR="00087BBF" w:rsidRPr="00087BBF">
        <w:rPr>
          <w:sz w:val="24"/>
          <w:szCs w:val="24"/>
        </w:rPr>
        <w:t xml:space="preserve">increase them when management is more confident about dividend sustainability. </w:t>
      </w:r>
      <w:r w:rsidR="00087BBF" w:rsidRPr="00087BBF">
        <w:rPr>
          <w:color w:val="7030A0"/>
          <w:sz w:val="24"/>
          <w:szCs w:val="24"/>
        </w:rPr>
        <w:t xml:space="preserve">Pandey (2018) </w:t>
      </w:r>
      <w:r w:rsidR="00087BBF" w:rsidRPr="00087BBF">
        <w:rPr>
          <w:sz w:val="24"/>
          <w:szCs w:val="24"/>
        </w:rPr>
        <w:t xml:space="preserve">says there is a correlation between profit payout ratios and long-term benefits. Dividend payout ratio changes should theoretically affect firms' profitability, as determined by growth in Return on Assets (ROA) and liquidity. </w:t>
      </w:r>
      <w:r w:rsidR="00087BBF" w:rsidRPr="00087BBF">
        <w:rPr>
          <w:color w:val="7030A0"/>
          <w:sz w:val="24"/>
          <w:szCs w:val="24"/>
        </w:rPr>
        <w:t xml:space="preserve">Hobbs (2016) </w:t>
      </w:r>
      <w:r w:rsidR="00087BBF" w:rsidRPr="00087BBF">
        <w:rPr>
          <w:sz w:val="24"/>
          <w:szCs w:val="24"/>
        </w:rPr>
        <w:t>empirical study found that companies that maintain dividend payments over extended periods of time experience remarkable profits in the years following.</w:t>
      </w:r>
    </w:p>
    <w:p w14:paraId="530B61A4" w14:textId="77777777" w:rsidR="00F9657F" w:rsidRDefault="00F9657F" w:rsidP="00F9657F">
      <w:pPr>
        <w:adjustRightInd w:val="0"/>
        <w:contextualSpacing/>
        <w:jc w:val="both"/>
        <w:rPr>
          <w:sz w:val="24"/>
          <w:szCs w:val="24"/>
        </w:rPr>
      </w:pPr>
    </w:p>
    <w:p w14:paraId="412130BC" w14:textId="77777777" w:rsidR="00CB09FE" w:rsidRDefault="00F9657F" w:rsidP="00CB09FE">
      <w:pPr>
        <w:adjustRightInd w:val="0"/>
        <w:contextualSpacing/>
        <w:rPr>
          <w:b/>
          <w:bCs/>
          <w:sz w:val="24"/>
          <w:szCs w:val="24"/>
        </w:rPr>
      </w:pPr>
      <w:r w:rsidRPr="00BB24E1">
        <w:rPr>
          <w:b/>
          <w:bCs/>
          <w:sz w:val="24"/>
          <w:szCs w:val="24"/>
        </w:rPr>
        <w:t xml:space="preserve">2.6 </w:t>
      </w:r>
      <w:r w:rsidR="000F41F6" w:rsidRPr="007C525B">
        <w:rPr>
          <w:b/>
          <w:bCs/>
          <w:sz w:val="24"/>
          <w:szCs w:val="24"/>
        </w:rPr>
        <w:t xml:space="preserve">Islamic Banks Performance in Pakistan </w:t>
      </w:r>
    </w:p>
    <w:p w14:paraId="3E108AE2" w14:textId="77777777" w:rsidR="00960809" w:rsidRDefault="00097537" w:rsidP="00960809">
      <w:pPr>
        <w:adjustRightInd w:val="0"/>
        <w:contextualSpacing/>
        <w:jc w:val="both"/>
        <w:rPr>
          <w:color w:val="7030A0"/>
          <w:sz w:val="24"/>
          <w:szCs w:val="24"/>
        </w:rPr>
      </w:pPr>
      <w:r w:rsidRPr="00097537">
        <w:rPr>
          <w:sz w:val="24"/>
          <w:szCs w:val="24"/>
        </w:rPr>
        <w:t xml:space="preserve">Every organization in the business world wants to reach new levels of success. Finance plays a significant role in determining any entity's wealth level. Assessing an organization's appropriateness can be accomplished by examining its overall revenue. This will enable us to determine the effectiveness and efficiency with which it utilizes its resources to enhance investor profits. Using comparative techniques or historical metrics, business entities may measure performance using contemporary or conventional performance measures. Stakeholders will be rewarded for this. Due to this, efficiency, effectiveness, and flexibility can be considered when evaluating financial performance </w:t>
      </w:r>
      <w:r w:rsidRPr="00AF0C17">
        <w:rPr>
          <w:color w:val="7030A0"/>
          <w:sz w:val="24"/>
          <w:szCs w:val="24"/>
        </w:rPr>
        <w:t>(Ochieng, 2019</w:t>
      </w:r>
      <w:r w:rsidR="00AF0C17" w:rsidRPr="00AF0C17">
        <w:rPr>
          <w:color w:val="7030A0"/>
          <w:sz w:val="24"/>
          <w:szCs w:val="24"/>
        </w:rPr>
        <w:t>; Iqbal et al., 2023)</w:t>
      </w:r>
      <w:r w:rsidRPr="00AF0C17">
        <w:rPr>
          <w:color w:val="7030A0"/>
          <w:sz w:val="24"/>
          <w:szCs w:val="24"/>
        </w:rPr>
        <w:t>.</w:t>
      </w:r>
      <w:r w:rsidR="005E2105">
        <w:rPr>
          <w:b/>
          <w:bCs/>
          <w:sz w:val="24"/>
          <w:szCs w:val="24"/>
        </w:rPr>
        <w:t xml:space="preserve"> </w:t>
      </w:r>
      <w:r w:rsidR="005E2105" w:rsidRPr="005E2105">
        <w:rPr>
          <w:sz w:val="24"/>
          <w:szCs w:val="24"/>
        </w:rPr>
        <w:t xml:space="preserve">Return on equity is calculated by dividing average income by equity owned by stakeholders. Financial performance indicators can be generated from an organization's financial statements. It is critical to consider non-financial performance criteria to fully evaluate an organization's success. In addition, the organization must demonstrate dependability, flexibility, and efficiency in its operations. As a result, a thorough assessment of an organization's performance can be made </w:t>
      </w:r>
      <w:r w:rsidR="005E2105" w:rsidRPr="005E2105">
        <w:rPr>
          <w:color w:val="7030A0"/>
          <w:sz w:val="24"/>
          <w:szCs w:val="24"/>
        </w:rPr>
        <w:t>(Kamar, 2019</w:t>
      </w:r>
      <w:r w:rsidR="005E2105">
        <w:rPr>
          <w:color w:val="7030A0"/>
          <w:sz w:val="24"/>
          <w:szCs w:val="24"/>
        </w:rPr>
        <w:t>; Iqbal et al., 2023)</w:t>
      </w:r>
      <w:r w:rsidR="005E2105" w:rsidRPr="005E2105">
        <w:rPr>
          <w:color w:val="7030A0"/>
          <w:sz w:val="24"/>
          <w:szCs w:val="24"/>
        </w:rPr>
        <w:t xml:space="preserve">. </w:t>
      </w:r>
      <w:r w:rsidR="005E2105" w:rsidRPr="005E2105">
        <w:rPr>
          <w:sz w:val="24"/>
          <w:szCs w:val="24"/>
        </w:rPr>
        <w:t xml:space="preserve">Profitability ratio, liquidity ratio, and financing ratio can all be used to determine a company's financial success. Profitability depends on corporate organizations' success. Commercial firms' ability to manage their money effectively is the real determinant of their performance. Due to traditional approaches' shortcomings, profitability ratios have been suggested as an effective method for evaluating financial success </w:t>
      </w:r>
      <w:r w:rsidR="005E2105" w:rsidRPr="005E2105">
        <w:rPr>
          <w:color w:val="7030A0"/>
          <w:sz w:val="24"/>
          <w:szCs w:val="24"/>
        </w:rPr>
        <w:t>(Wood, 2018; Iqbal et al., 2022).</w:t>
      </w:r>
      <w:r w:rsidR="00F31929">
        <w:rPr>
          <w:color w:val="7030A0"/>
          <w:sz w:val="24"/>
          <w:szCs w:val="24"/>
        </w:rPr>
        <w:t xml:space="preserve"> </w:t>
      </w:r>
      <w:r w:rsidR="00CA1A9F" w:rsidRPr="00F31929">
        <w:rPr>
          <w:sz w:val="24"/>
          <w:szCs w:val="24"/>
        </w:rPr>
        <w:t xml:space="preserve">Islamic finance, which was a relatively small industry at the end of the 20th century, has grown considerably in the 21st century. During the period 2004-2012, it grew at a compound annual growth rate (CAGR) of 40.3% or just under 1% of the world's banking system. It is estimated that there are more than 600 Islamic financial institutions spread across 75 countries. Approximately one in five of the world's 1.6 billion Muslims use Islamic finance. It should be noted, however, that the scope and geographical reach of the worldwide Islamic financial services industry have expanded. New countries and companies have become part of them. Islamic capital markets, especially Sukuk or Islamic bonds, funds, and indices, continue to outperform other global asset classes. The reason for this is that the CAGR between 2004 and 2011 was 44.0%. Furthermore, Islamic equity indices have outperformed conventional indices in the years following the financial crisis. Although takaful is still in its infancy, it is expected to grow due to increasing consumer demand in Islamic countries, which make up nearly one-quarter of the world's population and account for US$5.8 trillion, or 8.4% of global GDP </w:t>
      </w:r>
      <w:r w:rsidR="00CA1A9F" w:rsidRPr="00F31929">
        <w:rPr>
          <w:color w:val="7030A0"/>
          <w:sz w:val="24"/>
          <w:szCs w:val="24"/>
        </w:rPr>
        <w:t>(Aziz, 2019; Iqbal et al., 2023).</w:t>
      </w:r>
    </w:p>
    <w:p w14:paraId="4E8882DF" w14:textId="77777777" w:rsidR="00960809" w:rsidRDefault="00960809" w:rsidP="00960809">
      <w:pPr>
        <w:adjustRightInd w:val="0"/>
        <w:contextualSpacing/>
        <w:jc w:val="both"/>
        <w:rPr>
          <w:color w:val="7030A0"/>
          <w:sz w:val="24"/>
          <w:szCs w:val="24"/>
        </w:rPr>
      </w:pPr>
    </w:p>
    <w:p w14:paraId="2AA2F6D0" w14:textId="73A5F2B8" w:rsidR="009F00A7" w:rsidRDefault="005D7833" w:rsidP="00666150">
      <w:pPr>
        <w:adjustRightInd w:val="0"/>
        <w:contextualSpacing/>
        <w:jc w:val="both"/>
        <w:rPr>
          <w:color w:val="7030A0"/>
          <w:sz w:val="24"/>
          <w:szCs w:val="24"/>
        </w:rPr>
      </w:pPr>
      <w:r w:rsidRPr="00960809">
        <w:rPr>
          <w:sz w:val="24"/>
          <w:szCs w:val="24"/>
        </w:rPr>
        <w:t xml:space="preserve">According to The City Bank UK, when assets compliant with Shari'ah are considered for comparison, the worldwide market for Islamic banking services expanded by one-fifth to US$1.46 trillion in 2012. The City UK estimates that Islamic financial assets will amount to US$2 trillion by 2014. World finance is currently experiencing two key effects of this expansion. Islamic finance has introduced revolutionary and innovative methods of financing global financial markets. In turn, this has increased the pool of potential resources for maintaining the system. This has resulted in an increased amount of liquidity, which is a valuable resource during critical times </w:t>
      </w:r>
      <w:r w:rsidRPr="00960809">
        <w:rPr>
          <w:color w:val="7030A0"/>
          <w:sz w:val="24"/>
          <w:szCs w:val="24"/>
        </w:rPr>
        <w:t>(Kashyap et al., 2021).</w:t>
      </w:r>
      <w:r w:rsidR="00C76863">
        <w:rPr>
          <w:color w:val="7030A0"/>
          <w:sz w:val="24"/>
          <w:szCs w:val="24"/>
        </w:rPr>
        <w:t xml:space="preserve"> </w:t>
      </w:r>
      <w:r w:rsidR="00C76863" w:rsidRPr="00C76863">
        <w:rPr>
          <w:sz w:val="24"/>
          <w:szCs w:val="24"/>
        </w:rPr>
        <w:t xml:space="preserve">The financing sector is where Islamic </w:t>
      </w:r>
      <w:r w:rsidR="00C76863" w:rsidRPr="00C76863">
        <w:rPr>
          <w:sz w:val="24"/>
          <w:szCs w:val="24"/>
        </w:rPr>
        <w:lastRenderedPageBreak/>
        <w:t xml:space="preserve">finance has the second greatest influence on the global financial system. Business owners and investors with innovative business ideas and moral and ethical concerns may now establish and maintain a financing source. Historically, small and micro enterprises (SMEs), entrepreneurs, firms, and households were excluded from the financial system due to religion, morality, and ethics; however, Islamic banking has significantly improved access to banking resources </w:t>
      </w:r>
      <w:r w:rsidR="00C76863" w:rsidRPr="00C76863">
        <w:rPr>
          <w:color w:val="7030A0"/>
          <w:sz w:val="24"/>
          <w:szCs w:val="24"/>
        </w:rPr>
        <w:t xml:space="preserve">(Hasan et al., 2018; Iqbal et al., 2023). </w:t>
      </w:r>
      <w:r w:rsidR="00C76863" w:rsidRPr="00C76863">
        <w:rPr>
          <w:sz w:val="24"/>
          <w:szCs w:val="24"/>
        </w:rPr>
        <w:t xml:space="preserve">As a result of the availability of trustworthy and ethical funding sources, it is plausible to conclude that Islamic banking has benefitted both financial market stability and economic growth. The connection between an industry and the real economy is often lost as it matures. Islamic banks typically grow faster than the real economy immediately prior to an economic crisis in most countries. Most of the sample countries appear to have experienced an asset bubble or excessive expansion. Based on this analysis, Islamic banks' asset base is growing speculatively. The key thing to remember is that this characteristic does not apply exclusively to Islamic finance. An impending economic crisis can be predicted by the growth of hedge funds in the financial sector, which have been removed from the real economy. This is the conclusion of research by </w:t>
      </w:r>
      <w:r w:rsidR="00C76863" w:rsidRPr="00C76863">
        <w:rPr>
          <w:color w:val="7030A0"/>
          <w:sz w:val="24"/>
          <w:szCs w:val="24"/>
        </w:rPr>
        <w:t xml:space="preserve">Reinhart et al. (2018) </w:t>
      </w:r>
      <w:r w:rsidR="00C76863" w:rsidRPr="00C76863">
        <w:rPr>
          <w:sz w:val="24"/>
          <w:szCs w:val="24"/>
        </w:rPr>
        <w:t xml:space="preserve">that explores the long history of financial and economic crises over the past three centuries </w:t>
      </w:r>
      <w:r w:rsidR="00C76863" w:rsidRPr="00C76863">
        <w:rPr>
          <w:color w:val="7030A0"/>
          <w:sz w:val="24"/>
          <w:szCs w:val="24"/>
        </w:rPr>
        <w:t>(Aziz, 2019).</w:t>
      </w:r>
    </w:p>
    <w:p w14:paraId="5CF20E59" w14:textId="77777777" w:rsidR="00666150" w:rsidRPr="00666150" w:rsidRDefault="00666150" w:rsidP="00666150">
      <w:pPr>
        <w:adjustRightInd w:val="0"/>
        <w:contextualSpacing/>
        <w:jc w:val="both"/>
        <w:rPr>
          <w:color w:val="7030A0"/>
          <w:sz w:val="24"/>
          <w:szCs w:val="24"/>
        </w:rPr>
      </w:pPr>
    </w:p>
    <w:p w14:paraId="05B25319" w14:textId="77777777" w:rsidR="001D7CA6" w:rsidRDefault="00217754" w:rsidP="001D7CA6">
      <w:pPr>
        <w:adjustRightInd w:val="0"/>
        <w:contextualSpacing/>
        <w:rPr>
          <w:b/>
          <w:bCs/>
          <w:sz w:val="24"/>
          <w:szCs w:val="24"/>
        </w:rPr>
      </w:pPr>
      <w:r w:rsidRPr="009F00A7">
        <w:rPr>
          <w:b/>
          <w:bCs/>
          <w:sz w:val="24"/>
          <w:szCs w:val="24"/>
        </w:rPr>
        <w:t xml:space="preserve">2.7 </w:t>
      </w:r>
      <w:r w:rsidR="001541B4" w:rsidRPr="009F00A7">
        <w:rPr>
          <w:b/>
          <w:bCs/>
          <w:sz w:val="24"/>
          <w:szCs w:val="24"/>
        </w:rPr>
        <w:t xml:space="preserve">Empirical Review </w:t>
      </w:r>
      <w:r w:rsidR="00533933" w:rsidRPr="009F00A7">
        <w:rPr>
          <w:b/>
          <w:bCs/>
          <w:sz w:val="24"/>
          <w:szCs w:val="24"/>
        </w:rPr>
        <w:t>–</w:t>
      </w:r>
      <w:r w:rsidR="001541B4" w:rsidRPr="009F00A7">
        <w:rPr>
          <w:b/>
          <w:bCs/>
          <w:sz w:val="24"/>
          <w:szCs w:val="24"/>
        </w:rPr>
        <w:t xml:space="preserve"> Riba</w:t>
      </w:r>
    </w:p>
    <w:p w14:paraId="56C89D5C" w14:textId="6949ABCF" w:rsidR="00912821" w:rsidRDefault="001D7CA6" w:rsidP="00912821">
      <w:pPr>
        <w:adjustRightInd w:val="0"/>
        <w:contextualSpacing/>
        <w:jc w:val="both"/>
        <w:rPr>
          <w:color w:val="000000" w:themeColor="text1"/>
          <w:sz w:val="24"/>
          <w:szCs w:val="24"/>
        </w:rPr>
      </w:pPr>
      <w:r w:rsidRPr="001D7CA6">
        <w:rPr>
          <w:sz w:val="24"/>
          <w:szCs w:val="24"/>
        </w:rPr>
        <w:t xml:space="preserve">According to a study conducted by </w:t>
      </w:r>
      <w:r w:rsidRPr="001D7CA6">
        <w:rPr>
          <w:color w:val="7030A0"/>
          <w:sz w:val="24"/>
          <w:szCs w:val="24"/>
        </w:rPr>
        <w:t xml:space="preserve">Falope (2019), </w:t>
      </w:r>
      <w:r w:rsidRPr="001D7CA6">
        <w:rPr>
          <w:sz w:val="24"/>
          <w:szCs w:val="24"/>
        </w:rPr>
        <w:t>the researcher examined the influence of RIBA on industrial companies' financial outcomes in Pakistan. The study encompassed a sample size of 33 enterprises from a total population of 84 manufacturing companies during 2007 and 2017. In the study, supplementary data was obtained from the organizations' websites. Examining also involved the implementation of a linear regression model. The request exhibits a conspicuous design from the beginning to the end. Based on the data, he determined that Riba serves as a significant indicator of enhanced financial performance in business.</w:t>
      </w:r>
      <w:r w:rsidR="00CE05D9">
        <w:rPr>
          <w:sz w:val="24"/>
          <w:szCs w:val="24"/>
        </w:rPr>
        <w:t xml:space="preserve"> </w:t>
      </w:r>
      <w:r w:rsidR="00CE05D9" w:rsidRPr="0010035E">
        <w:rPr>
          <w:color w:val="7030A0"/>
          <w:sz w:val="24"/>
          <w:szCs w:val="24"/>
        </w:rPr>
        <w:t>Emmons et al. (2018)</w:t>
      </w:r>
      <w:r w:rsidR="00CE05D9" w:rsidRPr="00CE05D9">
        <w:rPr>
          <w:color w:val="0000CC"/>
          <w:sz w:val="24"/>
          <w:szCs w:val="24"/>
        </w:rPr>
        <w:t xml:space="preserve"> </w:t>
      </w:r>
      <w:r w:rsidR="00CE05D9" w:rsidRPr="00CE05D9">
        <w:rPr>
          <w:color w:val="000000" w:themeColor="text1"/>
          <w:sz w:val="24"/>
          <w:szCs w:val="24"/>
        </w:rPr>
        <w:t>found that high dividend payments lead to a rise in the price of credits provided to members. This is in their study of assessing and recommending dividend strategies in public companies. The reason for this is the increased interest rates passed on to members. We conducted a descriptive survey of all open credit cooperatives in the United States. Study results indicate that although U.S.-based cooperatives offer low dividend rates, members benefit from subsidized riba.</w:t>
      </w:r>
      <w:r w:rsidR="00273DF1">
        <w:rPr>
          <w:color w:val="000000" w:themeColor="text1"/>
          <w:sz w:val="24"/>
          <w:szCs w:val="24"/>
        </w:rPr>
        <w:t xml:space="preserve"> </w:t>
      </w:r>
      <w:r w:rsidR="00273DF1" w:rsidRPr="0010035E">
        <w:rPr>
          <w:color w:val="7030A0"/>
          <w:sz w:val="24"/>
          <w:szCs w:val="24"/>
        </w:rPr>
        <w:t xml:space="preserve">Kamau (2019) </w:t>
      </w:r>
      <w:r w:rsidR="00273DF1" w:rsidRPr="00273DF1">
        <w:rPr>
          <w:color w:val="000000" w:themeColor="text1"/>
          <w:sz w:val="24"/>
          <w:szCs w:val="24"/>
        </w:rPr>
        <w:t>examined the influence of Riba (interest) disclosures on the financial performance of listed companies on the National Stock Exchange (NSE). The investigation employed an event-based approach. The Capital Markets Association served as the primary data source. Nevertheless, the study analysis was conducted for a short period of time. Although individual trial findings varied, the overall analysis revealed that the profit statement had a significant impact on the company's financial performance.</w:t>
      </w:r>
      <w:r w:rsidR="00427213">
        <w:rPr>
          <w:color w:val="000000" w:themeColor="text1"/>
          <w:sz w:val="24"/>
          <w:szCs w:val="24"/>
        </w:rPr>
        <w:t xml:space="preserve"> </w:t>
      </w:r>
      <w:r w:rsidR="004F0553" w:rsidRPr="0010035E">
        <w:rPr>
          <w:color w:val="7030A0"/>
          <w:sz w:val="24"/>
          <w:szCs w:val="24"/>
        </w:rPr>
        <w:t xml:space="preserve">Ndegwa et al. (2016) </w:t>
      </w:r>
      <w:r w:rsidR="004F0553" w:rsidRPr="00427213">
        <w:rPr>
          <w:color w:val="000000" w:themeColor="text1"/>
          <w:sz w:val="24"/>
          <w:szCs w:val="24"/>
        </w:rPr>
        <w:t>examined how the interest rate affected MFIS (micro-financial borrowers) performance in the Imenti North Sub-County. This inquiry was conducted using a descriptive survey research strategy. The survey was completed by 42 respondents from 14 MFIS in Imenti North Sub County. Correspondence and regression analysis indicated that interest charges significantly impacted MFIs' ability to make money. A DTS should set its Riba rate within the range of commercial banks to ensure loan taking.</w:t>
      </w:r>
    </w:p>
    <w:p w14:paraId="2430C923" w14:textId="77777777" w:rsidR="00912821" w:rsidRPr="00912821" w:rsidRDefault="00912821" w:rsidP="00912821">
      <w:pPr>
        <w:adjustRightInd w:val="0"/>
        <w:contextualSpacing/>
        <w:jc w:val="both"/>
        <w:rPr>
          <w:color w:val="000000" w:themeColor="text1"/>
          <w:sz w:val="24"/>
          <w:szCs w:val="24"/>
        </w:rPr>
      </w:pPr>
    </w:p>
    <w:p w14:paraId="7D0856D0" w14:textId="77777777" w:rsidR="005E10BC" w:rsidRDefault="00912821" w:rsidP="005E10BC">
      <w:pPr>
        <w:adjustRightInd w:val="0"/>
        <w:contextualSpacing/>
        <w:rPr>
          <w:b/>
          <w:bCs/>
          <w:sz w:val="24"/>
          <w:szCs w:val="24"/>
        </w:rPr>
      </w:pPr>
      <w:r w:rsidRPr="00912821">
        <w:rPr>
          <w:b/>
          <w:bCs/>
          <w:sz w:val="24"/>
          <w:szCs w:val="24"/>
        </w:rPr>
        <w:t xml:space="preserve">2.8 </w:t>
      </w:r>
      <w:r w:rsidR="000F3E27" w:rsidRPr="00912821">
        <w:rPr>
          <w:b/>
          <w:bCs/>
          <w:sz w:val="24"/>
          <w:szCs w:val="24"/>
        </w:rPr>
        <w:t>Dividend Ratio</w:t>
      </w:r>
    </w:p>
    <w:p w14:paraId="04A6B8B5" w14:textId="373E8EA6" w:rsidR="00E127CC" w:rsidRDefault="005E10BC" w:rsidP="008C70AE">
      <w:pPr>
        <w:adjustRightInd w:val="0"/>
        <w:contextualSpacing/>
        <w:jc w:val="both"/>
        <w:rPr>
          <w:sz w:val="24"/>
          <w:szCs w:val="24"/>
        </w:rPr>
      </w:pPr>
      <w:r w:rsidRPr="00D8213C">
        <w:rPr>
          <w:color w:val="7030A0"/>
          <w:sz w:val="24"/>
          <w:szCs w:val="24"/>
        </w:rPr>
        <w:t xml:space="preserve">Okwar (2017) </w:t>
      </w:r>
      <w:r w:rsidRPr="005E10BC">
        <w:rPr>
          <w:sz w:val="24"/>
          <w:szCs w:val="24"/>
        </w:rPr>
        <w:t xml:space="preserve">conducted a study from 2005 to 2008 to examine the impact of the profit payout ratio on pharmaceutical companies' financial performance. We selected 103 pharmaceutical companies out of 314. The study employed supplementary data to calculate the cost-profit ratio based on daily stock prices during a 60-day period. Furthermore, various regression models were included in the review to demonstrate the correlation between the components. The conclusion reached was that the decline in financial performance </w:t>
      </w:r>
      <w:r w:rsidRPr="005E10BC">
        <w:rPr>
          <w:sz w:val="24"/>
          <w:szCs w:val="24"/>
        </w:rPr>
        <w:lastRenderedPageBreak/>
        <w:t xml:space="preserve">was attributable to profit payments made throughout the audit period. In their study, </w:t>
      </w:r>
      <w:r w:rsidRPr="00D8213C">
        <w:rPr>
          <w:color w:val="7030A0"/>
          <w:sz w:val="24"/>
          <w:szCs w:val="24"/>
        </w:rPr>
        <w:t xml:space="preserve">Savven et al. (2019) </w:t>
      </w:r>
      <w:r w:rsidRPr="005E10BC">
        <w:rPr>
          <w:sz w:val="24"/>
          <w:szCs w:val="24"/>
        </w:rPr>
        <w:t>examined the influence of profit announcements on financial performance using a sample of Indian companies listed on the stock exchange from 2009 to 2012. Eight carefully selected businesses participated in the study. The review heavily relied on supplementary material without alternative sources. In addition, various regression models were included in the study's analysis. In addition, the review employed a small sample size, which was unexpected. Based on the findings of the review, it can be inferred that the financial performance of the selected industries in the Indian securities market has consistently fluctuated vertically following the profit announcement.</w:t>
      </w:r>
      <w:r w:rsidR="008C70AE">
        <w:rPr>
          <w:sz w:val="24"/>
          <w:szCs w:val="24"/>
        </w:rPr>
        <w:t xml:space="preserve"> </w:t>
      </w:r>
      <w:r w:rsidR="00E127CC" w:rsidRPr="008C70AE">
        <w:rPr>
          <w:sz w:val="24"/>
          <w:szCs w:val="24"/>
        </w:rPr>
        <w:t xml:space="preserve">According to </w:t>
      </w:r>
      <w:r w:rsidR="00E127CC" w:rsidRPr="008C70AE">
        <w:rPr>
          <w:color w:val="7030A0"/>
          <w:sz w:val="24"/>
          <w:szCs w:val="24"/>
        </w:rPr>
        <w:t xml:space="preserve">Nguyen et al. (2021), </w:t>
      </w:r>
      <w:r w:rsidR="00E127CC" w:rsidRPr="008C70AE">
        <w:rPr>
          <w:sz w:val="24"/>
          <w:szCs w:val="24"/>
        </w:rPr>
        <w:t>profit payments have a significant impact on Vietnamese companies' financial performance. This paper examines the exploration hole before constructing a research model that combines Return on Assets (ROA), Return on Equity (ROE), and Tobin's Q as dependent variables. Data and financial records were obtained from 450 entities listed on the Vietnam Stock Exchange throughout 2008-2019. Irrespective of how profits enhance market expectations for firms, the survey results indicate that distributing profits is detrimental to Vietnamese companies. Considering accounting implementation, this is approximate. Moreover, the analysis revealed that Vietnamese firms' low profitability rates had a strong impact on accounting-based performance, but a negative effect on market expectations. Based on this analysis, intelligent recommendations are promoted. Several initiatives have been implemented, including the adoption of a novel dividend policy model. These initiatives include a reduction in the dividend rate, and the establishment of a transparent dividend payment alternative.</w:t>
      </w:r>
    </w:p>
    <w:p w14:paraId="6888F309" w14:textId="77777777" w:rsidR="00902097" w:rsidRPr="008C70AE" w:rsidRDefault="00902097" w:rsidP="008C70AE">
      <w:pPr>
        <w:adjustRightInd w:val="0"/>
        <w:contextualSpacing/>
        <w:jc w:val="both"/>
        <w:rPr>
          <w:b/>
          <w:bCs/>
          <w:sz w:val="32"/>
          <w:szCs w:val="32"/>
        </w:rPr>
      </w:pPr>
    </w:p>
    <w:p w14:paraId="6558E03C" w14:textId="0418B9CB" w:rsidR="001D261D" w:rsidRPr="00D15B71" w:rsidRDefault="00D15B71" w:rsidP="00D15B71">
      <w:pPr>
        <w:adjustRightInd w:val="0"/>
        <w:contextualSpacing/>
        <w:rPr>
          <w:b/>
          <w:bCs/>
          <w:sz w:val="28"/>
          <w:szCs w:val="28"/>
        </w:rPr>
      </w:pPr>
      <w:r>
        <w:rPr>
          <w:b/>
          <w:bCs/>
          <w:sz w:val="28"/>
          <w:szCs w:val="28"/>
        </w:rPr>
        <w:t xml:space="preserve">3. </w:t>
      </w:r>
      <w:r w:rsidR="00317AE1" w:rsidRPr="00D15B71">
        <w:rPr>
          <w:b/>
          <w:bCs/>
          <w:sz w:val="28"/>
          <w:szCs w:val="28"/>
        </w:rPr>
        <w:t xml:space="preserve">Research Methodology </w:t>
      </w:r>
    </w:p>
    <w:p w14:paraId="73D3F88D" w14:textId="25F33947" w:rsidR="0091443E" w:rsidRDefault="00274661" w:rsidP="0091443E">
      <w:pPr>
        <w:adjustRightInd w:val="0"/>
        <w:contextualSpacing/>
        <w:jc w:val="both"/>
        <w:rPr>
          <w:sz w:val="24"/>
          <w:szCs w:val="24"/>
        </w:rPr>
      </w:pPr>
      <w:r w:rsidRPr="001D261D">
        <w:rPr>
          <w:sz w:val="24"/>
          <w:szCs w:val="24"/>
        </w:rPr>
        <w:t xml:space="preserve">In this study, a descriptive research approach was used, which has been used by </w:t>
      </w:r>
      <w:r w:rsidRPr="001D261D">
        <w:rPr>
          <w:color w:val="7030A0"/>
          <w:sz w:val="24"/>
          <w:szCs w:val="24"/>
        </w:rPr>
        <w:t xml:space="preserve">Nyandika et al. (2018); Karanja (2018) </w:t>
      </w:r>
      <w:r w:rsidRPr="001D261D">
        <w:rPr>
          <w:sz w:val="24"/>
          <w:szCs w:val="24"/>
        </w:rPr>
        <w:t xml:space="preserve">and others as well. A descriptive study, according to </w:t>
      </w:r>
      <w:r w:rsidRPr="001D261D">
        <w:rPr>
          <w:color w:val="7030A0"/>
          <w:sz w:val="24"/>
          <w:szCs w:val="24"/>
        </w:rPr>
        <w:t xml:space="preserve">Bryman et al. (2012), </w:t>
      </w:r>
      <w:r w:rsidRPr="001D261D">
        <w:rPr>
          <w:sz w:val="24"/>
          <w:szCs w:val="24"/>
        </w:rPr>
        <w:t xml:space="preserve">is normally driven by hypotheses and focuses on how frequently something occurs or the relationship between variables. A total of five Islamic banks in Pakistan were targeted for the study. A study was conducted between </w:t>
      </w:r>
      <w:r w:rsidR="006B5ACF">
        <w:rPr>
          <w:sz w:val="24"/>
          <w:szCs w:val="24"/>
        </w:rPr>
        <w:t>(</w:t>
      </w:r>
      <w:r w:rsidRPr="001D261D">
        <w:rPr>
          <w:sz w:val="24"/>
          <w:szCs w:val="24"/>
        </w:rPr>
        <w:t>2019-2023</w:t>
      </w:r>
      <w:r w:rsidR="006B5ACF">
        <w:rPr>
          <w:sz w:val="24"/>
          <w:szCs w:val="24"/>
        </w:rPr>
        <w:t>)</w:t>
      </w:r>
      <w:r w:rsidRPr="001D261D">
        <w:rPr>
          <w:sz w:val="24"/>
          <w:szCs w:val="24"/>
        </w:rPr>
        <w:t xml:space="preserve">. Between </w:t>
      </w:r>
      <w:r w:rsidR="006B5ACF">
        <w:rPr>
          <w:sz w:val="24"/>
          <w:szCs w:val="24"/>
        </w:rPr>
        <w:t>(</w:t>
      </w:r>
      <w:r w:rsidRPr="001D261D">
        <w:rPr>
          <w:sz w:val="24"/>
          <w:szCs w:val="24"/>
        </w:rPr>
        <w:t>2019-2023</w:t>
      </w:r>
      <w:r w:rsidR="006B5ACF">
        <w:rPr>
          <w:sz w:val="24"/>
          <w:szCs w:val="24"/>
        </w:rPr>
        <w:t>)</w:t>
      </w:r>
      <w:r w:rsidRPr="001D261D">
        <w:rPr>
          <w:sz w:val="24"/>
          <w:szCs w:val="24"/>
        </w:rPr>
        <w:t>, 66 observation years were generated for observing 5 Islamic financial institutions in Pakistan. This study focused on the five Islamic banking institutions in Pakistan because their annual financials were readily accessible, and they regularly published them. In this research study, five Islamic financial organizations were included in the sample. The target population was so small that a census was conducted. It is recommended that a census survey be performed if the target population is small, as reported by</w:t>
      </w:r>
      <w:r w:rsidRPr="001D261D">
        <w:rPr>
          <w:color w:val="7030A0"/>
          <w:sz w:val="24"/>
          <w:szCs w:val="24"/>
        </w:rPr>
        <w:t xml:space="preserve"> (Mugenda et al., 2003; Iqbal et al., 2023).</w:t>
      </w:r>
      <w:r w:rsidR="0052174C">
        <w:rPr>
          <w:color w:val="7030A0"/>
          <w:sz w:val="24"/>
          <w:szCs w:val="24"/>
        </w:rPr>
        <w:t xml:space="preserve"> </w:t>
      </w:r>
      <w:r w:rsidR="0052174C" w:rsidRPr="0052174C">
        <w:rPr>
          <w:sz w:val="24"/>
          <w:szCs w:val="24"/>
        </w:rPr>
        <w:t>In the present study, secondary data were analyzed. For this study, data was collected from the State Bank of Pakistan based on audited financial statement reports for the (2019-2023) economic year. Descriptive analysis uses mean values, standard deviations, and ranges were analyzed. A panel data analysis based on multiple regression and Pearson's Product Moment Correlation Analysis were two of the inferential studies conducted (</w:t>
      </w:r>
      <w:r w:rsidR="0052174C" w:rsidRPr="00D15B71">
        <w:rPr>
          <w:color w:val="7030A0"/>
          <w:sz w:val="24"/>
          <w:szCs w:val="24"/>
        </w:rPr>
        <w:t xml:space="preserve">Jack, 2009). </w:t>
      </w:r>
      <w:r w:rsidR="0052174C" w:rsidRPr="0052174C">
        <w:rPr>
          <w:sz w:val="24"/>
          <w:szCs w:val="24"/>
        </w:rPr>
        <w:t>An analysis of multiple regression was conducted to examine the relationship between financial performance and dividend policy in Islamic banks in Pakistan. This study used a five-year period from (2019-2023). The data were analyzed through STATA-13 and tables, estimations of statistical parameters were provided.</w:t>
      </w:r>
    </w:p>
    <w:p w14:paraId="4FFB288B" w14:textId="77777777" w:rsidR="0091443E" w:rsidRPr="0091443E" w:rsidRDefault="0091443E" w:rsidP="0091443E">
      <w:pPr>
        <w:adjustRightInd w:val="0"/>
        <w:contextualSpacing/>
        <w:jc w:val="both"/>
        <w:rPr>
          <w:sz w:val="24"/>
          <w:szCs w:val="24"/>
        </w:rPr>
      </w:pPr>
    </w:p>
    <w:p w14:paraId="78A430F7" w14:textId="7D129CBE" w:rsidR="00A82CD1" w:rsidRPr="009D1E56" w:rsidRDefault="009D1E56" w:rsidP="0091443E">
      <w:pPr>
        <w:adjustRightInd w:val="0"/>
        <w:contextualSpacing/>
        <w:rPr>
          <w:b/>
          <w:bCs/>
          <w:sz w:val="28"/>
          <w:szCs w:val="28"/>
        </w:rPr>
      </w:pPr>
      <w:r>
        <w:rPr>
          <w:b/>
          <w:bCs/>
          <w:sz w:val="28"/>
          <w:szCs w:val="28"/>
        </w:rPr>
        <w:t xml:space="preserve">4. </w:t>
      </w:r>
      <w:r w:rsidRPr="009D1E56">
        <w:rPr>
          <w:b/>
          <w:bCs/>
          <w:sz w:val="28"/>
          <w:szCs w:val="28"/>
        </w:rPr>
        <w:t xml:space="preserve">Results </w:t>
      </w:r>
      <w:r>
        <w:rPr>
          <w:b/>
          <w:bCs/>
          <w:sz w:val="28"/>
          <w:szCs w:val="28"/>
        </w:rPr>
        <w:t>and</w:t>
      </w:r>
      <w:r w:rsidRPr="009D1E56">
        <w:rPr>
          <w:b/>
          <w:bCs/>
          <w:sz w:val="28"/>
          <w:szCs w:val="28"/>
        </w:rPr>
        <w:t xml:space="preserve"> Discussions</w:t>
      </w:r>
    </w:p>
    <w:p w14:paraId="598DB8AA" w14:textId="77777777" w:rsidR="00991A4D" w:rsidRDefault="009D1E56" w:rsidP="00991A4D">
      <w:pPr>
        <w:adjustRightInd w:val="0"/>
        <w:contextualSpacing/>
        <w:rPr>
          <w:b/>
          <w:bCs/>
          <w:sz w:val="24"/>
          <w:szCs w:val="24"/>
        </w:rPr>
      </w:pPr>
      <w:r w:rsidRPr="0091443E">
        <w:rPr>
          <w:b/>
          <w:bCs/>
          <w:sz w:val="24"/>
          <w:szCs w:val="24"/>
        </w:rPr>
        <w:t xml:space="preserve">4.1 </w:t>
      </w:r>
      <w:r w:rsidR="00A82CD1" w:rsidRPr="0091443E">
        <w:rPr>
          <w:b/>
          <w:bCs/>
          <w:sz w:val="24"/>
          <w:szCs w:val="24"/>
        </w:rPr>
        <w:t xml:space="preserve">Descriptive Statistics </w:t>
      </w:r>
    </w:p>
    <w:p w14:paraId="30EC6969" w14:textId="77777777" w:rsidR="00B4535E" w:rsidRDefault="0054596C" w:rsidP="00B4535E">
      <w:pPr>
        <w:adjustRightInd w:val="0"/>
        <w:contextualSpacing/>
        <w:jc w:val="both"/>
        <w:rPr>
          <w:sz w:val="24"/>
          <w:szCs w:val="24"/>
        </w:rPr>
      </w:pPr>
      <w:r w:rsidRPr="00991A4D">
        <w:rPr>
          <w:sz w:val="24"/>
          <w:szCs w:val="24"/>
        </w:rPr>
        <w:t xml:space="preserve">Using descriptive analysis, we identified research variables more accurately, as illustrated in Table 1. An assessment of a bank's soundness was based on the Z score, a measure of the gap between the bank and bankruptcy. It considers how many standard deviations must occur from the mean for all bank equity to be filled </w:t>
      </w:r>
      <w:r w:rsidRPr="00991A4D">
        <w:rPr>
          <w:color w:val="7030A0"/>
          <w:sz w:val="24"/>
          <w:szCs w:val="24"/>
        </w:rPr>
        <w:t xml:space="preserve">(Chiaramonte et al., 2015). </w:t>
      </w:r>
      <w:r w:rsidRPr="00991A4D">
        <w:rPr>
          <w:sz w:val="24"/>
          <w:szCs w:val="24"/>
        </w:rPr>
        <w:t xml:space="preserve">As an outcome of the findings, the mean of Islamic banks in Pakistan </w:t>
      </w:r>
      <w:r w:rsidRPr="00991A4D">
        <w:rPr>
          <w:sz w:val="24"/>
          <w:szCs w:val="24"/>
        </w:rPr>
        <w:lastRenderedPageBreak/>
        <w:t xml:space="preserve">was 1.02, which is higher than zero and suggests that they are generally stable. However, the fact that the minimum was negative suggests that there was a bank in the data set that was technically bankrupt. </w:t>
      </w:r>
      <w:r w:rsidRPr="00991A4D">
        <w:rPr>
          <w:color w:val="7030A0"/>
          <w:sz w:val="24"/>
          <w:szCs w:val="24"/>
        </w:rPr>
        <w:t xml:space="preserve">Ghenimi et al. (2017) </w:t>
      </w:r>
      <w:r w:rsidRPr="00991A4D">
        <w:rPr>
          <w:sz w:val="24"/>
          <w:szCs w:val="24"/>
        </w:rPr>
        <w:t>indicate that a higher Z score indicates a more stable bank with a lower probability of failing bankrupt.</w:t>
      </w:r>
      <w:r w:rsidR="00DC7B77">
        <w:rPr>
          <w:sz w:val="24"/>
          <w:szCs w:val="24"/>
        </w:rPr>
        <w:t xml:space="preserve"> </w:t>
      </w:r>
      <w:r w:rsidR="00DC7B77" w:rsidRPr="00DC7B77">
        <w:rPr>
          <w:sz w:val="24"/>
          <w:szCs w:val="24"/>
        </w:rPr>
        <w:t xml:space="preserve">Dividend payout ratios play a significant role in assessing banks' competence to generate returns for shareholders and the consistency of company growth. To measure bank profitability, the study uses two measures: return on assets (ROA) and return on equity (ROE). Statistics show ROA and ROE are 0.025 (2.5%) and 0.15 (1.5%). Islamic banks perform well based on their ability to provide a fair return on invested capital and assets. Based on the reliability and quality of profits, banks can be expected to maintain profits in the future </w:t>
      </w:r>
      <w:r w:rsidR="00DC7B77" w:rsidRPr="00DC7B77">
        <w:rPr>
          <w:color w:val="7030A0"/>
          <w:sz w:val="24"/>
          <w:szCs w:val="24"/>
        </w:rPr>
        <w:t xml:space="preserve">(Sahyouni et al., 2021). </w:t>
      </w:r>
      <w:r w:rsidR="00DC7B77" w:rsidRPr="00DC7B77">
        <w:rPr>
          <w:sz w:val="24"/>
          <w:szCs w:val="24"/>
        </w:rPr>
        <w:t>It should be noted, however, that the fact that the minimums are negative indicates to the banks that they suffered losses during the research period.</w:t>
      </w:r>
    </w:p>
    <w:p w14:paraId="7BBF53C3" w14:textId="77777777" w:rsidR="00B4535E" w:rsidRDefault="00B4535E" w:rsidP="00B4535E">
      <w:pPr>
        <w:adjustRightInd w:val="0"/>
        <w:contextualSpacing/>
        <w:jc w:val="both"/>
        <w:rPr>
          <w:b/>
          <w:bCs/>
        </w:rPr>
      </w:pPr>
    </w:p>
    <w:p w14:paraId="533A8D15" w14:textId="7894B3B6" w:rsidR="001D276C" w:rsidRPr="00B4535E" w:rsidRDefault="001D276C" w:rsidP="00B4535E">
      <w:pPr>
        <w:adjustRightInd w:val="0"/>
        <w:contextualSpacing/>
        <w:jc w:val="both"/>
        <w:rPr>
          <w:b/>
          <w:bCs/>
          <w:sz w:val="32"/>
          <w:szCs w:val="32"/>
        </w:rPr>
      </w:pPr>
      <w:r w:rsidRPr="000D1203">
        <w:rPr>
          <w:b/>
          <w:bCs/>
          <w:sz w:val="24"/>
          <w:szCs w:val="24"/>
        </w:rPr>
        <w:t xml:space="preserve">Table 1: </w:t>
      </w:r>
      <w:r w:rsidRPr="000D1203">
        <w:rPr>
          <w:sz w:val="24"/>
          <w:szCs w:val="24"/>
        </w:rPr>
        <w:t>Descriptive Statistics</w:t>
      </w:r>
      <w:r w:rsidRPr="000D1203">
        <w:rPr>
          <w:b/>
          <w:bCs/>
          <w:sz w:val="24"/>
          <w:szCs w:val="24"/>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1636"/>
        <w:gridCol w:w="1399"/>
        <w:gridCol w:w="1440"/>
        <w:gridCol w:w="1440"/>
        <w:gridCol w:w="1450"/>
        <w:gridCol w:w="1440"/>
        <w:gridCol w:w="1275"/>
      </w:tblGrid>
      <w:tr w:rsidR="007C525B" w:rsidRPr="007C525B" w14:paraId="25A20B9E" w14:textId="77777777" w:rsidTr="001D276C">
        <w:tc>
          <w:tcPr>
            <w:tcW w:w="1705" w:type="dxa"/>
            <w:tcBorders>
              <w:top w:val="single" w:sz="4" w:space="0" w:color="auto"/>
              <w:bottom w:val="single" w:sz="4" w:space="0" w:color="auto"/>
            </w:tcBorders>
          </w:tcPr>
          <w:p w14:paraId="0A833D1B" w14:textId="77850A3F" w:rsidR="005A6E1C" w:rsidRPr="00A268E4" w:rsidRDefault="005A6E1C" w:rsidP="001D276C">
            <w:pPr>
              <w:pStyle w:val="pb-2"/>
              <w:jc w:val="both"/>
              <w:rPr>
                <w:b/>
                <w:bCs/>
                <w:color w:val="000000" w:themeColor="text1"/>
                <w:sz w:val="20"/>
                <w:szCs w:val="20"/>
              </w:rPr>
            </w:pPr>
            <w:r w:rsidRPr="00A268E4">
              <w:rPr>
                <w:b/>
                <w:bCs/>
                <w:color w:val="000000" w:themeColor="text1"/>
                <w:sz w:val="20"/>
                <w:szCs w:val="20"/>
              </w:rPr>
              <w:t xml:space="preserve">Variables </w:t>
            </w:r>
          </w:p>
        </w:tc>
        <w:tc>
          <w:tcPr>
            <w:tcW w:w="1440" w:type="dxa"/>
            <w:tcBorders>
              <w:top w:val="single" w:sz="4" w:space="0" w:color="auto"/>
              <w:bottom w:val="single" w:sz="4" w:space="0" w:color="auto"/>
            </w:tcBorders>
          </w:tcPr>
          <w:p w14:paraId="67CBDAA5" w14:textId="1359A391" w:rsidR="005A6E1C" w:rsidRPr="00A268E4" w:rsidRDefault="005A6E1C" w:rsidP="001D276C">
            <w:pPr>
              <w:pStyle w:val="pb-2"/>
              <w:jc w:val="both"/>
              <w:rPr>
                <w:b/>
                <w:bCs/>
                <w:color w:val="000000" w:themeColor="text1"/>
                <w:sz w:val="20"/>
                <w:szCs w:val="20"/>
              </w:rPr>
            </w:pPr>
            <w:r w:rsidRPr="00A268E4">
              <w:rPr>
                <w:b/>
                <w:bCs/>
                <w:color w:val="000000" w:themeColor="text1"/>
                <w:sz w:val="20"/>
                <w:szCs w:val="20"/>
              </w:rPr>
              <w:t xml:space="preserve">Classified </w:t>
            </w:r>
          </w:p>
        </w:tc>
        <w:tc>
          <w:tcPr>
            <w:tcW w:w="1530" w:type="dxa"/>
            <w:tcBorders>
              <w:top w:val="single" w:sz="4" w:space="0" w:color="auto"/>
              <w:bottom w:val="single" w:sz="4" w:space="0" w:color="auto"/>
            </w:tcBorders>
          </w:tcPr>
          <w:p w14:paraId="446EBB05" w14:textId="5C0C566C" w:rsidR="005A6E1C" w:rsidRPr="00A268E4" w:rsidRDefault="005A6E1C" w:rsidP="001D276C">
            <w:pPr>
              <w:pStyle w:val="pb-2"/>
              <w:jc w:val="both"/>
              <w:rPr>
                <w:b/>
                <w:bCs/>
                <w:color w:val="000000" w:themeColor="text1"/>
                <w:sz w:val="20"/>
                <w:szCs w:val="20"/>
              </w:rPr>
            </w:pPr>
            <w:r w:rsidRPr="00A268E4">
              <w:rPr>
                <w:b/>
                <w:bCs/>
                <w:color w:val="000000" w:themeColor="text1"/>
                <w:sz w:val="20"/>
                <w:szCs w:val="20"/>
              </w:rPr>
              <w:t>Max</w:t>
            </w:r>
          </w:p>
        </w:tc>
        <w:tc>
          <w:tcPr>
            <w:tcW w:w="1530" w:type="dxa"/>
            <w:tcBorders>
              <w:top w:val="single" w:sz="4" w:space="0" w:color="auto"/>
              <w:bottom w:val="single" w:sz="4" w:space="0" w:color="auto"/>
            </w:tcBorders>
          </w:tcPr>
          <w:p w14:paraId="128FE1BB" w14:textId="30A8526C" w:rsidR="005A6E1C" w:rsidRPr="00A268E4" w:rsidRDefault="005A6E1C" w:rsidP="001D276C">
            <w:pPr>
              <w:pStyle w:val="pb-2"/>
              <w:jc w:val="both"/>
              <w:rPr>
                <w:b/>
                <w:bCs/>
                <w:color w:val="000000" w:themeColor="text1"/>
                <w:sz w:val="20"/>
                <w:szCs w:val="20"/>
              </w:rPr>
            </w:pPr>
            <w:r w:rsidRPr="00A268E4">
              <w:rPr>
                <w:b/>
                <w:bCs/>
                <w:color w:val="000000" w:themeColor="text1"/>
                <w:sz w:val="20"/>
                <w:szCs w:val="20"/>
              </w:rPr>
              <w:t>Std. Dev.</w:t>
            </w:r>
          </w:p>
        </w:tc>
        <w:tc>
          <w:tcPr>
            <w:tcW w:w="1530" w:type="dxa"/>
            <w:tcBorders>
              <w:top w:val="single" w:sz="4" w:space="0" w:color="auto"/>
              <w:bottom w:val="single" w:sz="4" w:space="0" w:color="auto"/>
            </w:tcBorders>
          </w:tcPr>
          <w:p w14:paraId="34D38B17" w14:textId="4B96A5DB" w:rsidR="005A6E1C" w:rsidRPr="00A268E4" w:rsidRDefault="005A6E1C" w:rsidP="001D276C">
            <w:pPr>
              <w:pStyle w:val="pb-2"/>
              <w:jc w:val="both"/>
              <w:rPr>
                <w:b/>
                <w:bCs/>
                <w:color w:val="000000" w:themeColor="text1"/>
                <w:sz w:val="20"/>
                <w:szCs w:val="20"/>
              </w:rPr>
            </w:pPr>
            <w:r w:rsidRPr="00A268E4">
              <w:rPr>
                <w:b/>
                <w:bCs/>
                <w:color w:val="000000" w:themeColor="text1"/>
                <w:sz w:val="20"/>
                <w:szCs w:val="20"/>
              </w:rPr>
              <w:t>Min</w:t>
            </w:r>
          </w:p>
        </w:tc>
        <w:tc>
          <w:tcPr>
            <w:tcW w:w="1530" w:type="dxa"/>
            <w:tcBorders>
              <w:top w:val="single" w:sz="4" w:space="0" w:color="auto"/>
              <w:bottom w:val="single" w:sz="4" w:space="0" w:color="auto"/>
            </w:tcBorders>
          </w:tcPr>
          <w:p w14:paraId="328BC820" w14:textId="45BF76E3" w:rsidR="005A6E1C" w:rsidRPr="00A268E4" w:rsidRDefault="005A6E1C" w:rsidP="001D276C">
            <w:pPr>
              <w:pStyle w:val="pb-2"/>
              <w:jc w:val="both"/>
              <w:rPr>
                <w:b/>
                <w:bCs/>
                <w:color w:val="000000" w:themeColor="text1"/>
                <w:sz w:val="20"/>
                <w:szCs w:val="20"/>
              </w:rPr>
            </w:pPr>
            <w:r w:rsidRPr="00A268E4">
              <w:rPr>
                <w:b/>
                <w:bCs/>
                <w:color w:val="000000" w:themeColor="text1"/>
                <w:sz w:val="20"/>
                <w:szCs w:val="20"/>
              </w:rPr>
              <w:t>Max</w:t>
            </w:r>
          </w:p>
        </w:tc>
        <w:tc>
          <w:tcPr>
            <w:tcW w:w="1345" w:type="dxa"/>
            <w:tcBorders>
              <w:top w:val="single" w:sz="4" w:space="0" w:color="auto"/>
              <w:bottom w:val="single" w:sz="4" w:space="0" w:color="auto"/>
            </w:tcBorders>
          </w:tcPr>
          <w:p w14:paraId="37893424" w14:textId="4BE3C69B" w:rsidR="005A6E1C" w:rsidRPr="00A268E4" w:rsidRDefault="005A6E1C" w:rsidP="001D276C">
            <w:pPr>
              <w:pStyle w:val="pb-2"/>
              <w:jc w:val="both"/>
              <w:rPr>
                <w:b/>
                <w:bCs/>
                <w:color w:val="000000" w:themeColor="text1"/>
                <w:sz w:val="20"/>
                <w:szCs w:val="20"/>
              </w:rPr>
            </w:pPr>
            <w:r w:rsidRPr="00A268E4">
              <w:rPr>
                <w:b/>
                <w:bCs/>
                <w:color w:val="000000" w:themeColor="text1"/>
                <w:sz w:val="20"/>
                <w:szCs w:val="20"/>
              </w:rPr>
              <w:t>Obs</w:t>
            </w:r>
          </w:p>
        </w:tc>
      </w:tr>
      <w:tr w:rsidR="007C525B" w:rsidRPr="007C525B" w14:paraId="61787C99" w14:textId="77777777" w:rsidTr="001D276C">
        <w:trPr>
          <w:trHeight w:val="90"/>
        </w:trPr>
        <w:tc>
          <w:tcPr>
            <w:tcW w:w="1705" w:type="dxa"/>
            <w:vMerge w:val="restart"/>
            <w:tcBorders>
              <w:top w:val="single" w:sz="4" w:space="0" w:color="auto"/>
            </w:tcBorders>
          </w:tcPr>
          <w:p w14:paraId="54A46B43" w14:textId="4FB4EB5E" w:rsidR="005A6E1C" w:rsidRPr="00A268E4" w:rsidRDefault="005A6E1C" w:rsidP="001D276C">
            <w:pPr>
              <w:pStyle w:val="pb-2"/>
              <w:jc w:val="both"/>
              <w:rPr>
                <w:color w:val="000000" w:themeColor="text1"/>
                <w:sz w:val="20"/>
                <w:szCs w:val="20"/>
              </w:rPr>
            </w:pPr>
            <w:r w:rsidRPr="00A268E4">
              <w:rPr>
                <w:color w:val="000000" w:themeColor="text1"/>
                <w:sz w:val="20"/>
                <w:szCs w:val="20"/>
              </w:rPr>
              <w:t xml:space="preserve">Z-score </w:t>
            </w:r>
          </w:p>
        </w:tc>
        <w:tc>
          <w:tcPr>
            <w:tcW w:w="1440" w:type="dxa"/>
            <w:tcBorders>
              <w:top w:val="single" w:sz="4" w:space="0" w:color="auto"/>
            </w:tcBorders>
          </w:tcPr>
          <w:p w14:paraId="42B3D264" w14:textId="14334902" w:rsidR="005A6E1C" w:rsidRPr="00A268E4" w:rsidRDefault="005A6E1C" w:rsidP="001D276C">
            <w:pPr>
              <w:pStyle w:val="pb-2"/>
              <w:jc w:val="both"/>
              <w:rPr>
                <w:color w:val="000000" w:themeColor="text1"/>
                <w:sz w:val="20"/>
                <w:szCs w:val="20"/>
              </w:rPr>
            </w:pPr>
            <w:r w:rsidRPr="00A268E4">
              <w:rPr>
                <w:color w:val="000000" w:themeColor="text1"/>
                <w:sz w:val="20"/>
                <w:szCs w:val="20"/>
              </w:rPr>
              <w:t>Total</w:t>
            </w:r>
          </w:p>
        </w:tc>
        <w:tc>
          <w:tcPr>
            <w:tcW w:w="1530" w:type="dxa"/>
            <w:tcBorders>
              <w:top w:val="single" w:sz="4" w:space="0" w:color="auto"/>
            </w:tcBorders>
          </w:tcPr>
          <w:p w14:paraId="4C486D5B" w14:textId="347C78F3" w:rsidR="005A6E1C" w:rsidRPr="00A268E4" w:rsidRDefault="005D3B62" w:rsidP="001D276C">
            <w:pPr>
              <w:pStyle w:val="pb-2"/>
              <w:jc w:val="both"/>
              <w:rPr>
                <w:color w:val="000000" w:themeColor="text1"/>
                <w:sz w:val="20"/>
                <w:szCs w:val="20"/>
              </w:rPr>
            </w:pPr>
            <w:r w:rsidRPr="00A268E4">
              <w:rPr>
                <w:color w:val="000000" w:themeColor="text1"/>
                <w:sz w:val="20"/>
                <w:szCs w:val="20"/>
              </w:rPr>
              <w:t>0.922</w:t>
            </w:r>
          </w:p>
        </w:tc>
        <w:tc>
          <w:tcPr>
            <w:tcW w:w="1530" w:type="dxa"/>
            <w:tcBorders>
              <w:top w:val="single" w:sz="4" w:space="0" w:color="auto"/>
            </w:tcBorders>
          </w:tcPr>
          <w:p w14:paraId="079B1322" w14:textId="5C476DB8" w:rsidR="005A6E1C" w:rsidRPr="00A268E4" w:rsidRDefault="005D3B62" w:rsidP="001D276C">
            <w:pPr>
              <w:pStyle w:val="pb-2"/>
              <w:jc w:val="both"/>
              <w:rPr>
                <w:color w:val="000000" w:themeColor="text1"/>
                <w:sz w:val="20"/>
                <w:szCs w:val="20"/>
              </w:rPr>
            </w:pPr>
            <w:r w:rsidRPr="00A268E4">
              <w:rPr>
                <w:color w:val="000000" w:themeColor="text1"/>
                <w:sz w:val="20"/>
                <w:szCs w:val="20"/>
              </w:rPr>
              <w:t>1.198</w:t>
            </w:r>
          </w:p>
        </w:tc>
        <w:tc>
          <w:tcPr>
            <w:tcW w:w="1530" w:type="dxa"/>
            <w:tcBorders>
              <w:top w:val="single" w:sz="4" w:space="0" w:color="auto"/>
            </w:tcBorders>
          </w:tcPr>
          <w:p w14:paraId="6339B9CB" w14:textId="6E4C25F4" w:rsidR="005A6E1C" w:rsidRPr="00A268E4" w:rsidRDefault="000709EB" w:rsidP="001D276C">
            <w:pPr>
              <w:pStyle w:val="pb-2"/>
              <w:jc w:val="both"/>
              <w:rPr>
                <w:color w:val="000000" w:themeColor="text1"/>
                <w:sz w:val="20"/>
                <w:szCs w:val="20"/>
              </w:rPr>
            </w:pPr>
            <w:r w:rsidRPr="00A268E4">
              <w:rPr>
                <w:color w:val="000000" w:themeColor="text1"/>
                <w:sz w:val="20"/>
                <w:szCs w:val="20"/>
              </w:rPr>
              <w:t>-8.279</w:t>
            </w:r>
          </w:p>
        </w:tc>
        <w:tc>
          <w:tcPr>
            <w:tcW w:w="1530" w:type="dxa"/>
            <w:tcBorders>
              <w:top w:val="single" w:sz="4" w:space="0" w:color="auto"/>
            </w:tcBorders>
          </w:tcPr>
          <w:p w14:paraId="389994A9" w14:textId="65748036" w:rsidR="005A6E1C" w:rsidRPr="00A268E4" w:rsidRDefault="000709EB" w:rsidP="001D276C">
            <w:pPr>
              <w:pStyle w:val="pb-2"/>
              <w:jc w:val="both"/>
              <w:rPr>
                <w:color w:val="000000" w:themeColor="text1"/>
                <w:sz w:val="20"/>
                <w:szCs w:val="20"/>
              </w:rPr>
            </w:pPr>
            <w:r w:rsidRPr="00A268E4">
              <w:rPr>
                <w:color w:val="000000" w:themeColor="text1"/>
                <w:sz w:val="20"/>
                <w:szCs w:val="20"/>
              </w:rPr>
              <w:t>5.480</w:t>
            </w:r>
          </w:p>
        </w:tc>
        <w:tc>
          <w:tcPr>
            <w:tcW w:w="1345" w:type="dxa"/>
            <w:tcBorders>
              <w:top w:val="single" w:sz="4" w:space="0" w:color="auto"/>
            </w:tcBorders>
          </w:tcPr>
          <w:p w14:paraId="76E8F128" w14:textId="0FC3C0EB" w:rsidR="005A6E1C" w:rsidRPr="00A268E4" w:rsidRDefault="00B27083" w:rsidP="001D276C">
            <w:pPr>
              <w:pStyle w:val="pb-2"/>
              <w:jc w:val="both"/>
              <w:rPr>
                <w:color w:val="000000" w:themeColor="text1"/>
                <w:sz w:val="20"/>
                <w:szCs w:val="20"/>
              </w:rPr>
            </w:pPr>
            <w:r w:rsidRPr="00A268E4">
              <w:rPr>
                <w:color w:val="000000" w:themeColor="text1"/>
                <w:sz w:val="20"/>
                <w:szCs w:val="20"/>
              </w:rPr>
              <w:t>N=</w:t>
            </w:r>
            <w:r w:rsidR="000709EB" w:rsidRPr="00A268E4">
              <w:rPr>
                <w:color w:val="000000" w:themeColor="text1"/>
                <w:sz w:val="20"/>
                <w:szCs w:val="20"/>
              </w:rPr>
              <w:t>62</w:t>
            </w:r>
          </w:p>
        </w:tc>
      </w:tr>
      <w:tr w:rsidR="007C525B" w:rsidRPr="007C525B" w14:paraId="71E9AC7C" w14:textId="77777777" w:rsidTr="001D276C">
        <w:trPr>
          <w:trHeight w:val="95"/>
        </w:trPr>
        <w:tc>
          <w:tcPr>
            <w:tcW w:w="1705" w:type="dxa"/>
            <w:vMerge/>
          </w:tcPr>
          <w:p w14:paraId="2C642368" w14:textId="77777777" w:rsidR="005A6E1C" w:rsidRPr="00A268E4" w:rsidRDefault="005A6E1C" w:rsidP="001D276C">
            <w:pPr>
              <w:pStyle w:val="pb-2"/>
              <w:jc w:val="both"/>
              <w:rPr>
                <w:color w:val="000000" w:themeColor="text1"/>
                <w:sz w:val="20"/>
                <w:szCs w:val="20"/>
              </w:rPr>
            </w:pPr>
          </w:p>
        </w:tc>
        <w:tc>
          <w:tcPr>
            <w:tcW w:w="1440" w:type="dxa"/>
          </w:tcPr>
          <w:p w14:paraId="18AF0F2C" w14:textId="2132E9DA" w:rsidR="005A6E1C" w:rsidRPr="00A268E4" w:rsidRDefault="005A6E1C" w:rsidP="001D276C">
            <w:pPr>
              <w:pStyle w:val="pb-2"/>
              <w:jc w:val="both"/>
              <w:rPr>
                <w:color w:val="000000" w:themeColor="text1"/>
                <w:sz w:val="20"/>
                <w:szCs w:val="20"/>
              </w:rPr>
            </w:pPr>
            <w:r w:rsidRPr="00A268E4">
              <w:rPr>
                <w:color w:val="000000" w:themeColor="text1"/>
                <w:sz w:val="20"/>
                <w:szCs w:val="20"/>
              </w:rPr>
              <w:t>Among</w:t>
            </w:r>
          </w:p>
        </w:tc>
        <w:tc>
          <w:tcPr>
            <w:tcW w:w="1530" w:type="dxa"/>
          </w:tcPr>
          <w:p w14:paraId="10B0828F" w14:textId="08ADAF9D" w:rsidR="005A6E1C" w:rsidRPr="00A268E4" w:rsidRDefault="00932C05" w:rsidP="001D276C">
            <w:pPr>
              <w:pStyle w:val="pb-2"/>
              <w:jc w:val="both"/>
              <w:rPr>
                <w:color w:val="000000" w:themeColor="text1"/>
                <w:sz w:val="20"/>
                <w:szCs w:val="20"/>
              </w:rPr>
            </w:pPr>
            <w:r w:rsidRPr="00A268E4">
              <w:rPr>
                <w:color w:val="000000" w:themeColor="text1"/>
                <w:sz w:val="20"/>
                <w:szCs w:val="20"/>
              </w:rPr>
              <w:t>-</w:t>
            </w:r>
          </w:p>
        </w:tc>
        <w:tc>
          <w:tcPr>
            <w:tcW w:w="1530" w:type="dxa"/>
          </w:tcPr>
          <w:p w14:paraId="0EE5BBEA" w14:textId="446D402B" w:rsidR="005A6E1C" w:rsidRPr="00A268E4" w:rsidRDefault="005D3B62" w:rsidP="001D276C">
            <w:pPr>
              <w:pStyle w:val="pb-2"/>
              <w:jc w:val="both"/>
              <w:rPr>
                <w:color w:val="000000" w:themeColor="text1"/>
                <w:sz w:val="20"/>
                <w:szCs w:val="20"/>
              </w:rPr>
            </w:pPr>
            <w:r w:rsidRPr="00A268E4">
              <w:rPr>
                <w:color w:val="000000" w:themeColor="text1"/>
                <w:sz w:val="20"/>
                <w:szCs w:val="20"/>
              </w:rPr>
              <w:t>0.924</w:t>
            </w:r>
          </w:p>
        </w:tc>
        <w:tc>
          <w:tcPr>
            <w:tcW w:w="1530" w:type="dxa"/>
          </w:tcPr>
          <w:p w14:paraId="1E66CAF0" w14:textId="69FB99CD" w:rsidR="005A6E1C" w:rsidRPr="00A268E4" w:rsidRDefault="000709EB" w:rsidP="001D276C">
            <w:pPr>
              <w:pStyle w:val="pb-2"/>
              <w:jc w:val="both"/>
              <w:rPr>
                <w:color w:val="000000" w:themeColor="text1"/>
                <w:sz w:val="20"/>
                <w:szCs w:val="20"/>
              </w:rPr>
            </w:pPr>
            <w:r w:rsidRPr="00A268E4">
              <w:rPr>
                <w:color w:val="000000" w:themeColor="text1"/>
                <w:sz w:val="20"/>
                <w:szCs w:val="20"/>
              </w:rPr>
              <w:t>-1.765</w:t>
            </w:r>
          </w:p>
        </w:tc>
        <w:tc>
          <w:tcPr>
            <w:tcW w:w="1530" w:type="dxa"/>
          </w:tcPr>
          <w:p w14:paraId="6884253D" w14:textId="57BCDF0E" w:rsidR="005A6E1C" w:rsidRPr="00A268E4" w:rsidRDefault="000709EB" w:rsidP="001D276C">
            <w:pPr>
              <w:pStyle w:val="pb-2"/>
              <w:jc w:val="both"/>
              <w:rPr>
                <w:color w:val="000000" w:themeColor="text1"/>
                <w:sz w:val="20"/>
                <w:szCs w:val="20"/>
              </w:rPr>
            </w:pPr>
            <w:r w:rsidRPr="00A268E4">
              <w:rPr>
                <w:color w:val="000000" w:themeColor="text1"/>
                <w:sz w:val="20"/>
                <w:szCs w:val="20"/>
              </w:rPr>
              <w:t>3.377</w:t>
            </w:r>
          </w:p>
        </w:tc>
        <w:tc>
          <w:tcPr>
            <w:tcW w:w="1345" w:type="dxa"/>
          </w:tcPr>
          <w:p w14:paraId="30957D03" w14:textId="73AA2B48" w:rsidR="005A6E1C" w:rsidRPr="00A268E4" w:rsidRDefault="00B27083" w:rsidP="001D276C">
            <w:pPr>
              <w:pStyle w:val="pb-2"/>
              <w:jc w:val="both"/>
              <w:rPr>
                <w:color w:val="000000" w:themeColor="text1"/>
                <w:sz w:val="20"/>
                <w:szCs w:val="20"/>
              </w:rPr>
            </w:pPr>
            <w:r w:rsidRPr="00A268E4">
              <w:rPr>
                <w:color w:val="000000" w:themeColor="text1"/>
                <w:sz w:val="20"/>
                <w:szCs w:val="20"/>
              </w:rPr>
              <w:t>n=</w:t>
            </w:r>
            <w:r w:rsidR="000709EB" w:rsidRPr="00A268E4">
              <w:rPr>
                <w:color w:val="000000" w:themeColor="text1"/>
                <w:sz w:val="20"/>
                <w:szCs w:val="20"/>
              </w:rPr>
              <w:t>6</w:t>
            </w:r>
          </w:p>
        </w:tc>
      </w:tr>
      <w:tr w:rsidR="007C525B" w:rsidRPr="007C525B" w14:paraId="071BA9D6" w14:textId="77777777" w:rsidTr="001D276C">
        <w:trPr>
          <w:trHeight w:val="120"/>
        </w:trPr>
        <w:tc>
          <w:tcPr>
            <w:tcW w:w="1705" w:type="dxa"/>
            <w:vMerge/>
          </w:tcPr>
          <w:p w14:paraId="56382682" w14:textId="77777777" w:rsidR="005A6E1C" w:rsidRPr="00A268E4" w:rsidRDefault="005A6E1C" w:rsidP="001D276C">
            <w:pPr>
              <w:pStyle w:val="pb-2"/>
              <w:jc w:val="both"/>
              <w:rPr>
                <w:color w:val="000000" w:themeColor="text1"/>
                <w:sz w:val="20"/>
                <w:szCs w:val="20"/>
              </w:rPr>
            </w:pPr>
          </w:p>
        </w:tc>
        <w:tc>
          <w:tcPr>
            <w:tcW w:w="1440" w:type="dxa"/>
          </w:tcPr>
          <w:p w14:paraId="432A3A38" w14:textId="055E17C3" w:rsidR="005A6E1C" w:rsidRPr="00A268E4" w:rsidRDefault="005A6E1C" w:rsidP="001D276C">
            <w:pPr>
              <w:pStyle w:val="pb-2"/>
              <w:jc w:val="both"/>
              <w:rPr>
                <w:color w:val="000000" w:themeColor="text1"/>
                <w:sz w:val="20"/>
                <w:szCs w:val="20"/>
              </w:rPr>
            </w:pPr>
            <w:r w:rsidRPr="00A268E4">
              <w:rPr>
                <w:color w:val="000000" w:themeColor="text1"/>
                <w:sz w:val="20"/>
                <w:szCs w:val="20"/>
              </w:rPr>
              <w:t>Inside</w:t>
            </w:r>
          </w:p>
        </w:tc>
        <w:tc>
          <w:tcPr>
            <w:tcW w:w="1530" w:type="dxa"/>
          </w:tcPr>
          <w:p w14:paraId="6CF4AFBE" w14:textId="0A36C340" w:rsidR="005A6E1C" w:rsidRPr="00A268E4" w:rsidRDefault="00932C05" w:rsidP="001D276C">
            <w:pPr>
              <w:pStyle w:val="pb-2"/>
              <w:jc w:val="both"/>
              <w:rPr>
                <w:color w:val="000000" w:themeColor="text1"/>
                <w:sz w:val="20"/>
                <w:szCs w:val="20"/>
              </w:rPr>
            </w:pPr>
            <w:r w:rsidRPr="00A268E4">
              <w:rPr>
                <w:color w:val="000000" w:themeColor="text1"/>
                <w:sz w:val="20"/>
                <w:szCs w:val="20"/>
              </w:rPr>
              <w:t>-</w:t>
            </w:r>
          </w:p>
        </w:tc>
        <w:tc>
          <w:tcPr>
            <w:tcW w:w="1530" w:type="dxa"/>
          </w:tcPr>
          <w:p w14:paraId="46084CE3" w14:textId="3FF86C0C" w:rsidR="005A6E1C" w:rsidRPr="00A268E4" w:rsidRDefault="005D3B62" w:rsidP="001D276C">
            <w:pPr>
              <w:pStyle w:val="pb-2"/>
              <w:jc w:val="both"/>
              <w:rPr>
                <w:color w:val="000000" w:themeColor="text1"/>
                <w:sz w:val="20"/>
                <w:szCs w:val="20"/>
              </w:rPr>
            </w:pPr>
            <w:r w:rsidRPr="00A268E4">
              <w:rPr>
                <w:color w:val="000000" w:themeColor="text1"/>
                <w:sz w:val="20"/>
                <w:szCs w:val="20"/>
              </w:rPr>
              <w:t>0.779</w:t>
            </w:r>
          </w:p>
        </w:tc>
        <w:tc>
          <w:tcPr>
            <w:tcW w:w="1530" w:type="dxa"/>
          </w:tcPr>
          <w:p w14:paraId="477A7270" w14:textId="463D16DB" w:rsidR="005A6E1C" w:rsidRPr="00A268E4" w:rsidRDefault="000709EB" w:rsidP="001D276C">
            <w:pPr>
              <w:pStyle w:val="pb-2"/>
              <w:jc w:val="both"/>
              <w:rPr>
                <w:color w:val="000000" w:themeColor="text1"/>
                <w:sz w:val="20"/>
                <w:szCs w:val="20"/>
              </w:rPr>
            </w:pPr>
            <w:r w:rsidRPr="00A268E4">
              <w:rPr>
                <w:color w:val="000000" w:themeColor="text1"/>
                <w:sz w:val="20"/>
                <w:szCs w:val="20"/>
              </w:rPr>
              <w:t>-5.594</w:t>
            </w:r>
          </w:p>
        </w:tc>
        <w:tc>
          <w:tcPr>
            <w:tcW w:w="1530" w:type="dxa"/>
          </w:tcPr>
          <w:p w14:paraId="3F850196" w14:textId="7ADCBDF3" w:rsidR="005A6E1C" w:rsidRPr="00A268E4" w:rsidRDefault="000709EB" w:rsidP="001D276C">
            <w:pPr>
              <w:pStyle w:val="pb-2"/>
              <w:jc w:val="both"/>
              <w:rPr>
                <w:color w:val="000000" w:themeColor="text1"/>
                <w:sz w:val="20"/>
                <w:szCs w:val="20"/>
              </w:rPr>
            </w:pPr>
            <w:r w:rsidRPr="00A268E4">
              <w:rPr>
                <w:color w:val="000000" w:themeColor="text1"/>
                <w:sz w:val="20"/>
                <w:szCs w:val="20"/>
              </w:rPr>
              <w:t>3.182</w:t>
            </w:r>
          </w:p>
        </w:tc>
        <w:tc>
          <w:tcPr>
            <w:tcW w:w="1345" w:type="dxa"/>
          </w:tcPr>
          <w:p w14:paraId="6C9ABB98" w14:textId="0E8D9BB3" w:rsidR="005A6E1C" w:rsidRPr="00A268E4" w:rsidRDefault="00B27083" w:rsidP="001D276C">
            <w:pPr>
              <w:pStyle w:val="pb-2"/>
              <w:jc w:val="both"/>
              <w:rPr>
                <w:color w:val="000000" w:themeColor="text1"/>
                <w:sz w:val="20"/>
                <w:szCs w:val="20"/>
              </w:rPr>
            </w:pPr>
            <w:r w:rsidRPr="00A268E4">
              <w:rPr>
                <w:color w:val="000000" w:themeColor="text1"/>
                <w:sz w:val="20"/>
                <w:szCs w:val="20"/>
              </w:rPr>
              <w:t>T=</w:t>
            </w:r>
            <w:r w:rsidR="000709EB" w:rsidRPr="00A268E4">
              <w:rPr>
                <w:color w:val="000000" w:themeColor="text1"/>
                <w:sz w:val="20"/>
                <w:szCs w:val="20"/>
              </w:rPr>
              <w:t>12</w:t>
            </w:r>
          </w:p>
        </w:tc>
      </w:tr>
      <w:tr w:rsidR="00FE4FCE" w:rsidRPr="007C525B" w14:paraId="46ABD563" w14:textId="77777777" w:rsidTr="001D276C">
        <w:trPr>
          <w:trHeight w:val="105"/>
        </w:trPr>
        <w:tc>
          <w:tcPr>
            <w:tcW w:w="1705" w:type="dxa"/>
            <w:vMerge w:val="restart"/>
          </w:tcPr>
          <w:p w14:paraId="6650D72A" w14:textId="1A8332B4" w:rsidR="00FE4FCE" w:rsidRPr="00A268E4" w:rsidRDefault="00FE4FCE" w:rsidP="001D276C">
            <w:pPr>
              <w:pStyle w:val="pb-2"/>
              <w:jc w:val="both"/>
              <w:rPr>
                <w:color w:val="000000" w:themeColor="text1"/>
                <w:sz w:val="20"/>
                <w:szCs w:val="20"/>
              </w:rPr>
            </w:pPr>
            <w:r w:rsidRPr="00A268E4">
              <w:rPr>
                <w:color w:val="000000" w:themeColor="text1"/>
                <w:sz w:val="20"/>
                <w:szCs w:val="20"/>
              </w:rPr>
              <w:t>Core-Co-Trwa</w:t>
            </w:r>
          </w:p>
        </w:tc>
        <w:tc>
          <w:tcPr>
            <w:tcW w:w="1440" w:type="dxa"/>
          </w:tcPr>
          <w:p w14:paraId="465B6171" w14:textId="2439BF10" w:rsidR="00FE4FCE" w:rsidRPr="00A268E4" w:rsidRDefault="00FE4FCE" w:rsidP="001D276C">
            <w:pPr>
              <w:pStyle w:val="pb-2"/>
              <w:jc w:val="both"/>
              <w:rPr>
                <w:color w:val="000000" w:themeColor="text1"/>
                <w:sz w:val="20"/>
                <w:szCs w:val="20"/>
              </w:rPr>
            </w:pPr>
            <w:r w:rsidRPr="00A268E4">
              <w:rPr>
                <w:color w:val="000000" w:themeColor="text1"/>
                <w:sz w:val="20"/>
                <w:szCs w:val="20"/>
              </w:rPr>
              <w:t>Total</w:t>
            </w:r>
          </w:p>
        </w:tc>
        <w:tc>
          <w:tcPr>
            <w:tcW w:w="1530" w:type="dxa"/>
          </w:tcPr>
          <w:p w14:paraId="1681591B" w14:textId="3306B85E" w:rsidR="00FE4FCE" w:rsidRPr="00A268E4" w:rsidRDefault="00FE4FCE" w:rsidP="001D276C">
            <w:pPr>
              <w:pStyle w:val="pb-2"/>
              <w:jc w:val="both"/>
              <w:rPr>
                <w:color w:val="000000" w:themeColor="text1"/>
                <w:sz w:val="20"/>
                <w:szCs w:val="20"/>
              </w:rPr>
            </w:pPr>
            <w:r w:rsidRPr="00A268E4">
              <w:rPr>
                <w:color w:val="000000" w:themeColor="text1"/>
                <w:sz w:val="20"/>
                <w:szCs w:val="20"/>
              </w:rPr>
              <w:t>0.195</w:t>
            </w:r>
          </w:p>
        </w:tc>
        <w:tc>
          <w:tcPr>
            <w:tcW w:w="1530" w:type="dxa"/>
          </w:tcPr>
          <w:p w14:paraId="3AB5F734" w14:textId="0422F782" w:rsidR="00FE4FCE" w:rsidRPr="00A268E4" w:rsidRDefault="00FE4FCE" w:rsidP="001D276C">
            <w:pPr>
              <w:pStyle w:val="pb-2"/>
              <w:jc w:val="both"/>
              <w:rPr>
                <w:color w:val="000000" w:themeColor="text1"/>
                <w:sz w:val="20"/>
                <w:szCs w:val="20"/>
              </w:rPr>
            </w:pPr>
            <w:r w:rsidRPr="00A268E4">
              <w:rPr>
                <w:color w:val="000000" w:themeColor="text1"/>
                <w:sz w:val="20"/>
                <w:szCs w:val="20"/>
              </w:rPr>
              <w:t>0.106</w:t>
            </w:r>
          </w:p>
        </w:tc>
        <w:tc>
          <w:tcPr>
            <w:tcW w:w="1530" w:type="dxa"/>
          </w:tcPr>
          <w:p w14:paraId="71D966D8" w14:textId="7BB25B28" w:rsidR="00FE4FCE" w:rsidRPr="00A268E4" w:rsidRDefault="00FE4FCE" w:rsidP="001D276C">
            <w:pPr>
              <w:pStyle w:val="pb-2"/>
              <w:jc w:val="both"/>
              <w:rPr>
                <w:color w:val="000000" w:themeColor="text1"/>
                <w:sz w:val="20"/>
                <w:szCs w:val="20"/>
              </w:rPr>
            </w:pPr>
            <w:r w:rsidRPr="00A268E4">
              <w:rPr>
                <w:color w:val="000000" w:themeColor="text1"/>
                <w:sz w:val="20"/>
                <w:szCs w:val="20"/>
              </w:rPr>
              <w:t>-0.619</w:t>
            </w:r>
          </w:p>
        </w:tc>
        <w:tc>
          <w:tcPr>
            <w:tcW w:w="1530" w:type="dxa"/>
          </w:tcPr>
          <w:p w14:paraId="3C4B6E52" w14:textId="6C1B12F1" w:rsidR="00FE4FCE" w:rsidRPr="00A268E4" w:rsidRDefault="00FE4FCE" w:rsidP="001D276C">
            <w:pPr>
              <w:pStyle w:val="pb-2"/>
              <w:jc w:val="both"/>
              <w:rPr>
                <w:color w:val="000000" w:themeColor="text1"/>
                <w:sz w:val="20"/>
                <w:szCs w:val="20"/>
              </w:rPr>
            </w:pPr>
            <w:r w:rsidRPr="00A268E4">
              <w:rPr>
                <w:color w:val="000000" w:themeColor="text1"/>
                <w:sz w:val="20"/>
                <w:szCs w:val="20"/>
              </w:rPr>
              <w:t>0.791</w:t>
            </w:r>
          </w:p>
        </w:tc>
        <w:tc>
          <w:tcPr>
            <w:tcW w:w="1345" w:type="dxa"/>
          </w:tcPr>
          <w:p w14:paraId="34D41163" w14:textId="6175763F" w:rsidR="00FE4FCE" w:rsidRPr="00A268E4" w:rsidRDefault="00FE4FCE" w:rsidP="001D276C">
            <w:pPr>
              <w:pStyle w:val="pb-2"/>
              <w:jc w:val="both"/>
              <w:rPr>
                <w:color w:val="000000" w:themeColor="text1"/>
                <w:sz w:val="20"/>
                <w:szCs w:val="20"/>
              </w:rPr>
            </w:pPr>
            <w:r w:rsidRPr="00A268E4">
              <w:rPr>
                <w:color w:val="000000" w:themeColor="text1"/>
                <w:sz w:val="20"/>
                <w:szCs w:val="20"/>
              </w:rPr>
              <w:t>N=62</w:t>
            </w:r>
          </w:p>
        </w:tc>
      </w:tr>
      <w:tr w:rsidR="00FE4FCE" w:rsidRPr="007C525B" w14:paraId="46906FD9" w14:textId="77777777" w:rsidTr="001D276C">
        <w:trPr>
          <w:trHeight w:val="105"/>
        </w:trPr>
        <w:tc>
          <w:tcPr>
            <w:tcW w:w="1705" w:type="dxa"/>
            <w:vMerge/>
          </w:tcPr>
          <w:p w14:paraId="39D5A97D" w14:textId="77777777" w:rsidR="00FE4FCE" w:rsidRPr="00A268E4" w:rsidRDefault="00FE4FCE" w:rsidP="001D276C">
            <w:pPr>
              <w:pStyle w:val="pb-2"/>
              <w:jc w:val="both"/>
              <w:rPr>
                <w:color w:val="000000" w:themeColor="text1"/>
                <w:sz w:val="20"/>
                <w:szCs w:val="20"/>
              </w:rPr>
            </w:pPr>
          </w:p>
        </w:tc>
        <w:tc>
          <w:tcPr>
            <w:tcW w:w="1440" w:type="dxa"/>
          </w:tcPr>
          <w:p w14:paraId="54D3F60D" w14:textId="56638B59" w:rsidR="00FE4FCE" w:rsidRPr="00A268E4" w:rsidRDefault="00FE4FCE" w:rsidP="001D276C">
            <w:pPr>
              <w:pStyle w:val="pb-2"/>
              <w:jc w:val="both"/>
              <w:rPr>
                <w:color w:val="000000" w:themeColor="text1"/>
                <w:sz w:val="20"/>
                <w:szCs w:val="20"/>
              </w:rPr>
            </w:pPr>
            <w:r w:rsidRPr="00A268E4">
              <w:rPr>
                <w:color w:val="000000" w:themeColor="text1"/>
                <w:sz w:val="20"/>
                <w:szCs w:val="20"/>
              </w:rPr>
              <w:t>Among</w:t>
            </w:r>
          </w:p>
        </w:tc>
        <w:tc>
          <w:tcPr>
            <w:tcW w:w="1530" w:type="dxa"/>
          </w:tcPr>
          <w:p w14:paraId="6293422A" w14:textId="23DBB901" w:rsidR="00FE4FCE" w:rsidRPr="00A268E4" w:rsidRDefault="00FE4FCE" w:rsidP="001D276C">
            <w:pPr>
              <w:pStyle w:val="pb-2"/>
              <w:jc w:val="both"/>
              <w:rPr>
                <w:color w:val="000000" w:themeColor="text1"/>
                <w:sz w:val="20"/>
                <w:szCs w:val="20"/>
              </w:rPr>
            </w:pPr>
            <w:r w:rsidRPr="00A268E4">
              <w:rPr>
                <w:color w:val="000000" w:themeColor="text1"/>
                <w:sz w:val="20"/>
                <w:szCs w:val="20"/>
              </w:rPr>
              <w:t>-</w:t>
            </w:r>
          </w:p>
        </w:tc>
        <w:tc>
          <w:tcPr>
            <w:tcW w:w="1530" w:type="dxa"/>
          </w:tcPr>
          <w:p w14:paraId="465E1F3F" w14:textId="74A8BDB5" w:rsidR="00FE4FCE" w:rsidRPr="00A268E4" w:rsidRDefault="00FE4FCE" w:rsidP="001D276C">
            <w:pPr>
              <w:pStyle w:val="pb-2"/>
              <w:jc w:val="both"/>
              <w:rPr>
                <w:color w:val="000000" w:themeColor="text1"/>
                <w:sz w:val="20"/>
                <w:szCs w:val="20"/>
              </w:rPr>
            </w:pPr>
            <w:r w:rsidRPr="00A268E4">
              <w:rPr>
                <w:color w:val="000000" w:themeColor="text1"/>
                <w:sz w:val="20"/>
                <w:szCs w:val="20"/>
              </w:rPr>
              <w:t>0.084</w:t>
            </w:r>
          </w:p>
        </w:tc>
        <w:tc>
          <w:tcPr>
            <w:tcW w:w="1530" w:type="dxa"/>
          </w:tcPr>
          <w:p w14:paraId="23E1937F" w14:textId="252F2E0D" w:rsidR="00FE4FCE" w:rsidRPr="00A268E4" w:rsidRDefault="00FE4FCE" w:rsidP="001D276C">
            <w:pPr>
              <w:pStyle w:val="pb-2"/>
              <w:jc w:val="both"/>
              <w:rPr>
                <w:color w:val="000000" w:themeColor="text1"/>
                <w:sz w:val="20"/>
                <w:szCs w:val="20"/>
              </w:rPr>
            </w:pPr>
            <w:r w:rsidRPr="00A268E4">
              <w:rPr>
                <w:color w:val="000000" w:themeColor="text1"/>
                <w:sz w:val="20"/>
                <w:szCs w:val="20"/>
              </w:rPr>
              <w:t>-0.017</w:t>
            </w:r>
          </w:p>
        </w:tc>
        <w:tc>
          <w:tcPr>
            <w:tcW w:w="1530" w:type="dxa"/>
          </w:tcPr>
          <w:p w14:paraId="1FE44049" w14:textId="0171DDBC" w:rsidR="00FE4FCE" w:rsidRPr="00A268E4" w:rsidRDefault="00FE4FCE" w:rsidP="001D276C">
            <w:pPr>
              <w:pStyle w:val="pb-2"/>
              <w:jc w:val="both"/>
              <w:rPr>
                <w:color w:val="000000" w:themeColor="text1"/>
                <w:sz w:val="20"/>
                <w:szCs w:val="20"/>
              </w:rPr>
            </w:pPr>
            <w:r w:rsidRPr="00A268E4">
              <w:rPr>
                <w:color w:val="000000" w:themeColor="text1"/>
                <w:sz w:val="20"/>
                <w:szCs w:val="20"/>
              </w:rPr>
              <w:t>0.386</w:t>
            </w:r>
          </w:p>
        </w:tc>
        <w:tc>
          <w:tcPr>
            <w:tcW w:w="1345" w:type="dxa"/>
          </w:tcPr>
          <w:p w14:paraId="1282FF7F" w14:textId="72463ED4" w:rsidR="00FE4FCE" w:rsidRPr="00A268E4" w:rsidRDefault="00FE4FCE" w:rsidP="001D276C">
            <w:pPr>
              <w:pStyle w:val="pb-2"/>
              <w:jc w:val="both"/>
              <w:rPr>
                <w:color w:val="000000" w:themeColor="text1"/>
                <w:sz w:val="20"/>
                <w:szCs w:val="20"/>
              </w:rPr>
            </w:pPr>
            <w:r w:rsidRPr="00A268E4">
              <w:rPr>
                <w:color w:val="000000" w:themeColor="text1"/>
                <w:sz w:val="20"/>
                <w:szCs w:val="20"/>
              </w:rPr>
              <w:t>n=6</w:t>
            </w:r>
          </w:p>
        </w:tc>
      </w:tr>
      <w:tr w:rsidR="00FE4FCE" w:rsidRPr="007C525B" w14:paraId="5386B57D" w14:textId="77777777" w:rsidTr="001D276C">
        <w:trPr>
          <w:trHeight w:val="110"/>
        </w:trPr>
        <w:tc>
          <w:tcPr>
            <w:tcW w:w="1705" w:type="dxa"/>
            <w:vMerge/>
          </w:tcPr>
          <w:p w14:paraId="7E213270" w14:textId="77777777" w:rsidR="00FE4FCE" w:rsidRPr="00A268E4" w:rsidRDefault="00FE4FCE" w:rsidP="001D276C">
            <w:pPr>
              <w:pStyle w:val="pb-2"/>
              <w:jc w:val="both"/>
              <w:rPr>
                <w:color w:val="000000" w:themeColor="text1"/>
                <w:sz w:val="20"/>
                <w:szCs w:val="20"/>
              </w:rPr>
            </w:pPr>
          </w:p>
        </w:tc>
        <w:tc>
          <w:tcPr>
            <w:tcW w:w="1440" w:type="dxa"/>
          </w:tcPr>
          <w:p w14:paraId="5A98EAB9" w14:textId="43E5BA8F" w:rsidR="00FE4FCE" w:rsidRPr="00A268E4" w:rsidRDefault="00FE4FCE" w:rsidP="001D276C">
            <w:pPr>
              <w:pStyle w:val="pb-2"/>
              <w:jc w:val="both"/>
              <w:rPr>
                <w:color w:val="000000" w:themeColor="text1"/>
                <w:sz w:val="20"/>
                <w:szCs w:val="20"/>
              </w:rPr>
            </w:pPr>
            <w:r w:rsidRPr="00A268E4">
              <w:rPr>
                <w:color w:val="000000" w:themeColor="text1"/>
                <w:sz w:val="20"/>
                <w:szCs w:val="20"/>
              </w:rPr>
              <w:t>Inside</w:t>
            </w:r>
          </w:p>
        </w:tc>
        <w:tc>
          <w:tcPr>
            <w:tcW w:w="1530" w:type="dxa"/>
          </w:tcPr>
          <w:p w14:paraId="377194BF" w14:textId="3F552BF3" w:rsidR="00FE4FCE" w:rsidRPr="00A268E4" w:rsidRDefault="00FE4FCE" w:rsidP="001D276C">
            <w:pPr>
              <w:pStyle w:val="pb-2"/>
              <w:jc w:val="both"/>
              <w:rPr>
                <w:color w:val="000000" w:themeColor="text1"/>
                <w:sz w:val="20"/>
                <w:szCs w:val="20"/>
              </w:rPr>
            </w:pPr>
            <w:r w:rsidRPr="00A268E4">
              <w:rPr>
                <w:color w:val="000000" w:themeColor="text1"/>
                <w:sz w:val="20"/>
                <w:szCs w:val="20"/>
              </w:rPr>
              <w:t>-</w:t>
            </w:r>
          </w:p>
        </w:tc>
        <w:tc>
          <w:tcPr>
            <w:tcW w:w="1530" w:type="dxa"/>
          </w:tcPr>
          <w:p w14:paraId="1B643F8D" w14:textId="2E88E5E6" w:rsidR="00FE4FCE" w:rsidRPr="00A268E4" w:rsidRDefault="00FE4FCE" w:rsidP="001D276C">
            <w:pPr>
              <w:pStyle w:val="pb-2"/>
              <w:jc w:val="both"/>
              <w:rPr>
                <w:color w:val="000000" w:themeColor="text1"/>
                <w:sz w:val="20"/>
                <w:szCs w:val="20"/>
              </w:rPr>
            </w:pPr>
            <w:r w:rsidRPr="00A268E4">
              <w:rPr>
                <w:color w:val="000000" w:themeColor="text1"/>
                <w:sz w:val="20"/>
                <w:szCs w:val="20"/>
              </w:rPr>
              <w:t>0.068</w:t>
            </w:r>
          </w:p>
        </w:tc>
        <w:tc>
          <w:tcPr>
            <w:tcW w:w="1530" w:type="dxa"/>
          </w:tcPr>
          <w:p w14:paraId="6FE6C7BB" w14:textId="77664848" w:rsidR="00FE4FCE" w:rsidRPr="00A268E4" w:rsidRDefault="00FE4FCE" w:rsidP="001D276C">
            <w:pPr>
              <w:pStyle w:val="pb-2"/>
              <w:jc w:val="both"/>
              <w:rPr>
                <w:color w:val="000000" w:themeColor="text1"/>
                <w:sz w:val="20"/>
                <w:szCs w:val="20"/>
              </w:rPr>
            </w:pPr>
            <w:r w:rsidRPr="00A268E4">
              <w:rPr>
                <w:color w:val="000000" w:themeColor="text1"/>
                <w:sz w:val="20"/>
                <w:szCs w:val="20"/>
              </w:rPr>
              <w:t>-0.4089</w:t>
            </w:r>
          </w:p>
        </w:tc>
        <w:tc>
          <w:tcPr>
            <w:tcW w:w="1530" w:type="dxa"/>
          </w:tcPr>
          <w:p w14:paraId="03894407" w14:textId="74D8691A" w:rsidR="00FE4FCE" w:rsidRPr="00A268E4" w:rsidRDefault="00FE4FCE" w:rsidP="001D276C">
            <w:pPr>
              <w:pStyle w:val="pb-2"/>
              <w:jc w:val="both"/>
              <w:rPr>
                <w:color w:val="000000" w:themeColor="text1"/>
                <w:sz w:val="20"/>
                <w:szCs w:val="20"/>
              </w:rPr>
            </w:pPr>
            <w:r w:rsidRPr="00A268E4">
              <w:rPr>
                <w:color w:val="000000" w:themeColor="text1"/>
                <w:sz w:val="20"/>
                <w:szCs w:val="20"/>
              </w:rPr>
              <w:t>0.593</w:t>
            </w:r>
          </w:p>
        </w:tc>
        <w:tc>
          <w:tcPr>
            <w:tcW w:w="1345" w:type="dxa"/>
          </w:tcPr>
          <w:p w14:paraId="44037405" w14:textId="0BE53318" w:rsidR="00FE4FCE" w:rsidRPr="00A268E4" w:rsidRDefault="00FE4FCE" w:rsidP="001D276C">
            <w:pPr>
              <w:pStyle w:val="pb-2"/>
              <w:jc w:val="both"/>
              <w:rPr>
                <w:color w:val="000000" w:themeColor="text1"/>
                <w:sz w:val="20"/>
                <w:szCs w:val="20"/>
              </w:rPr>
            </w:pPr>
            <w:r w:rsidRPr="00A268E4">
              <w:rPr>
                <w:color w:val="000000" w:themeColor="text1"/>
                <w:sz w:val="20"/>
                <w:szCs w:val="20"/>
              </w:rPr>
              <w:t>T=12</w:t>
            </w:r>
          </w:p>
        </w:tc>
      </w:tr>
      <w:tr w:rsidR="00F04F7A" w:rsidRPr="007C525B" w14:paraId="0D1CFCEC" w14:textId="77777777" w:rsidTr="001D276C">
        <w:trPr>
          <w:trHeight w:val="120"/>
        </w:trPr>
        <w:tc>
          <w:tcPr>
            <w:tcW w:w="1705" w:type="dxa"/>
            <w:vMerge w:val="restart"/>
          </w:tcPr>
          <w:p w14:paraId="49260950" w14:textId="3E0B0784" w:rsidR="00F04F7A" w:rsidRPr="00A268E4" w:rsidRDefault="00F04F7A" w:rsidP="001D276C">
            <w:pPr>
              <w:pStyle w:val="pb-2"/>
              <w:jc w:val="both"/>
              <w:rPr>
                <w:color w:val="000000" w:themeColor="text1"/>
                <w:sz w:val="20"/>
                <w:szCs w:val="20"/>
              </w:rPr>
            </w:pPr>
            <w:r w:rsidRPr="00A268E4">
              <w:rPr>
                <w:color w:val="000000" w:themeColor="text1"/>
                <w:sz w:val="20"/>
                <w:szCs w:val="20"/>
              </w:rPr>
              <w:t>ROA</w:t>
            </w:r>
          </w:p>
        </w:tc>
        <w:tc>
          <w:tcPr>
            <w:tcW w:w="1440" w:type="dxa"/>
          </w:tcPr>
          <w:p w14:paraId="53400D71" w14:textId="5F32E8FF" w:rsidR="00F04F7A" w:rsidRPr="00A268E4" w:rsidRDefault="00F04F7A" w:rsidP="001D276C">
            <w:pPr>
              <w:pStyle w:val="pb-2"/>
              <w:jc w:val="both"/>
              <w:rPr>
                <w:color w:val="000000" w:themeColor="text1"/>
                <w:sz w:val="20"/>
                <w:szCs w:val="20"/>
              </w:rPr>
            </w:pPr>
            <w:r w:rsidRPr="00A268E4">
              <w:rPr>
                <w:color w:val="000000" w:themeColor="text1"/>
                <w:sz w:val="20"/>
                <w:szCs w:val="20"/>
              </w:rPr>
              <w:t>Total</w:t>
            </w:r>
          </w:p>
        </w:tc>
        <w:tc>
          <w:tcPr>
            <w:tcW w:w="1530" w:type="dxa"/>
          </w:tcPr>
          <w:p w14:paraId="0F2B5F8C" w14:textId="43FC272C" w:rsidR="00F04F7A" w:rsidRPr="00A268E4" w:rsidRDefault="00F04F7A" w:rsidP="001D276C">
            <w:pPr>
              <w:pStyle w:val="pb-2"/>
              <w:jc w:val="both"/>
              <w:rPr>
                <w:color w:val="000000" w:themeColor="text1"/>
                <w:sz w:val="20"/>
                <w:szCs w:val="20"/>
              </w:rPr>
            </w:pPr>
            <w:r w:rsidRPr="00A268E4">
              <w:rPr>
                <w:color w:val="000000" w:themeColor="text1"/>
                <w:sz w:val="20"/>
                <w:szCs w:val="20"/>
              </w:rPr>
              <w:t>0.025</w:t>
            </w:r>
          </w:p>
        </w:tc>
        <w:tc>
          <w:tcPr>
            <w:tcW w:w="1530" w:type="dxa"/>
          </w:tcPr>
          <w:p w14:paraId="5B50778C" w14:textId="40578DD2" w:rsidR="00F04F7A" w:rsidRPr="00A268E4" w:rsidRDefault="00F04F7A" w:rsidP="001D276C">
            <w:pPr>
              <w:pStyle w:val="pb-2"/>
              <w:jc w:val="both"/>
              <w:rPr>
                <w:color w:val="000000" w:themeColor="text1"/>
                <w:sz w:val="20"/>
                <w:szCs w:val="20"/>
              </w:rPr>
            </w:pPr>
            <w:r w:rsidRPr="00A268E4">
              <w:rPr>
                <w:color w:val="000000" w:themeColor="text1"/>
                <w:sz w:val="20"/>
                <w:szCs w:val="20"/>
              </w:rPr>
              <w:t>0.031</w:t>
            </w:r>
          </w:p>
        </w:tc>
        <w:tc>
          <w:tcPr>
            <w:tcW w:w="1530" w:type="dxa"/>
          </w:tcPr>
          <w:p w14:paraId="39072B59" w14:textId="539A1FA9" w:rsidR="00F04F7A" w:rsidRPr="00A268E4" w:rsidRDefault="00F04F7A" w:rsidP="001D276C">
            <w:pPr>
              <w:pStyle w:val="pb-2"/>
              <w:jc w:val="both"/>
              <w:rPr>
                <w:color w:val="000000" w:themeColor="text1"/>
                <w:sz w:val="20"/>
                <w:szCs w:val="20"/>
              </w:rPr>
            </w:pPr>
            <w:r w:rsidRPr="00A268E4">
              <w:rPr>
                <w:color w:val="000000" w:themeColor="text1"/>
                <w:sz w:val="20"/>
                <w:szCs w:val="20"/>
              </w:rPr>
              <w:t xml:space="preserve">-0.247 </w:t>
            </w:r>
          </w:p>
        </w:tc>
        <w:tc>
          <w:tcPr>
            <w:tcW w:w="1530" w:type="dxa"/>
          </w:tcPr>
          <w:p w14:paraId="6316C7FA" w14:textId="2758EB70" w:rsidR="00F04F7A" w:rsidRPr="00A268E4" w:rsidRDefault="00F04F7A" w:rsidP="001D276C">
            <w:pPr>
              <w:pStyle w:val="pb-2"/>
              <w:jc w:val="both"/>
              <w:rPr>
                <w:color w:val="000000" w:themeColor="text1"/>
                <w:sz w:val="20"/>
                <w:szCs w:val="20"/>
              </w:rPr>
            </w:pPr>
            <w:r w:rsidRPr="00A268E4">
              <w:rPr>
                <w:color w:val="000000" w:themeColor="text1"/>
                <w:sz w:val="20"/>
                <w:szCs w:val="20"/>
              </w:rPr>
              <w:t>0.105</w:t>
            </w:r>
          </w:p>
        </w:tc>
        <w:tc>
          <w:tcPr>
            <w:tcW w:w="1345" w:type="dxa"/>
          </w:tcPr>
          <w:p w14:paraId="7C02A911" w14:textId="72E5DEBB" w:rsidR="00F04F7A" w:rsidRPr="00A268E4" w:rsidRDefault="00F04F7A" w:rsidP="001D276C">
            <w:pPr>
              <w:pStyle w:val="pb-2"/>
              <w:jc w:val="both"/>
              <w:rPr>
                <w:color w:val="000000" w:themeColor="text1"/>
                <w:sz w:val="20"/>
                <w:szCs w:val="20"/>
              </w:rPr>
            </w:pPr>
            <w:r w:rsidRPr="00A268E4">
              <w:rPr>
                <w:color w:val="000000" w:themeColor="text1"/>
                <w:sz w:val="20"/>
                <w:szCs w:val="20"/>
              </w:rPr>
              <w:t>N=62</w:t>
            </w:r>
          </w:p>
        </w:tc>
      </w:tr>
      <w:tr w:rsidR="00FA7892" w:rsidRPr="007C525B" w14:paraId="3D7DE7E6" w14:textId="77777777" w:rsidTr="001D276C">
        <w:trPr>
          <w:trHeight w:val="105"/>
        </w:trPr>
        <w:tc>
          <w:tcPr>
            <w:tcW w:w="1705" w:type="dxa"/>
            <w:vMerge/>
          </w:tcPr>
          <w:p w14:paraId="61BB4DA2" w14:textId="77777777" w:rsidR="00FA7892" w:rsidRPr="00A268E4" w:rsidRDefault="00FA7892" w:rsidP="001D276C">
            <w:pPr>
              <w:pStyle w:val="pb-2"/>
              <w:jc w:val="both"/>
              <w:rPr>
                <w:color w:val="000000" w:themeColor="text1"/>
                <w:sz w:val="20"/>
                <w:szCs w:val="20"/>
              </w:rPr>
            </w:pPr>
          </w:p>
        </w:tc>
        <w:tc>
          <w:tcPr>
            <w:tcW w:w="1440" w:type="dxa"/>
          </w:tcPr>
          <w:p w14:paraId="699E375C" w14:textId="3F2171CD" w:rsidR="00FA7892" w:rsidRPr="00A268E4" w:rsidRDefault="00FA7892" w:rsidP="001D276C">
            <w:pPr>
              <w:pStyle w:val="pb-2"/>
              <w:jc w:val="both"/>
              <w:rPr>
                <w:color w:val="000000" w:themeColor="text1"/>
                <w:sz w:val="20"/>
                <w:szCs w:val="20"/>
              </w:rPr>
            </w:pPr>
            <w:r w:rsidRPr="00A268E4">
              <w:rPr>
                <w:color w:val="000000" w:themeColor="text1"/>
                <w:sz w:val="20"/>
                <w:szCs w:val="20"/>
              </w:rPr>
              <w:t>Among</w:t>
            </w:r>
          </w:p>
        </w:tc>
        <w:tc>
          <w:tcPr>
            <w:tcW w:w="1530" w:type="dxa"/>
          </w:tcPr>
          <w:p w14:paraId="75BEB9C2" w14:textId="3B779CD3" w:rsidR="00FA7892" w:rsidRPr="00A268E4" w:rsidRDefault="00FA7892" w:rsidP="001D276C">
            <w:pPr>
              <w:pStyle w:val="pb-2"/>
              <w:jc w:val="both"/>
              <w:rPr>
                <w:color w:val="000000" w:themeColor="text1"/>
                <w:sz w:val="20"/>
                <w:szCs w:val="20"/>
              </w:rPr>
            </w:pPr>
            <w:r w:rsidRPr="00A268E4">
              <w:rPr>
                <w:color w:val="000000" w:themeColor="text1"/>
                <w:sz w:val="20"/>
                <w:szCs w:val="20"/>
              </w:rPr>
              <w:t>-</w:t>
            </w:r>
          </w:p>
        </w:tc>
        <w:tc>
          <w:tcPr>
            <w:tcW w:w="1530" w:type="dxa"/>
          </w:tcPr>
          <w:p w14:paraId="30E9328D" w14:textId="7B2537F6" w:rsidR="00FA7892" w:rsidRPr="00A268E4" w:rsidRDefault="00FA7892" w:rsidP="001D276C">
            <w:pPr>
              <w:pStyle w:val="pb-2"/>
              <w:jc w:val="both"/>
              <w:rPr>
                <w:color w:val="000000" w:themeColor="text1"/>
                <w:sz w:val="20"/>
                <w:szCs w:val="20"/>
              </w:rPr>
            </w:pPr>
            <w:r w:rsidRPr="00A268E4">
              <w:rPr>
                <w:color w:val="000000" w:themeColor="text1"/>
                <w:sz w:val="20"/>
                <w:szCs w:val="20"/>
              </w:rPr>
              <w:t>0.02</w:t>
            </w:r>
            <w:r w:rsidR="00E72877" w:rsidRPr="00A268E4">
              <w:rPr>
                <w:color w:val="000000" w:themeColor="text1"/>
                <w:sz w:val="20"/>
                <w:szCs w:val="20"/>
              </w:rPr>
              <w:t>4</w:t>
            </w:r>
          </w:p>
        </w:tc>
        <w:tc>
          <w:tcPr>
            <w:tcW w:w="1530" w:type="dxa"/>
          </w:tcPr>
          <w:p w14:paraId="7D45146D" w14:textId="03B7FFE2" w:rsidR="00FA7892" w:rsidRPr="00A268E4" w:rsidRDefault="00FA7892" w:rsidP="001D276C">
            <w:pPr>
              <w:pStyle w:val="pb-2"/>
              <w:jc w:val="both"/>
              <w:rPr>
                <w:color w:val="000000" w:themeColor="text1"/>
                <w:sz w:val="20"/>
                <w:szCs w:val="20"/>
              </w:rPr>
            </w:pPr>
            <w:r w:rsidRPr="00A268E4">
              <w:rPr>
                <w:color w:val="000000" w:themeColor="text1"/>
                <w:sz w:val="20"/>
                <w:szCs w:val="20"/>
              </w:rPr>
              <w:t>-0.054</w:t>
            </w:r>
          </w:p>
        </w:tc>
        <w:tc>
          <w:tcPr>
            <w:tcW w:w="1530" w:type="dxa"/>
          </w:tcPr>
          <w:p w14:paraId="5E2D8531" w14:textId="650955AF" w:rsidR="00FA7892" w:rsidRPr="00A268E4" w:rsidRDefault="00FA7892" w:rsidP="001D276C">
            <w:pPr>
              <w:pStyle w:val="pb-2"/>
              <w:jc w:val="both"/>
              <w:rPr>
                <w:color w:val="000000" w:themeColor="text1"/>
                <w:sz w:val="20"/>
                <w:szCs w:val="20"/>
              </w:rPr>
            </w:pPr>
            <w:r w:rsidRPr="00A268E4">
              <w:rPr>
                <w:color w:val="000000" w:themeColor="text1"/>
                <w:sz w:val="20"/>
                <w:szCs w:val="20"/>
              </w:rPr>
              <w:t>0.064</w:t>
            </w:r>
          </w:p>
        </w:tc>
        <w:tc>
          <w:tcPr>
            <w:tcW w:w="1345" w:type="dxa"/>
          </w:tcPr>
          <w:p w14:paraId="135BA2B6" w14:textId="779EA2EB" w:rsidR="00FA7892" w:rsidRPr="00A268E4" w:rsidRDefault="00FA7892" w:rsidP="001D276C">
            <w:pPr>
              <w:pStyle w:val="pb-2"/>
              <w:jc w:val="both"/>
              <w:rPr>
                <w:color w:val="000000" w:themeColor="text1"/>
                <w:sz w:val="20"/>
                <w:szCs w:val="20"/>
              </w:rPr>
            </w:pPr>
            <w:r w:rsidRPr="00A268E4">
              <w:rPr>
                <w:color w:val="000000" w:themeColor="text1"/>
                <w:sz w:val="20"/>
                <w:szCs w:val="20"/>
              </w:rPr>
              <w:t>n=6</w:t>
            </w:r>
          </w:p>
        </w:tc>
      </w:tr>
      <w:tr w:rsidR="00E72877" w:rsidRPr="007C525B" w14:paraId="334CF596" w14:textId="77777777" w:rsidTr="001D276C">
        <w:trPr>
          <w:trHeight w:val="110"/>
        </w:trPr>
        <w:tc>
          <w:tcPr>
            <w:tcW w:w="1705" w:type="dxa"/>
            <w:vMerge/>
          </w:tcPr>
          <w:p w14:paraId="5513B8C9" w14:textId="77777777" w:rsidR="00E72877" w:rsidRPr="00A268E4" w:rsidRDefault="00E72877" w:rsidP="001D276C">
            <w:pPr>
              <w:pStyle w:val="pb-2"/>
              <w:jc w:val="both"/>
              <w:rPr>
                <w:color w:val="000000" w:themeColor="text1"/>
                <w:sz w:val="20"/>
                <w:szCs w:val="20"/>
              </w:rPr>
            </w:pPr>
          </w:p>
        </w:tc>
        <w:tc>
          <w:tcPr>
            <w:tcW w:w="1440" w:type="dxa"/>
          </w:tcPr>
          <w:p w14:paraId="70A4EA1B" w14:textId="0117A649" w:rsidR="00E72877" w:rsidRPr="00A268E4" w:rsidRDefault="00E72877" w:rsidP="001D276C">
            <w:pPr>
              <w:pStyle w:val="pb-2"/>
              <w:jc w:val="both"/>
              <w:rPr>
                <w:color w:val="000000" w:themeColor="text1"/>
                <w:sz w:val="20"/>
                <w:szCs w:val="20"/>
              </w:rPr>
            </w:pPr>
            <w:r w:rsidRPr="00A268E4">
              <w:rPr>
                <w:color w:val="000000" w:themeColor="text1"/>
                <w:sz w:val="20"/>
                <w:szCs w:val="20"/>
              </w:rPr>
              <w:t>Inside</w:t>
            </w:r>
          </w:p>
        </w:tc>
        <w:tc>
          <w:tcPr>
            <w:tcW w:w="1530" w:type="dxa"/>
          </w:tcPr>
          <w:p w14:paraId="01B60E04" w14:textId="76C81C52" w:rsidR="00E72877" w:rsidRPr="00A268E4" w:rsidRDefault="00E72877" w:rsidP="001D276C">
            <w:pPr>
              <w:pStyle w:val="pb-2"/>
              <w:jc w:val="both"/>
              <w:rPr>
                <w:color w:val="000000" w:themeColor="text1"/>
                <w:sz w:val="20"/>
                <w:szCs w:val="20"/>
              </w:rPr>
            </w:pPr>
            <w:r w:rsidRPr="00A268E4">
              <w:rPr>
                <w:color w:val="000000" w:themeColor="text1"/>
                <w:sz w:val="20"/>
                <w:szCs w:val="20"/>
              </w:rPr>
              <w:t>-</w:t>
            </w:r>
          </w:p>
        </w:tc>
        <w:tc>
          <w:tcPr>
            <w:tcW w:w="1530" w:type="dxa"/>
          </w:tcPr>
          <w:p w14:paraId="40445AD6" w14:textId="5C565949" w:rsidR="00E72877" w:rsidRPr="00A268E4" w:rsidRDefault="00E72877" w:rsidP="001D276C">
            <w:pPr>
              <w:pStyle w:val="pb-2"/>
              <w:jc w:val="both"/>
              <w:rPr>
                <w:color w:val="000000" w:themeColor="text1"/>
                <w:sz w:val="20"/>
                <w:szCs w:val="20"/>
              </w:rPr>
            </w:pPr>
            <w:r w:rsidRPr="00A268E4">
              <w:rPr>
                <w:color w:val="000000" w:themeColor="text1"/>
                <w:sz w:val="20"/>
                <w:szCs w:val="20"/>
              </w:rPr>
              <w:t>0.021</w:t>
            </w:r>
          </w:p>
        </w:tc>
        <w:tc>
          <w:tcPr>
            <w:tcW w:w="1530" w:type="dxa"/>
          </w:tcPr>
          <w:p w14:paraId="195DA41B" w14:textId="006E8277" w:rsidR="00E72877" w:rsidRPr="00A268E4" w:rsidRDefault="00E72877" w:rsidP="001D276C">
            <w:pPr>
              <w:pStyle w:val="pb-2"/>
              <w:jc w:val="both"/>
              <w:rPr>
                <w:color w:val="000000" w:themeColor="text1"/>
                <w:sz w:val="20"/>
                <w:szCs w:val="20"/>
              </w:rPr>
            </w:pPr>
            <w:r w:rsidRPr="00A268E4">
              <w:rPr>
                <w:color w:val="000000" w:themeColor="text1"/>
                <w:sz w:val="20"/>
                <w:szCs w:val="20"/>
              </w:rPr>
              <w:t>-0.1689</w:t>
            </w:r>
          </w:p>
        </w:tc>
        <w:tc>
          <w:tcPr>
            <w:tcW w:w="1530" w:type="dxa"/>
          </w:tcPr>
          <w:p w14:paraId="386D5A8E" w14:textId="52CD276E" w:rsidR="00E72877" w:rsidRPr="00A268E4" w:rsidRDefault="00E72877" w:rsidP="001D276C">
            <w:pPr>
              <w:pStyle w:val="pb-2"/>
              <w:jc w:val="both"/>
              <w:rPr>
                <w:color w:val="000000" w:themeColor="text1"/>
                <w:sz w:val="20"/>
                <w:szCs w:val="20"/>
              </w:rPr>
            </w:pPr>
            <w:r w:rsidRPr="00A268E4">
              <w:rPr>
                <w:color w:val="000000" w:themeColor="text1"/>
                <w:sz w:val="20"/>
                <w:szCs w:val="20"/>
              </w:rPr>
              <w:t>0.093</w:t>
            </w:r>
          </w:p>
        </w:tc>
        <w:tc>
          <w:tcPr>
            <w:tcW w:w="1345" w:type="dxa"/>
          </w:tcPr>
          <w:p w14:paraId="5637BCA5" w14:textId="1BDCFC4C" w:rsidR="00E72877" w:rsidRPr="00A268E4" w:rsidRDefault="00E72877" w:rsidP="001D276C">
            <w:pPr>
              <w:pStyle w:val="pb-2"/>
              <w:jc w:val="both"/>
              <w:rPr>
                <w:color w:val="000000" w:themeColor="text1"/>
                <w:sz w:val="20"/>
                <w:szCs w:val="20"/>
              </w:rPr>
            </w:pPr>
            <w:r w:rsidRPr="00A268E4">
              <w:rPr>
                <w:color w:val="000000" w:themeColor="text1"/>
                <w:sz w:val="20"/>
                <w:szCs w:val="20"/>
              </w:rPr>
              <w:t>T=12</w:t>
            </w:r>
          </w:p>
        </w:tc>
      </w:tr>
      <w:tr w:rsidR="00667F05" w:rsidRPr="007C525B" w14:paraId="37D28F8C" w14:textId="77777777" w:rsidTr="001D276C">
        <w:trPr>
          <w:trHeight w:val="90"/>
        </w:trPr>
        <w:tc>
          <w:tcPr>
            <w:tcW w:w="1705" w:type="dxa"/>
            <w:vMerge w:val="restart"/>
          </w:tcPr>
          <w:p w14:paraId="2C1F9412" w14:textId="57145282" w:rsidR="00667F05" w:rsidRPr="00A268E4" w:rsidRDefault="00667F05" w:rsidP="001D276C">
            <w:pPr>
              <w:pStyle w:val="pb-2"/>
              <w:jc w:val="both"/>
              <w:rPr>
                <w:color w:val="000000" w:themeColor="text1"/>
                <w:sz w:val="20"/>
                <w:szCs w:val="20"/>
              </w:rPr>
            </w:pPr>
            <w:r w:rsidRPr="00A268E4">
              <w:rPr>
                <w:color w:val="000000" w:themeColor="text1"/>
                <w:sz w:val="20"/>
                <w:szCs w:val="20"/>
              </w:rPr>
              <w:t>ROE</w:t>
            </w:r>
          </w:p>
        </w:tc>
        <w:tc>
          <w:tcPr>
            <w:tcW w:w="1440" w:type="dxa"/>
          </w:tcPr>
          <w:p w14:paraId="52804211" w14:textId="0352E5B6" w:rsidR="00667F05" w:rsidRPr="00A268E4" w:rsidRDefault="00667F05" w:rsidP="001D276C">
            <w:pPr>
              <w:pStyle w:val="pb-2"/>
              <w:jc w:val="both"/>
              <w:rPr>
                <w:color w:val="000000" w:themeColor="text1"/>
                <w:sz w:val="20"/>
                <w:szCs w:val="20"/>
              </w:rPr>
            </w:pPr>
            <w:r w:rsidRPr="00A268E4">
              <w:rPr>
                <w:color w:val="000000" w:themeColor="text1"/>
                <w:sz w:val="20"/>
                <w:szCs w:val="20"/>
              </w:rPr>
              <w:t>Total</w:t>
            </w:r>
          </w:p>
        </w:tc>
        <w:tc>
          <w:tcPr>
            <w:tcW w:w="1530" w:type="dxa"/>
          </w:tcPr>
          <w:p w14:paraId="4EC13285" w14:textId="391E82F2" w:rsidR="00667F05" w:rsidRPr="00A268E4" w:rsidRDefault="00667F05" w:rsidP="001D276C">
            <w:pPr>
              <w:pStyle w:val="pb-2"/>
              <w:jc w:val="both"/>
              <w:rPr>
                <w:color w:val="000000" w:themeColor="text1"/>
                <w:sz w:val="20"/>
                <w:szCs w:val="20"/>
              </w:rPr>
            </w:pPr>
            <w:r w:rsidRPr="00A268E4">
              <w:rPr>
                <w:color w:val="000000" w:themeColor="text1"/>
                <w:sz w:val="20"/>
                <w:szCs w:val="20"/>
              </w:rPr>
              <w:t>0.151</w:t>
            </w:r>
          </w:p>
        </w:tc>
        <w:tc>
          <w:tcPr>
            <w:tcW w:w="1530" w:type="dxa"/>
          </w:tcPr>
          <w:p w14:paraId="1D73639D" w14:textId="69DC842C" w:rsidR="00667F05" w:rsidRPr="00A268E4" w:rsidRDefault="00667F05" w:rsidP="001D276C">
            <w:pPr>
              <w:pStyle w:val="pb-2"/>
              <w:jc w:val="both"/>
              <w:rPr>
                <w:color w:val="000000" w:themeColor="text1"/>
                <w:sz w:val="20"/>
                <w:szCs w:val="20"/>
              </w:rPr>
            </w:pPr>
            <w:r w:rsidRPr="00A268E4">
              <w:rPr>
                <w:color w:val="000000" w:themeColor="text1"/>
                <w:sz w:val="20"/>
                <w:szCs w:val="20"/>
              </w:rPr>
              <w:t>0.252</w:t>
            </w:r>
          </w:p>
        </w:tc>
        <w:tc>
          <w:tcPr>
            <w:tcW w:w="1530" w:type="dxa"/>
          </w:tcPr>
          <w:p w14:paraId="6EC144EA" w14:textId="6C45E940" w:rsidR="00667F05" w:rsidRPr="00A268E4" w:rsidRDefault="00667F05" w:rsidP="001D276C">
            <w:pPr>
              <w:pStyle w:val="pb-2"/>
              <w:jc w:val="both"/>
              <w:rPr>
                <w:color w:val="000000" w:themeColor="text1"/>
                <w:sz w:val="20"/>
                <w:szCs w:val="20"/>
              </w:rPr>
            </w:pPr>
            <w:r w:rsidRPr="00A268E4">
              <w:rPr>
                <w:color w:val="000000" w:themeColor="text1"/>
                <w:sz w:val="20"/>
                <w:szCs w:val="20"/>
              </w:rPr>
              <w:t>-2.878</w:t>
            </w:r>
          </w:p>
        </w:tc>
        <w:tc>
          <w:tcPr>
            <w:tcW w:w="1530" w:type="dxa"/>
          </w:tcPr>
          <w:p w14:paraId="077DBEC5" w14:textId="0825BE4E" w:rsidR="00667F05" w:rsidRPr="00A268E4" w:rsidRDefault="00667F05" w:rsidP="001D276C">
            <w:pPr>
              <w:pStyle w:val="pb-2"/>
              <w:jc w:val="both"/>
              <w:rPr>
                <w:color w:val="000000" w:themeColor="text1"/>
                <w:sz w:val="20"/>
                <w:szCs w:val="20"/>
              </w:rPr>
            </w:pPr>
            <w:r w:rsidRPr="00A268E4">
              <w:rPr>
                <w:color w:val="000000" w:themeColor="text1"/>
                <w:sz w:val="20"/>
                <w:szCs w:val="20"/>
              </w:rPr>
              <w:t>0.823</w:t>
            </w:r>
          </w:p>
        </w:tc>
        <w:tc>
          <w:tcPr>
            <w:tcW w:w="1345" w:type="dxa"/>
          </w:tcPr>
          <w:p w14:paraId="7E0C457C" w14:textId="07C7AAE2" w:rsidR="00667F05" w:rsidRPr="00A268E4" w:rsidRDefault="00667F05" w:rsidP="001D276C">
            <w:pPr>
              <w:pStyle w:val="pb-2"/>
              <w:jc w:val="both"/>
              <w:rPr>
                <w:color w:val="000000" w:themeColor="text1"/>
                <w:sz w:val="20"/>
                <w:szCs w:val="20"/>
              </w:rPr>
            </w:pPr>
            <w:r w:rsidRPr="00A268E4">
              <w:rPr>
                <w:color w:val="000000" w:themeColor="text1"/>
                <w:sz w:val="20"/>
                <w:szCs w:val="20"/>
              </w:rPr>
              <w:t>N=62</w:t>
            </w:r>
          </w:p>
        </w:tc>
      </w:tr>
      <w:tr w:rsidR="00DD15EE" w:rsidRPr="007C525B" w14:paraId="707D0A02" w14:textId="77777777" w:rsidTr="001D276C">
        <w:trPr>
          <w:trHeight w:val="105"/>
        </w:trPr>
        <w:tc>
          <w:tcPr>
            <w:tcW w:w="1705" w:type="dxa"/>
            <w:vMerge/>
          </w:tcPr>
          <w:p w14:paraId="5A15B78D" w14:textId="77777777" w:rsidR="00DD15EE" w:rsidRPr="00A268E4" w:rsidRDefault="00DD15EE" w:rsidP="001D276C">
            <w:pPr>
              <w:pStyle w:val="pb-2"/>
              <w:jc w:val="both"/>
              <w:rPr>
                <w:color w:val="000000" w:themeColor="text1"/>
                <w:sz w:val="20"/>
                <w:szCs w:val="20"/>
              </w:rPr>
            </w:pPr>
          </w:p>
        </w:tc>
        <w:tc>
          <w:tcPr>
            <w:tcW w:w="1440" w:type="dxa"/>
          </w:tcPr>
          <w:p w14:paraId="0E2F82CE" w14:textId="1E432A86" w:rsidR="00DD15EE" w:rsidRPr="00A268E4" w:rsidRDefault="00DD15EE" w:rsidP="001D276C">
            <w:pPr>
              <w:pStyle w:val="pb-2"/>
              <w:jc w:val="both"/>
              <w:rPr>
                <w:color w:val="000000" w:themeColor="text1"/>
                <w:sz w:val="20"/>
                <w:szCs w:val="20"/>
              </w:rPr>
            </w:pPr>
            <w:r w:rsidRPr="00A268E4">
              <w:rPr>
                <w:color w:val="000000" w:themeColor="text1"/>
                <w:sz w:val="20"/>
                <w:szCs w:val="20"/>
              </w:rPr>
              <w:t>Among</w:t>
            </w:r>
          </w:p>
        </w:tc>
        <w:tc>
          <w:tcPr>
            <w:tcW w:w="1530" w:type="dxa"/>
          </w:tcPr>
          <w:p w14:paraId="4FB9BF80" w14:textId="77777777" w:rsidR="00DD15EE" w:rsidRPr="00A268E4" w:rsidRDefault="00DD15EE" w:rsidP="001D276C">
            <w:pPr>
              <w:pStyle w:val="pb-2"/>
              <w:jc w:val="both"/>
              <w:rPr>
                <w:color w:val="000000" w:themeColor="text1"/>
                <w:sz w:val="20"/>
                <w:szCs w:val="20"/>
              </w:rPr>
            </w:pPr>
          </w:p>
        </w:tc>
        <w:tc>
          <w:tcPr>
            <w:tcW w:w="1530" w:type="dxa"/>
          </w:tcPr>
          <w:p w14:paraId="23F460DA" w14:textId="7F06B3C9" w:rsidR="00DD15EE" w:rsidRPr="00A268E4" w:rsidRDefault="00DD15EE" w:rsidP="001D276C">
            <w:pPr>
              <w:pStyle w:val="pb-2"/>
              <w:jc w:val="both"/>
              <w:rPr>
                <w:color w:val="000000" w:themeColor="text1"/>
                <w:sz w:val="20"/>
                <w:szCs w:val="20"/>
              </w:rPr>
            </w:pPr>
            <w:r w:rsidRPr="00A268E4">
              <w:rPr>
                <w:color w:val="000000" w:themeColor="text1"/>
                <w:sz w:val="20"/>
                <w:szCs w:val="20"/>
              </w:rPr>
              <w:t>0.143</w:t>
            </w:r>
          </w:p>
        </w:tc>
        <w:tc>
          <w:tcPr>
            <w:tcW w:w="1530" w:type="dxa"/>
          </w:tcPr>
          <w:p w14:paraId="71344C61" w14:textId="30950DAA" w:rsidR="00DD15EE" w:rsidRPr="00A268E4" w:rsidRDefault="00DD15EE" w:rsidP="001D276C">
            <w:pPr>
              <w:pStyle w:val="pb-2"/>
              <w:jc w:val="both"/>
              <w:rPr>
                <w:color w:val="000000" w:themeColor="text1"/>
                <w:sz w:val="20"/>
                <w:szCs w:val="20"/>
              </w:rPr>
            </w:pPr>
            <w:r w:rsidRPr="00A268E4">
              <w:rPr>
                <w:color w:val="000000" w:themeColor="text1"/>
                <w:sz w:val="20"/>
                <w:szCs w:val="20"/>
              </w:rPr>
              <w:t>-0.279</w:t>
            </w:r>
          </w:p>
        </w:tc>
        <w:tc>
          <w:tcPr>
            <w:tcW w:w="1530" w:type="dxa"/>
          </w:tcPr>
          <w:p w14:paraId="7E63267C" w14:textId="0AC00450" w:rsidR="00DD15EE" w:rsidRPr="00A268E4" w:rsidRDefault="00DD15EE" w:rsidP="001D276C">
            <w:pPr>
              <w:pStyle w:val="pb-2"/>
              <w:jc w:val="both"/>
              <w:rPr>
                <w:color w:val="000000" w:themeColor="text1"/>
                <w:sz w:val="20"/>
                <w:szCs w:val="20"/>
              </w:rPr>
            </w:pPr>
            <w:r w:rsidRPr="00A268E4">
              <w:rPr>
                <w:color w:val="000000" w:themeColor="text1"/>
                <w:sz w:val="20"/>
                <w:szCs w:val="20"/>
              </w:rPr>
              <w:t>0.357</w:t>
            </w:r>
          </w:p>
        </w:tc>
        <w:tc>
          <w:tcPr>
            <w:tcW w:w="1345" w:type="dxa"/>
          </w:tcPr>
          <w:p w14:paraId="3CC86FFD" w14:textId="11F34738" w:rsidR="00DD15EE" w:rsidRPr="00A268E4" w:rsidRDefault="00DD15EE" w:rsidP="001D276C">
            <w:pPr>
              <w:pStyle w:val="pb-2"/>
              <w:jc w:val="both"/>
              <w:rPr>
                <w:color w:val="000000" w:themeColor="text1"/>
                <w:sz w:val="20"/>
                <w:szCs w:val="20"/>
              </w:rPr>
            </w:pPr>
            <w:r w:rsidRPr="00A268E4">
              <w:rPr>
                <w:color w:val="000000" w:themeColor="text1"/>
                <w:sz w:val="20"/>
                <w:szCs w:val="20"/>
              </w:rPr>
              <w:t>n=6</w:t>
            </w:r>
          </w:p>
        </w:tc>
      </w:tr>
      <w:tr w:rsidR="009D3BC6" w:rsidRPr="007C525B" w14:paraId="1BE68DCC" w14:textId="77777777" w:rsidTr="001D276C">
        <w:trPr>
          <w:trHeight w:val="110"/>
        </w:trPr>
        <w:tc>
          <w:tcPr>
            <w:tcW w:w="1705" w:type="dxa"/>
            <w:vMerge/>
          </w:tcPr>
          <w:p w14:paraId="3283E088" w14:textId="77777777" w:rsidR="009D3BC6" w:rsidRPr="00A268E4" w:rsidRDefault="009D3BC6" w:rsidP="001D276C">
            <w:pPr>
              <w:pStyle w:val="pb-2"/>
              <w:jc w:val="both"/>
              <w:rPr>
                <w:color w:val="000000" w:themeColor="text1"/>
                <w:sz w:val="20"/>
                <w:szCs w:val="20"/>
              </w:rPr>
            </w:pPr>
          </w:p>
        </w:tc>
        <w:tc>
          <w:tcPr>
            <w:tcW w:w="1440" w:type="dxa"/>
          </w:tcPr>
          <w:p w14:paraId="08498BD0" w14:textId="11C30686" w:rsidR="009D3BC6" w:rsidRPr="00A268E4" w:rsidRDefault="009D3BC6" w:rsidP="001D276C">
            <w:pPr>
              <w:pStyle w:val="pb-2"/>
              <w:jc w:val="both"/>
              <w:rPr>
                <w:color w:val="000000" w:themeColor="text1"/>
                <w:sz w:val="20"/>
                <w:szCs w:val="20"/>
              </w:rPr>
            </w:pPr>
            <w:r w:rsidRPr="00A268E4">
              <w:rPr>
                <w:color w:val="000000" w:themeColor="text1"/>
                <w:sz w:val="20"/>
                <w:szCs w:val="20"/>
              </w:rPr>
              <w:t>Inside</w:t>
            </w:r>
          </w:p>
        </w:tc>
        <w:tc>
          <w:tcPr>
            <w:tcW w:w="1530" w:type="dxa"/>
          </w:tcPr>
          <w:p w14:paraId="08856C34" w14:textId="77777777" w:rsidR="009D3BC6" w:rsidRPr="00A268E4" w:rsidRDefault="009D3BC6" w:rsidP="001D276C">
            <w:pPr>
              <w:pStyle w:val="pb-2"/>
              <w:jc w:val="both"/>
              <w:rPr>
                <w:color w:val="000000" w:themeColor="text1"/>
                <w:sz w:val="20"/>
                <w:szCs w:val="20"/>
              </w:rPr>
            </w:pPr>
          </w:p>
        </w:tc>
        <w:tc>
          <w:tcPr>
            <w:tcW w:w="1530" w:type="dxa"/>
          </w:tcPr>
          <w:p w14:paraId="0194BEDE" w14:textId="2CD1FDD9" w:rsidR="009D3BC6" w:rsidRPr="00A268E4" w:rsidRDefault="009D3BC6" w:rsidP="001D276C">
            <w:pPr>
              <w:pStyle w:val="pb-2"/>
              <w:jc w:val="both"/>
              <w:rPr>
                <w:color w:val="000000" w:themeColor="text1"/>
                <w:sz w:val="20"/>
                <w:szCs w:val="20"/>
              </w:rPr>
            </w:pPr>
            <w:r w:rsidRPr="00A268E4">
              <w:rPr>
                <w:color w:val="000000" w:themeColor="text1"/>
                <w:sz w:val="20"/>
                <w:szCs w:val="20"/>
              </w:rPr>
              <w:t>0.209</w:t>
            </w:r>
          </w:p>
        </w:tc>
        <w:tc>
          <w:tcPr>
            <w:tcW w:w="1530" w:type="dxa"/>
          </w:tcPr>
          <w:p w14:paraId="426AF210" w14:textId="0F45210F" w:rsidR="009D3BC6" w:rsidRPr="00A268E4" w:rsidRDefault="009D3BC6" w:rsidP="001D276C">
            <w:pPr>
              <w:pStyle w:val="pb-2"/>
              <w:jc w:val="both"/>
              <w:rPr>
                <w:color w:val="000000" w:themeColor="text1"/>
                <w:sz w:val="20"/>
                <w:szCs w:val="20"/>
              </w:rPr>
            </w:pPr>
            <w:r w:rsidRPr="00A268E4">
              <w:rPr>
                <w:color w:val="000000" w:themeColor="text1"/>
                <w:sz w:val="20"/>
                <w:szCs w:val="20"/>
              </w:rPr>
              <w:t>-2.440</w:t>
            </w:r>
          </w:p>
        </w:tc>
        <w:tc>
          <w:tcPr>
            <w:tcW w:w="1530" w:type="dxa"/>
          </w:tcPr>
          <w:p w14:paraId="1BD5181F" w14:textId="66D5131E" w:rsidR="009D3BC6" w:rsidRPr="00A268E4" w:rsidRDefault="009D3BC6" w:rsidP="001D276C">
            <w:pPr>
              <w:pStyle w:val="pb-2"/>
              <w:jc w:val="both"/>
              <w:rPr>
                <w:color w:val="000000" w:themeColor="text1"/>
                <w:sz w:val="20"/>
                <w:szCs w:val="20"/>
              </w:rPr>
            </w:pPr>
            <w:r w:rsidRPr="00A268E4">
              <w:rPr>
                <w:color w:val="000000" w:themeColor="text1"/>
                <w:sz w:val="20"/>
                <w:szCs w:val="20"/>
              </w:rPr>
              <w:t>1.079</w:t>
            </w:r>
          </w:p>
        </w:tc>
        <w:tc>
          <w:tcPr>
            <w:tcW w:w="1345" w:type="dxa"/>
          </w:tcPr>
          <w:p w14:paraId="590B2711" w14:textId="3CFFDBC7" w:rsidR="009D3BC6" w:rsidRPr="00A268E4" w:rsidRDefault="009D3BC6" w:rsidP="001D276C">
            <w:pPr>
              <w:pStyle w:val="pb-2"/>
              <w:jc w:val="both"/>
              <w:rPr>
                <w:color w:val="000000" w:themeColor="text1"/>
                <w:sz w:val="20"/>
                <w:szCs w:val="20"/>
              </w:rPr>
            </w:pPr>
            <w:r w:rsidRPr="00A268E4">
              <w:rPr>
                <w:color w:val="000000" w:themeColor="text1"/>
                <w:sz w:val="20"/>
                <w:szCs w:val="20"/>
              </w:rPr>
              <w:t>T=12</w:t>
            </w:r>
          </w:p>
        </w:tc>
      </w:tr>
    </w:tbl>
    <w:p w14:paraId="14AF39D5" w14:textId="77777777" w:rsidR="00FB3B9A" w:rsidRDefault="00FB3B9A" w:rsidP="00FB3B9A">
      <w:pPr>
        <w:adjustRightInd w:val="0"/>
        <w:contextualSpacing/>
        <w:rPr>
          <w:b/>
          <w:bCs/>
          <w:sz w:val="24"/>
          <w:szCs w:val="24"/>
        </w:rPr>
      </w:pPr>
    </w:p>
    <w:p w14:paraId="0EC924A3" w14:textId="77777777" w:rsidR="00655CF7" w:rsidRDefault="00FB3B9A" w:rsidP="00655CF7">
      <w:pPr>
        <w:adjustRightInd w:val="0"/>
        <w:contextualSpacing/>
        <w:rPr>
          <w:b/>
          <w:bCs/>
          <w:sz w:val="24"/>
          <w:szCs w:val="24"/>
        </w:rPr>
      </w:pPr>
      <w:r w:rsidRPr="00FB3B9A">
        <w:rPr>
          <w:b/>
          <w:bCs/>
          <w:sz w:val="24"/>
          <w:szCs w:val="24"/>
        </w:rPr>
        <w:t xml:space="preserve">4.2 </w:t>
      </w:r>
      <w:r w:rsidR="00FC47EB" w:rsidRPr="00FB3B9A">
        <w:rPr>
          <w:b/>
          <w:bCs/>
          <w:sz w:val="24"/>
          <w:szCs w:val="24"/>
        </w:rPr>
        <w:t>Inferential Statistics</w:t>
      </w:r>
      <w:r w:rsidR="001676EB" w:rsidRPr="00FB3B9A">
        <w:rPr>
          <w:b/>
          <w:bCs/>
          <w:sz w:val="24"/>
          <w:szCs w:val="24"/>
        </w:rPr>
        <w:t xml:space="preserve"> </w:t>
      </w:r>
      <w:r w:rsidR="00FC47EB" w:rsidRPr="00FB3B9A">
        <w:rPr>
          <w:b/>
          <w:bCs/>
          <w:sz w:val="24"/>
          <w:szCs w:val="24"/>
        </w:rPr>
        <w:t xml:space="preserve">Correlation Analysis </w:t>
      </w:r>
    </w:p>
    <w:p w14:paraId="30D43345" w14:textId="77777777" w:rsidR="00CF0A71" w:rsidRDefault="00E72D3A" w:rsidP="00CF0A71">
      <w:pPr>
        <w:adjustRightInd w:val="0"/>
        <w:contextualSpacing/>
        <w:jc w:val="both"/>
        <w:rPr>
          <w:sz w:val="24"/>
          <w:szCs w:val="24"/>
        </w:rPr>
      </w:pPr>
      <w:r w:rsidRPr="00655CF7">
        <w:rPr>
          <w:sz w:val="24"/>
          <w:szCs w:val="24"/>
        </w:rPr>
        <w:t>Using Pearson R correlation, the level, and direction of the linear relationship between the variables were determined. The study considered the association to be small if ±0.1 &lt;r&lt; ±0.29; medium if ±0.3 &lt;r&lt; ±0.49; and strong if r&gt; ±0.5. A summary of the results is presented in Table 2.</w:t>
      </w:r>
    </w:p>
    <w:p w14:paraId="6DCEB5AE" w14:textId="77777777" w:rsidR="00CF0A71" w:rsidRDefault="00CF0A71" w:rsidP="00CF0A71">
      <w:pPr>
        <w:adjustRightInd w:val="0"/>
        <w:contextualSpacing/>
        <w:jc w:val="both"/>
        <w:rPr>
          <w:sz w:val="24"/>
          <w:szCs w:val="24"/>
        </w:rPr>
      </w:pPr>
    </w:p>
    <w:p w14:paraId="18FBE117" w14:textId="2E1CC115" w:rsidR="001F3DFF" w:rsidRPr="00CF0A71" w:rsidRDefault="001676EB" w:rsidP="00CF0A71">
      <w:pPr>
        <w:adjustRightInd w:val="0"/>
        <w:contextualSpacing/>
        <w:jc w:val="both"/>
        <w:rPr>
          <w:b/>
          <w:bCs/>
          <w:sz w:val="32"/>
          <w:szCs w:val="32"/>
        </w:rPr>
      </w:pPr>
      <w:r w:rsidRPr="00CF0A71">
        <w:rPr>
          <w:b/>
          <w:bCs/>
          <w:sz w:val="24"/>
          <w:szCs w:val="24"/>
        </w:rPr>
        <w:t xml:space="preserve">Table 2: </w:t>
      </w:r>
      <w:r w:rsidRPr="000D1203">
        <w:rPr>
          <w:sz w:val="24"/>
          <w:szCs w:val="24"/>
        </w:rPr>
        <w:t>Correlation Analysis of Pearson</w:t>
      </w:r>
      <w:r w:rsidRPr="00CF0A71">
        <w:rPr>
          <w:b/>
          <w:bCs/>
          <w:sz w:val="24"/>
          <w:szCs w:val="24"/>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2306"/>
        <w:gridCol w:w="1976"/>
        <w:gridCol w:w="1820"/>
        <w:gridCol w:w="1491"/>
        <w:gridCol w:w="2487"/>
      </w:tblGrid>
      <w:tr w:rsidR="00BE45FC" w:rsidRPr="007C525B" w14:paraId="26D3C51E" w14:textId="77777777" w:rsidTr="00C6580E">
        <w:tc>
          <w:tcPr>
            <w:tcW w:w="2425" w:type="dxa"/>
            <w:tcBorders>
              <w:top w:val="single" w:sz="4" w:space="0" w:color="auto"/>
              <w:bottom w:val="single" w:sz="4" w:space="0" w:color="auto"/>
            </w:tcBorders>
          </w:tcPr>
          <w:p w14:paraId="4775A2C1" w14:textId="086C9737" w:rsidR="00BE45FC" w:rsidRPr="00A268E4" w:rsidRDefault="00BE45FC" w:rsidP="000F0BD5">
            <w:pPr>
              <w:pStyle w:val="pb-2"/>
              <w:jc w:val="both"/>
              <w:rPr>
                <w:b/>
                <w:bCs/>
                <w:color w:val="000000" w:themeColor="text1"/>
                <w:sz w:val="20"/>
                <w:szCs w:val="20"/>
              </w:rPr>
            </w:pPr>
            <w:r w:rsidRPr="00A268E4">
              <w:rPr>
                <w:b/>
                <w:bCs/>
                <w:color w:val="000000" w:themeColor="text1"/>
                <w:sz w:val="20"/>
                <w:szCs w:val="20"/>
              </w:rPr>
              <w:t>Variables</w:t>
            </w:r>
          </w:p>
        </w:tc>
        <w:tc>
          <w:tcPr>
            <w:tcW w:w="2070" w:type="dxa"/>
            <w:tcBorders>
              <w:top w:val="single" w:sz="4" w:space="0" w:color="auto"/>
              <w:bottom w:val="single" w:sz="4" w:space="0" w:color="auto"/>
            </w:tcBorders>
          </w:tcPr>
          <w:p w14:paraId="06F1A979" w14:textId="2BAC4722" w:rsidR="00BE45FC" w:rsidRPr="00A268E4" w:rsidRDefault="00BE45FC" w:rsidP="000F0BD5">
            <w:pPr>
              <w:pStyle w:val="pb-2"/>
              <w:jc w:val="both"/>
              <w:rPr>
                <w:b/>
                <w:bCs/>
                <w:color w:val="000000" w:themeColor="text1"/>
                <w:sz w:val="20"/>
                <w:szCs w:val="20"/>
              </w:rPr>
            </w:pPr>
            <w:r w:rsidRPr="00A268E4">
              <w:rPr>
                <w:b/>
                <w:bCs/>
                <w:color w:val="000000" w:themeColor="text1"/>
                <w:sz w:val="20"/>
                <w:szCs w:val="20"/>
              </w:rPr>
              <w:t>Classified</w:t>
            </w:r>
          </w:p>
        </w:tc>
        <w:tc>
          <w:tcPr>
            <w:tcW w:w="1875" w:type="dxa"/>
            <w:tcBorders>
              <w:top w:val="single" w:sz="4" w:space="0" w:color="auto"/>
              <w:bottom w:val="single" w:sz="4" w:space="0" w:color="auto"/>
            </w:tcBorders>
          </w:tcPr>
          <w:p w14:paraId="7FFF34E2" w14:textId="4EFB2EC8" w:rsidR="00BE45FC" w:rsidRPr="00A268E4" w:rsidRDefault="00BE45FC" w:rsidP="000F0BD5">
            <w:pPr>
              <w:pStyle w:val="pb-2"/>
              <w:jc w:val="both"/>
              <w:rPr>
                <w:b/>
                <w:bCs/>
                <w:color w:val="000000" w:themeColor="text1"/>
                <w:sz w:val="20"/>
                <w:szCs w:val="20"/>
              </w:rPr>
            </w:pPr>
            <w:r w:rsidRPr="00A268E4">
              <w:rPr>
                <w:b/>
                <w:bCs/>
                <w:color w:val="000000" w:themeColor="text1"/>
                <w:sz w:val="20"/>
                <w:szCs w:val="20"/>
              </w:rPr>
              <w:t>IBs Performance</w:t>
            </w:r>
          </w:p>
        </w:tc>
        <w:tc>
          <w:tcPr>
            <w:tcW w:w="1587" w:type="dxa"/>
            <w:tcBorders>
              <w:top w:val="single" w:sz="4" w:space="0" w:color="auto"/>
              <w:bottom w:val="single" w:sz="4" w:space="0" w:color="auto"/>
            </w:tcBorders>
          </w:tcPr>
          <w:p w14:paraId="6807EFB1" w14:textId="2EB538F6" w:rsidR="00BE45FC" w:rsidRPr="00A268E4" w:rsidRDefault="00BE45FC" w:rsidP="00BE45FC">
            <w:pPr>
              <w:pStyle w:val="pb-2"/>
              <w:jc w:val="both"/>
              <w:rPr>
                <w:b/>
                <w:bCs/>
                <w:color w:val="000000" w:themeColor="text1"/>
                <w:sz w:val="20"/>
                <w:szCs w:val="20"/>
              </w:rPr>
            </w:pPr>
            <w:r w:rsidRPr="00A268E4">
              <w:rPr>
                <w:b/>
                <w:bCs/>
                <w:color w:val="000000" w:themeColor="text1"/>
                <w:sz w:val="20"/>
                <w:szCs w:val="20"/>
              </w:rPr>
              <w:t>Riba</w:t>
            </w:r>
          </w:p>
        </w:tc>
        <w:tc>
          <w:tcPr>
            <w:tcW w:w="2653" w:type="dxa"/>
            <w:tcBorders>
              <w:top w:val="single" w:sz="4" w:space="0" w:color="auto"/>
              <w:bottom w:val="single" w:sz="4" w:space="0" w:color="auto"/>
            </w:tcBorders>
          </w:tcPr>
          <w:p w14:paraId="7C9CCF90" w14:textId="0B9B8347" w:rsidR="00BE45FC" w:rsidRPr="00A268E4" w:rsidRDefault="00BE45FC" w:rsidP="000F0BD5">
            <w:pPr>
              <w:pStyle w:val="pb-2"/>
              <w:jc w:val="both"/>
              <w:rPr>
                <w:b/>
                <w:bCs/>
                <w:color w:val="000000" w:themeColor="text1"/>
                <w:sz w:val="20"/>
                <w:szCs w:val="20"/>
              </w:rPr>
            </w:pPr>
            <w:r w:rsidRPr="00A268E4">
              <w:rPr>
                <w:b/>
                <w:bCs/>
                <w:color w:val="000000" w:themeColor="text1"/>
                <w:sz w:val="20"/>
                <w:szCs w:val="20"/>
              </w:rPr>
              <w:t>Dividend Payout Ratio</w:t>
            </w:r>
          </w:p>
        </w:tc>
      </w:tr>
      <w:tr w:rsidR="00BE45FC" w:rsidRPr="007C525B" w14:paraId="6F811491" w14:textId="77777777" w:rsidTr="00C6580E">
        <w:trPr>
          <w:trHeight w:val="120"/>
        </w:trPr>
        <w:tc>
          <w:tcPr>
            <w:tcW w:w="2425" w:type="dxa"/>
            <w:vMerge w:val="restart"/>
            <w:tcBorders>
              <w:top w:val="single" w:sz="4" w:space="0" w:color="auto"/>
            </w:tcBorders>
          </w:tcPr>
          <w:p w14:paraId="253DE8D7" w14:textId="0EA9692E" w:rsidR="00BE45FC" w:rsidRPr="00A268E4" w:rsidRDefault="00BE45FC" w:rsidP="000F0BD5">
            <w:pPr>
              <w:pStyle w:val="pb-2"/>
              <w:jc w:val="both"/>
              <w:rPr>
                <w:color w:val="000000" w:themeColor="text1"/>
                <w:sz w:val="20"/>
                <w:szCs w:val="20"/>
              </w:rPr>
            </w:pPr>
            <w:r w:rsidRPr="00A268E4">
              <w:rPr>
                <w:color w:val="000000" w:themeColor="text1"/>
                <w:sz w:val="20"/>
                <w:szCs w:val="20"/>
              </w:rPr>
              <w:t>IBs Performance</w:t>
            </w:r>
          </w:p>
        </w:tc>
        <w:tc>
          <w:tcPr>
            <w:tcW w:w="2070" w:type="dxa"/>
            <w:tcBorders>
              <w:top w:val="single" w:sz="4" w:space="0" w:color="auto"/>
            </w:tcBorders>
          </w:tcPr>
          <w:p w14:paraId="531A4AE2" w14:textId="73DF83AB" w:rsidR="00BE45FC" w:rsidRPr="00A268E4" w:rsidRDefault="00BE45FC" w:rsidP="000F0BD5">
            <w:pPr>
              <w:pStyle w:val="pb-2"/>
              <w:jc w:val="both"/>
              <w:rPr>
                <w:color w:val="000000" w:themeColor="text1"/>
                <w:sz w:val="20"/>
                <w:szCs w:val="20"/>
              </w:rPr>
            </w:pPr>
            <w:r w:rsidRPr="00A268E4">
              <w:rPr>
                <w:color w:val="000000" w:themeColor="text1"/>
                <w:sz w:val="20"/>
                <w:szCs w:val="20"/>
              </w:rPr>
              <w:t>P-Correlation</w:t>
            </w:r>
          </w:p>
        </w:tc>
        <w:tc>
          <w:tcPr>
            <w:tcW w:w="1875" w:type="dxa"/>
            <w:tcBorders>
              <w:top w:val="single" w:sz="4" w:space="0" w:color="auto"/>
            </w:tcBorders>
          </w:tcPr>
          <w:p w14:paraId="32B7A495" w14:textId="1367210A" w:rsidR="00BE45FC" w:rsidRPr="00A268E4" w:rsidRDefault="00BE45FC" w:rsidP="000F0BD5">
            <w:pPr>
              <w:pStyle w:val="pb-2"/>
              <w:jc w:val="both"/>
              <w:rPr>
                <w:color w:val="000000" w:themeColor="text1"/>
                <w:sz w:val="20"/>
                <w:szCs w:val="20"/>
              </w:rPr>
            </w:pPr>
            <w:r w:rsidRPr="00A268E4">
              <w:rPr>
                <w:color w:val="000000" w:themeColor="text1"/>
                <w:sz w:val="20"/>
                <w:szCs w:val="20"/>
              </w:rPr>
              <w:t>1</w:t>
            </w:r>
          </w:p>
        </w:tc>
        <w:tc>
          <w:tcPr>
            <w:tcW w:w="1587" w:type="dxa"/>
            <w:tcBorders>
              <w:top w:val="single" w:sz="4" w:space="0" w:color="auto"/>
            </w:tcBorders>
          </w:tcPr>
          <w:p w14:paraId="2E9A5FA9" w14:textId="77777777" w:rsidR="00BE45FC" w:rsidRPr="00A268E4" w:rsidRDefault="00BE45FC" w:rsidP="00BE45FC">
            <w:pPr>
              <w:pStyle w:val="pb-2"/>
              <w:jc w:val="both"/>
              <w:rPr>
                <w:color w:val="000000" w:themeColor="text1"/>
                <w:sz w:val="20"/>
                <w:szCs w:val="20"/>
              </w:rPr>
            </w:pPr>
          </w:p>
        </w:tc>
        <w:tc>
          <w:tcPr>
            <w:tcW w:w="2653" w:type="dxa"/>
            <w:tcBorders>
              <w:top w:val="single" w:sz="4" w:space="0" w:color="auto"/>
            </w:tcBorders>
          </w:tcPr>
          <w:p w14:paraId="4A31B1DC" w14:textId="572B2E41" w:rsidR="00BE45FC" w:rsidRPr="00A268E4" w:rsidRDefault="00BE45FC" w:rsidP="000F0BD5">
            <w:pPr>
              <w:pStyle w:val="pb-2"/>
              <w:jc w:val="both"/>
              <w:rPr>
                <w:color w:val="000000" w:themeColor="text1"/>
                <w:sz w:val="20"/>
                <w:szCs w:val="20"/>
              </w:rPr>
            </w:pPr>
          </w:p>
        </w:tc>
      </w:tr>
      <w:tr w:rsidR="00BE45FC" w:rsidRPr="007C525B" w14:paraId="0957E950" w14:textId="77777777" w:rsidTr="00C6580E">
        <w:trPr>
          <w:trHeight w:val="95"/>
        </w:trPr>
        <w:tc>
          <w:tcPr>
            <w:tcW w:w="2425" w:type="dxa"/>
            <w:vMerge/>
          </w:tcPr>
          <w:p w14:paraId="0EAAD7E0" w14:textId="77777777" w:rsidR="00BE45FC" w:rsidRPr="00A268E4" w:rsidRDefault="00BE45FC" w:rsidP="000F0BD5">
            <w:pPr>
              <w:pStyle w:val="pb-2"/>
              <w:jc w:val="both"/>
              <w:rPr>
                <w:color w:val="000000" w:themeColor="text1"/>
                <w:sz w:val="20"/>
                <w:szCs w:val="20"/>
              </w:rPr>
            </w:pPr>
          </w:p>
        </w:tc>
        <w:tc>
          <w:tcPr>
            <w:tcW w:w="2070" w:type="dxa"/>
          </w:tcPr>
          <w:p w14:paraId="4B2876EE" w14:textId="39E99297" w:rsidR="00BE45FC" w:rsidRPr="00A268E4" w:rsidRDefault="00BE45FC" w:rsidP="000F0BD5">
            <w:pPr>
              <w:pStyle w:val="pb-2"/>
              <w:jc w:val="both"/>
              <w:rPr>
                <w:color w:val="000000" w:themeColor="text1"/>
                <w:sz w:val="20"/>
                <w:szCs w:val="20"/>
              </w:rPr>
            </w:pPr>
            <w:r w:rsidRPr="00A268E4">
              <w:rPr>
                <w:color w:val="000000" w:themeColor="text1"/>
                <w:sz w:val="20"/>
                <w:szCs w:val="20"/>
              </w:rPr>
              <w:t>Sig. (2-Tailed)</w:t>
            </w:r>
          </w:p>
        </w:tc>
        <w:tc>
          <w:tcPr>
            <w:tcW w:w="1875" w:type="dxa"/>
          </w:tcPr>
          <w:p w14:paraId="6A675808" w14:textId="31A6F0A2" w:rsidR="00BE45FC" w:rsidRPr="00A268E4" w:rsidRDefault="00BE45FC" w:rsidP="000F0BD5">
            <w:pPr>
              <w:pStyle w:val="pb-2"/>
              <w:jc w:val="both"/>
              <w:rPr>
                <w:color w:val="000000" w:themeColor="text1"/>
                <w:sz w:val="20"/>
                <w:szCs w:val="20"/>
              </w:rPr>
            </w:pPr>
            <w:r w:rsidRPr="00A268E4">
              <w:rPr>
                <w:color w:val="000000" w:themeColor="text1"/>
                <w:sz w:val="20"/>
                <w:szCs w:val="20"/>
              </w:rPr>
              <w:t>-</w:t>
            </w:r>
          </w:p>
        </w:tc>
        <w:tc>
          <w:tcPr>
            <w:tcW w:w="1587" w:type="dxa"/>
          </w:tcPr>
          <w:p w14:paraId="19C93E1C" w14:textId="77777777" w:rsidR="00BE45FC" w:rsidRPr="00A268E4" w:rsidRDefault="00BE45FC" w:rsidP="00BE45FC">
            <w:pPr>
              <w:pStyle w:val="pb-2"/>
              <w:jc w:val="both"/>
              <w:rPr>
                <w:color w:val="000000" w:themeColor="text1"/>
                <w:sz w:val="20"/>
                <w:szCs w:val="20"/>
              </w:rPr>
            </w:pPr>
          </w:p>
        </w:tc>
        <w:tc>
          <w:tcPr>
            <w:tcW w:w="2653" w:type="dxa"/>
          </w:tcPr>
          <w:p w14:paraId="19A9275D" w14:textId="25005BAA" w:rsidR="00BE45FC" w:rsidRPr="00A268E4" w:rsidRDefault="00BE45FC" w:rsidP="000F0BD5">
            <w:pPr>
              <w:pStyle w:val="pb-2"/>
              <w:jc w:val="both"/>
              <w:rPr>
                <w:color w:val="000000" w:themeColor="text1"/>
                <w:sz w:val="20"/>
                <w:szCs w:val="20"/>
              </w:rPr>
            </w:pPr>
          </w:p>
        </w:tc>
      </w:tr>
      <w:tr w:rsidR="00BE45FC" w:rsidRPr="007C525B" w14:paraId="7C54C2F0" w14:textId="77777777" w:rsidTr="00C6580E">
        <w:trPr>
          <w:trHeight w:val="120"/>
        </w:trPr>
        <w:tc>
          <w:tcPr>
            <w:tcW w:w="2425" w:type="dxa"/>
            <w:vMerge/>
          </w:tcPr>
          <w:p w14:paraId="6B8A2B03" w14:textId="77777777" w:rsidR="00BE45FC" w:rsidRPr="00A268E4" w:rsidRDefault="00BE45FC" w:rsidP="000F0BD5">
            <w:pPr>
              <w:pStyle w:val="pb-2"/>
              <w:jc w:val="both"/>
              <w:rPr>
                <w:color w:val="000000" w:themeColor="text1"/>
                <w:sz w:val="20"/>
                <w:szCs w:val="20"/>
              </w:rPr>
            </w:pPr>
          </w:p>
        </w:tc>
        <w:tc>
          <w:tcPr>
            <w:tcW w:w="2070" w:type="dxa"/>
          </w:tcPr>
          <w:p w14:paraId="2EA10089" w14:textId="50A98897" w:rsidR="00BE45FC" w:rsidRPr="00A268E4" w:rsidRDefault="00BE45FC" w:rsidP="000F0BD5">
            <w:pPr>
              <w:pStyle w:val="pb-2"/>
              <w:jc w:val="both"/>
              <w:rPr>
                <w:color w:val="000000" w:themeColor="text1"/>
                <w:sz w:val="20"/>
                <w:szCs w:val="20"/>
              </w:rPr>
            </w:pPr>
            <w:r w:rsidRPr="00A268E4">
              <w:rPr>
                <w:color w:val="000000" w:themeColor="text1"/>
                <w:sz w:val="20"/>
                <w:szCs w:val="20"/>
              </w:rPr>
              <w:t>N</w:t>
            </w:r>
          </w:p>
        </w:tc>
        <w:tc>
          <w:tcPr>
            <w:tcW w:w="1875" w:type="dxa"/>
          </w:tcPr>
          <w:p w14:paraId="719E57B7" w14:textId="580D4093" w:rsidR="00BE45FC" w:rsidRPr="00A268E4" w:rsidRDefault="00BE45FC" w:rsidP="000F0BD5">
            <w:pPr>
              <w:pStyle w:val="pb-2"/>
              <w:jc w:val="both"/>
              <w:rPr>
                <w:color w:val="000000" w:themeColor="text1"/>
                <w:sz w:val="20"/>
                <w:szCs w:val="20"/>
              </w:rPr>
            </w:pPr>
            <w:r w:rsidRPr="00A268E4">
              <w:rPr>
                <w:color w:val="000000" w:themeColor="text1"/>
                <w:sz w:val="20"/>
                <w:szCs w:val="20"/>
              </w:rPr>
              <w:t>60</w:t>
            </w:r>
          </w:p>
        </w:tc>
        <w:tc>
          <w:tcPr>
            <w:tcW w:w="1587" w:type="dxa"/>
          </w:tcPr>
          <w:p w14:paraId="519D6DF7" w14:textId="77777777" w:rsidR="00BE45FC" w:rsidRPr="00A268E4" w:rsidRDefault="00BE45FC" w:rsidP="00BE45FC">
            <w:pPr>
              <w:pStyle w:val="pb-2"/>
              <w:jc w:val="both"/>
              <w:rPr>
                <w:color w:val="000000" w:themeColor="text1"/>
                <w:sz w:val="20"/>
                <w:szCs w:val="20"/>
              </w:rPr>
            </w:pPr>
          </w:p>
        </w:tc>
        <w:tc>
          <w:tcPr>
            <w:tcW w:w="2653" w:type="dxa"/>
          </w:tcPr>
          <w:p w14:paraId="6298006A" w14:textId="43A95136" w:rsidR="00BE45FC" w:rsidRPr="00A268E4" w:rsidRDefault="00BE45FC" w:rsidP="000F0BD5">
            <w:pPr>
              <w:pStyle w:val="pb-2"/>
              <w:jc w:val="both"/>
              <w:rPr>
                <w:color w:val="000000" w:themeColor="text1"/>
                <w:sz w:val="20"/>
                <w:szCs w:val="20"/>
              </w:rPr>
            </w:pPr>
          </w:p>
        </w:tc>
      </w:tr>
      <w:tr w:rsidR="00BE45FC" w:rsidRPr="007C525B" w14:paraId="664BB8A9" w14:textId="77777777" w:rsidTr="00C6580E">
        <w:trPr>
          <w:trHeight w:val="120"/>
        </w:trPr>
        <w:tc>
          <w:tcPr>
            <w:tcW w:w="2425" w:type="dxa"/>
            <w:vMerge w:val="restart"/>
          </w:tcPr>
          <w:p w14:paraId="45FF021A" w14:textId="5282A972" w:rsidR="00BE45FC" w:rsidRPr="00A268E4" w:rsidRDefault="00BE45FC" w:rsidP="00136FE5">
            <w:pPr>
              <w:pStyle w:val="pb-2"/>
              <w:jc w:val="both"/>
              <w:rPr>
                <w:color w:val="000000" w:themeColor="text1"/>
                <w:sz w:val="20"/>
                <w:szCs w:val="20"/>
              </w:rPr>
            </w:pPr>
            <w:r w:rsidRPr="00A268E4">
              <w:rPr>
                <w:color w:val="000000" w:themeColor="text1"/>
                <w:sz w:val="20"/>
                <w:szCs w:val="20"/>
              </w:rPr>
              <w:t>Riba</w:t>
            </w:r>
          </w:p>
        </w:tc>
        <w:tc>
          <w:tcPr>
            <w:tcW w:w="2070" w:type="dxa"/>
          </w:tcPr>
          <w:p w14:paraId="630069FF" w14:textId="139FB6C5" w:rsidR="00BE45FC" w:rsidRPr="00A268E4" w:rsidRDefault="00BE45FC" w:rsidP="00136FE5">
            <w:pPr>
              <w:pStyle w:val="pb-2"/>
              <w:jc w:val="both"/>
              <w:rPr>
                <w:color w:val="000000" w:themeColor="text1"/>
                <w:sz w:val="20"/>
                <w:szCs w:val="20"/>
              </w:rPr>
            </w:pPr>
            <w:r w:rsidRPr="00A268E4">
              <w:rPr>
                <w:color w:val="000000" w:themeColor="text1"/>
                <w:sz w:val="20"/>
                <w:szCs w:val="20"/>
              </w:rPr>
              <w:t>P-Correlation</w:t>
            </w:r>
          </w:p>
        </w:tc>
        <w:tc>
          <w:tcPr>
            <w:tcW w:w="1875" w:type="dxa"/>
          </w:tcPr>
          <w:p w14:paraId="21EF5193" w14:textId="6F6EB0FE" w:rsidR="00BE45FC" w:rsidRPr="00A268E4" w:rsidRDefault="00BE45FC" w:rsidP="00136FE5">
            <w:pPr>
              <w:pStyle w:val="pb-2"/>
              <w:jc w:val="both"/>
              <w:rPr>
                <w:color w:val="000000" w:themeColor="text1"/>
                <w:sz w:val="20"/>
                <w:szCs w:val="20"/>
              </w:rPr>
            </w:pPr>
            <w:r w:rsidRPr="00A268E4">
              <w:rPr>
                <w:color w:val="000000" w:themeColor="text1"/>
                <w:sz w:val="20"/>
                <w:szCs w:val="20"/>
              </w:rPr>
              <w:t>.</w:t>
            </w:r>
            <w:r w:rsidR="005A2665" w:rsidRPr="00A268E4">
              <w:rPr>
                <w:color w:val="000000" w:themeColor="text1"/>
                <w:sz w:val="20"/>
                <w:szCs w:val="20"/>
              </w:rPr>
              <w:t>808</w:t>
            </w:r>
            <w:r w:rsidRPr="00A268E4">
              <w:rPr>
                <w:color w:val="000000" w:themeColor="text1"/>
                <w:sz w:val="20"/>
                <w:szCs w:val="20"/>
              </w:rPr>
              <w:t>*</w:t>
            </w:r>
          </w:p>
        </w:tc>
        <w:tc>
          <w:tcPr>
            <w:tcW w:w="1587" w:type="dxa"/>
          </w:tcPr>
          <w:p w14:paraId="5580B1B8" w14:textId="7E27A23D" w:rsidR="00BE45FC" w:rsidRPr="00A268E4" w:rsidRDefault="003B2AD2" w:rsidP="00BE45FC">
            <w:pPr>
              <w:pStyle w:val="pb-2"/>
              <w:jc w:val="both"/>
              <w:rPr>
                <w:color w:val="000000" w:themeColor="text1"/>
                <w:sz w:val="20"/>
                <w:szCs w:val="20"/>
              </w:rPr>
            </w:pPr>
            <w:r w:rsidRPr="00A268E4">
              <w:rPr>
                <w:color w:val="000000" w:themeColor="text1"/>
                <w:sz w:val="20"/>
                <w:szCs w:val="20"/>
              </w:rPr>
              <w:t>1</w:t>
            </w:r>
          </w:p>
        </w:tc>
        <w:tc>
          <w:tcPr>
            <w:tcW w:w="2653" w:type="dxa"/>
          </w:tcPr>
          <w:p w14:paraId="75194A7E" w14:textId="70A06CF4" w:rsidR="00BE45FC" w:rsidRPr="00A268E4" w:rsidRDefault="00BE45FC" w:rsidP="00136FE5">
            <w:pPr>
              <w:pStyle w:val="pb-2"/>
              <w:jc w:val="both"/>
              <w:rPr>
                <w:color w:val="000000" w:themeColor="text1"/>
                <w:sz w:val="20"/>
                <w:szCs w:val="20"/>
              </w:rPr>
            </w:pPr>
          </w:p>
        </w:tc>
      </w:tr>
      <w:tr w:rsidR="00BE45FC" w:rsidRPr="007C525B" w14:paraId="4758179F" w14:textId="77777777" w:rsidTr="00C6580E">
        <w:trPr>
          <w:trHeight w:val="120"/>
        </w:trPr>
        <w:tc>
          <w:tcPr>
            <w:tcW w:w="2425" w:type="dxa"/>
            <w:vMerge/>
          </w:tcPr>
          <w:p w14:paraId="6F8C675A" w14:textId="77777777" w:rsidR="00BE45FC" w:rsidRPr="00A268E4" w:rsidRDefault="00BE45FC" w:rsidP="00136FE5">
            <w:pPr>
              <w:pStyle w:val="pb-2"/>
              <w:jc w:val="both"/>
              <w:rPr>
                <w:color w:val="000000" w:themeColor="text1"/>
                <w:sz w:val="20"/>
                <w:szCs w:val="20"/>
              </w:rPr>
            </w:pPr>
          </w:p>
        </w:tc>
        <w:tc>
          <w:tcPr>
            <w:tcW w:w="2070" w:type="dxa"/>
          </w:tcPr>
          <w:p w14:paraId="7865DA1C" w14:textId="7133528B" w:rsidR="00BE45FC" w:rsidRPr="00A268E4" w:rsidRDefault="00BE45FC" w:rsidP="00136FE5">
            <w:pPr>
              <w:pStyle w:val="pb-2"/>
              <w:jc w:val="both"/>
              <w:rPr>
                <w:color w:val="000000" w:themeColor="text1"/>
                <w:sz w:val="20"/>
                <w:szCs w:val="20"/>
              </w:rPr>
            </w:pPr>
            <w:r w:rsidRPr="00A268E4">
              <w:rPr>
                <w:color w:val="000000" w:themeColor="text1"/>
                <w:sz w:val="20"/>
                <w:szCs w:val="20"/>
              </w:rPr>
              <w:t>Sig. (2-Tailed)</w:t>
            </w:r>
          </w:p>
        </w:tc>
        <w:tc>
          <w:tcPr>
            <w:tcW w:w="1875" w:type="dxa"/>
          </w:tcPr>
          <w:p w14:paraId="766D4C18" w14:textId="61001BDD" w:rsidR="00BE45FC" w:rsidRPr="00A268E4" w:rsidRDefault="00BE45FC" w:rsidP="00136FE5">
            <w:pPr>
              <w:pStyle w:val="pb-2"/>
              <w:jc w:val="both"/>
              <w:rPr>
                <w:color w:val="000000" w:themeColor="text1"/>
                <w:sz w:val="20"/>
                <w:szCs w:val="20"/>
              </w:rPr>
            </w:pPr>
            <w:r w:rsidRPr="00A268E4">
              <w:rPr>
                <w:color w:val="000000" w:themeColor="text1"/>
                <w:sz w:val="20"/>
                <w:szCs w:val="20"/>
              </w:rPr>
              <w:t>0.000</w:t>
            </w:r>
          </w:p>
        </w:tc>
        <w:tc>
          <w:tcPr>
            <w:tcW w:w="1587" w:type="dxa"/>
          </w:tcPr>
          <w:p w14:paraId="751D1454" w14:textId="5187F1EC" w:rsidR="00BE45FC" w:rsidRPr="00A268E4" w:rsidRDefault="003B2AD2" w:rsidP="00BE45FC">
            <w:pPr>
              <w:pStyle w:val="pb-2"/>
              <w:jc w:val="both"/>
              <w:rPr>
                <w:color w:val="000000" w:themeColor="text1"/>
                <w:sz w:val="20"/>
                <w:szCs w:val="20"/>
              </w:rPr>
            </w:pPr>
            <w:r w:rsidRPr="00A268E4">
              <w:rPr>
                <w:color w:val="000000" w:themeColor="text1"/>
                <w:sz w:val="20"/>
                <w:szCs w:val="20"/>
              </w:rPr>
              <w:t>-</w:t>
            </w:r>
          </w:p>
        </w:tc>
        <w:tc>
          <w:tcPr>
            <w:tcW w:w="2653" w:type="dxa"/>
          </w:tcPr>
          <w:p w14:paraId="5A0D3286" w14:textId="54DE7436" w:rsidR="00BE45FC" w:rsidRPr="00A268E4" w:rsidRDefault="00BE45FC" w:rsidP="00136FE5">
            <w:pPr>
              <w:pStyle w:val="pb-2"/>
              <w:jc w:val="both"/>
              <w:rPr>
                <w:color w:val="000000" w:themeColor="text1"/>
                <w:sz w:val="20"/>
                <w:szCs w:val="20"/>
              </w:rPr>
            </w:pPr>
          </w:p>
        </w:tc>
      </w:tr>
      <w:tr w:rsidR="00BE45FC" w:rsidRPr="007C525B" w14:paraId="6E42C0C2" w14:textId="77777777" w:rsidTr="00C6580E">
        <w:trPr>
          <w:trHeight w:val="95"/>
        </w:trPr>
        <w:tc>
          <w:tcPr>
            <w:tcW w:w="2425" w:type="dxa"/>
            <w:vMerge/>
          </w:tcPr>
          <w:p w14:paraId="32DAAFFD" w14:textId="77777777" w:rsidR="00BE45FC" w:rsidRPr="00A268E4" w:rsidRDefault="00BE45FC" w:rsidP="00136FE5">
            <w:pPr>
              <w:pStyle w:val="pb-2"/>
              <w:jc w:val="both"/>
              <w:rPr>
                <w:color w:val="000000" w:themeColor="text1"/>
                <w:sz w:val="20"/>
                <w:szCs w:val="20"/>
              </w:rPr>
            </w:pPr>
          </w:p>
        </w:tc>
        <w:tc>
          <w:tcPr>
            <w:tcW w:w="2070" w:type="dxa"/>
          </w:tcPr>
          <w:p w14:paraId="0A9E4C30" w14:textId="58F29A6D" w:rsidR="00BE45FC" w:rsidRPr="00A268E4" w:rsidRDefault="00BE45FC" w:rsidP="00136FE5">
            <w:pPr>
              <w:pStyle w:val="pb-2"/>
              <w:jc w:val="both"/>
              <w:rPr>
                <w:color w:val="000000" w:themeColor="text1"/>
                <w:sz w:val="20"/>
                <w:szCs w:val="20"/>
              </w:rPr>
            </w:pPr>
            <w:r w:rsidRPr="00A268E4">
              <w:rPr>
                <w:color w:val="000000" w:themeColor="text1"/>
                <w:sz w:val="20"/>
                <w:szCs w:val="20"/>
              </w:rPr>
              <w:t>N</w:t>
            </w:r>
          </w:p>
        </w:tc>
        <w:tc>
          <w:tcPr>
            <w:tcW w:w="1875" w:type="dxa"/>
          </w:tcPr>
          <w:p w14:paraId="75DD87A7" w14:textId="41CC7455" w:rsidR="00BE45FC" w:rsidRPr="00A268E4" w:rsidRDefault="00BE45FC" w:rsidP="00136FE5">
            <w:pPr>
              <w:pStyle w:val="pb-2"/>
              <w:jc w:val="both"/>
              <w:rPr>
                <w:color w:val="000000" w:themeColor="text1"/>
                <w:sz w:val="20"/>
                <w:szCs w:val="20"/>
              </w:rPr>
            </w:pPr>
            <w:r w:rsidRPr="00A268E4">
              <w:rPr>
                <w:color w:val="000000" w:themeColor="text1"/>
                <w:sz w:val="20"/>
                <w:szCs w:val="20"/>
              </w:rPr>
              <w:t>60</w:t>
            </w:r>
          </w:p>
        </w:tc>
        <w:tc>
          <w:tcPr>
            <w:tcW w:w="1587" w:type="dxa"/>
          </w:tcPr>
          <w:p w14:paraId="729815EC" w14:textId="572322EA" w:rsidR="00BE45FC" w:rsidRPr="00A268E4" w:rsidRDefault="003B2AD2" w:rsidP="00BE45FC">
            <w:pPr>
              <w:pStyle w:val="pb-2"/>
              <w:jc w:val="both"/>
              <w:rPr>
                <w:color w:val="000000" w:themeColor="text1"/>
                <w:sz w:val="20"/>
                <w:szCs w:val="20"/>
              </w:rPr>
            </w:pPr>
            <w:r w:rsidRPr="00A268E4">
              <w:rPr>
                <w:color w:val="000000" w:themeColor="text1"/>
                <w:sz w:val="20"/>
                <w:szCs w:val="20"/>
              </w:rPr>
              <w:t>60</w:t>
            </w:r>
          </w:p>
        </w:tc>
        <w:tc>
          <w:tcPr>
            <w:tcW w:w="2653" w:type="dxa"/>
          </w:tcPr>
          <w:p w14:paraId="4EAA170A" w14:textId="23258CD2" w:rsidR="00BE45FC" w:rsidRPr="00A268E4" w:rsidRDefault="00BE45FC" w:rsidP="00136FE5">
            <w:pPr>
              <w:pStyle w:val="pb-2"/>
              <w:jc w:val="both"/>
              <w:rPr>
                <w:color w:val="000000" w:themeColor="text1"/>
                <w:sz w:val="20"/>
                <w:szCs w:val="20"/>
              </w:rPr>
            </w:pPr>
          </w:p>
        </w:tc>
      </w:tr>
      <w:tr w:rsidR="00BE45FC" w:rsidRPr="007C525B" w14:paraId="5EFA86BD" w14:textId="77777777" w:rsidTr="00C6580E">
        <w:trPr>
          <w:trHeight w:val="120"/>
        </w:trPr>
        <w:tc>
          <w:tcPr>
            <w:tcW w:w="2425" w:type="dxa"/>
            <w:vMerge w:val="restart"/>
          </w:tcPr>
          <w:p w14:paraId="40644645" w14:textId="169558B3" w:rsidR="00BE45FC" w:rsidRPr="00A268E4" w:rsidRDefault="00BE45FC" w:rsidP="00136FE5">
            <w:pPr>
              <w:pStyle w:val="pb-2"/>
              <w:jc w:val="both"/>
              <w:rPr>
                <w:color w:val="000000" w:themeColor="text1"/>
                <w:sz w:val="20"/>
                <w:szCs w:val="20"/>
              </w:rPr>
            </w:pPr>
            <w:r w:rsidRPr="00A268E4">
              <w:rPr>
                <w:color w:val="000000" w:themeColor="text1"/>
                <w:sz w:val="20"/>
                <w:szCs w:val="20"/>
              </w:rPr>
              <w:t>Dividend Payout Ratio</w:t>
            </w:r>
          </w:p>
        </w:tc>
        <w:tc>
          <w:tcPr>
            <w:tcW w:w="2070" w:type="dxa"/>
          </w:tcPr>
          <w:p w14:paraId="61E89F21" w14:textId="6E1B3238" w:rsidR="00BE45FC" w:rsidRPr="00A268E4" w:rsidRDefault="00BE45FC" w:rsidP="00136FE5">
            <w:pPr>
              <w:pStyle w:val="pb-2"/>
              <w:jc w:val="both"/>
              <w:rPr>
                <w:color w:val="000000" w:themeColor="text1"/>
                <w:sz w:val="20"/>
                <w:szCs w:val="20"/>
              </w:rPr>
            </w:pPr>
            <w:r w:rsidRPr="00A268E4">
              <w:rPr>
                <w:color w:val="000000" w:themeColor="text1"/>
                <w:sz w:val="20"/>
                <w:szCs w:val="20"/>
              </w:rPr>
              <w:t>P-Correlation</w:t>
            </w:r>
          </w:p>
        </w:tc>
        <w:tc>
          <w:tcPr>
            <w:tcW w:w="1875" w:type="dxa"/>
          </w:tcPr>
          <w:p w14:paraId="342D9B91" w14:textId="2165E090" w:rsidR="00BE45FC" w:rsidRPr="00A268E4" w:rsidRDefault="00BE45FC" w:rsidP="00136FE5">
            <w:pPr>
              <w:pStyle w:val="pb-2"/>
              <w:jc w:val="both"/>
              <w:rPr>
                <w:color w:val="000000" w:themeColor="text1"/>
                <w:sz w:val="20"/>
                <w:szCs w:val="20"/>
              </w:rPr>
            </w:pPr>
            <w:r w:rsidRPr="00A268E4">
              <w:rPr>
                <w:color w:val="000000" w:themeColor="text1"/>
                <w:sz w:val="20"/>
                <w:szCs w:val="20"/>
              </w:rPr>
              <w:t>.7</w:t>
            </w:r>
            <w:r w:rsidR="005A2665" w:rsidRPr="00A268E4">
              <w:rPr>
                <w:color w:val="000000" w:themeColor="text1"/>
                <w:sz w:val="20"/>
                <w:szCs w:val="20"/>
              </w:rPr>
              <w:t>43</w:t>
            </w:r>
            <w:r w:rsidRPr="00A268E4">
              <w:rPr>
                <w:color w:val="000000" w:themeColor="text1"/>
                <w:sz w:val="20"/>
                <w:szCs w:val="20"/>
              </w:rPr>
              <w:t>*</w:t>
            </w:r>
          </w:p>
        </w:tc>
        <w:tc>
          <w:tcPr>
            <w:tcW w:w="1587" w:type="dxa"/>
          </w:tcPr>
          <w:p w14:paraId="00C1BEF4" w14:textId="119E7632" w:rsidR="00BE45FC" w:rsidRPr="00A268E4" w:rsidRDefault="003B2AD2" w:rsidP="00BE45FC">
            <w:pPr>
              <w:pStyle w:val="pb-2"/>
              <w:jc w:val="both"/>
              <w:rPr>
                <w:color w:val="000000" w:themeColor="text1"/>
                <w:sz w:val="20"/>
                <w:szCs w:val="20"/>
              </w:rPr>
            </w:pPr>
            <w:r w:rsidRPr="00A268E4">
              <w:rPr>
                <w:color w:val="000000" w:themeColor="text1"/>
                <w:sz w:val="20"/>
                <w:szCs w:val="20"/>
              </w:rPr>
              <w:t>.1</w:t>
            </w:r>
            <w:r w:rsidR="005A2665" w:rsidRPr="00A268E4">
              <w:rPr>
                <w:color w:val="000000" w:themeColor="text1"/>
                <w:sz w:val="20"/>
                <w:szCs w:val="20"/>
              </w:rPr>
              <w:t>79</w:t>
            </w:r>
          </w:p>
        </w:tc>
        <w:tc>
          <w:tcPr>
            <w:tcW w:w="2653" w:type="dxa"/>
          </w:tcPr>
          <w:p w14:paraId="54B5D6B3" w14:textId="720CBE56" w:rsidR="00BE45FC" w:rsidRPr="00A268E4" w:rsidRDefault="003B2AD2" w:rsidP="00136FE5">
            <w:pPr>
              <w:pStyle w:val="pb-2"/>
              <w:jc w:val="both"/>
              <w:rPr>
                <w:color w:val="000000" w:themeColor="text1"/>
                <w:sz w:val="20"/>
                <w:szCs w:val="20"/>
              </w:rPr>
            </w:pPr>
            <w:r w:rsidRPr="00A268E4">
              <w:rPr>
                <w:color w:val="000000" w:themeColor="text1"/>
                <w:sz w:val="20"/>
                <w:szCs w:val="20"/>
              </w:rPr>
              <w:t>1</w:t>
            </w:r>
          </w:p>
        </w:tc>
      </w:tr>
      <w:tr w:rsidR="00BE45FC" w:rsidRPr="007C525B" w14:paraId="26FB5893" w14:textId="77777777" w:rsidTr="00C6580E">
        <w:trPr>
          <w:trHeight w:val="95"/>
        </w:trPr>
        <w:tc>
          <w:tcPr>
            <w:tcW w:w="2425" w:type="dxa"/>
            <w:vMerge/>
          </w:tcPr>
          <w:p w14:paraId="3BB9A392" w14:textId="77777777" w:rsidR="00BE45FC" w:rsidRPr="00A268E4" w:rsidRDefault="00BE45FC" w:rsidP="00136FE5">
            <w:pPr>
              <w:pStyle w:val="pb-2"/>
              <w:jc w:val="both"/>
              <w:rPr>
                <w:color w:val="000000" w:themeColor="text1"/>
                <w:sz w:val="20"/>
                <w:szCs w:val="20"/>
              </w:rPr>
            </w:pPr>
          </w:p>
        </w:tc>
        <w:tc>
          <w:tcPr>
            <w:tcW w:w="2070" w:type="dxa"/>
          </w:tcPr>
          <w:p w14:paraId="5BC4FC11" w14:textId="24627A64" w:rsidR="00BE45FC" w:rsidRPr="00A268E4" w:rsidRDefault="00BE45FC" w:rsidP="00136FE5">
            <w:pPr>
              <w:pStyle w:val="pb-2"/>
              <w:jc w:val="both"/>
              <w:rPr>
                <w:color w:val="000000" w:themeColor="text1"/>
                <w:sz w:val="20"/>
                <w:szCs w:val="20"/>
              </w:rPr>
            </w:pPr>
            <w:r w:rsidRPr="00A268E4">
              <w:rPr>
                <w:color w:val="000000" w:themeColor="text1"/>
                <w:sz w:val="20"/>
                <w:szCs w:val="20"/>
              </w:rPr>
              <w:t>Sig. (2-Tailed)</w:t>
            </w:r>
          </w:p>
        </w:tc>
        <w:tc>
          <w:tcPr>
            <w:tcW w:w="1875" w:type="dxa"/>
          </w:tcPr>
          <w:p w14:paraId="2F0704D3" w14:textId="3021127A" w:rsidR="00BE45FC" w:rsidRPr="00A268E4" w:rsidRDefault="00BE45FC" w:rsidP="00136FE5">
            <w:pPr>
              <w:pStyle w:val="pb-2"/>
              <w:jc w:val="both"/>
              <w:rPr>
                <w:color w:val="000000" w:themeColor="text1"/>
                <w:sz w:val="20"/>
                <w:szCs w:val="20"/>
              </w:rPr>
            </w:pPr>
            <w:r w:rsidRPr="00A268E4">
              <w:rPr>
                <w:color w:val="000000" w:themeColor="text1"/>
                <w:sz w:val="20"/>
                <w:szCs w:val="20"/>
              </w:rPr>
              <w:t>0.000</w:t>
            </w:r>
          </w:p>
        </w:tc>
        <w:tc>
          <w:tcPr>
            <w:tcW w:w="1587" w:type="dxa"/>
          </w:tcPr>
          <w:p w14:paraId="31454B16" w14:textId="3AA063FC" w:rsidR="00BE45FC" w:rsidRPr="00A268E4" w:rsidRDefault="003B2AD2" w:rsidP="00BE45FC">
            <w:pPr>
              <w:pStyle w:val="pb-2"/>
              <w:jc w:val="both"/>
              <w:rPr>
                <w:color w:val="000000" w:themeColor="text1"/>
                <w:sz w:val="20"/>
                <w:szCs w:val="20"/>
              </w:rPr>
            </w:pPr>
            <w:r w:rsidRPr="00A268E4">
              <w:rPr>
                <w:color w:val="000000" w:themeColor="text1"/>
                <w:sz w:val="20"/>
                <w:szCs w:val="20"/>
              </w:rPr>
              <w:t>.8</w:t>
            </w:r>
            <w:r w:rsidR="005A2665" w:rsidRPr="00A268E4">
              <w:rPr>
                <w:color w:val="000000" w:themeColor="text1"/>
                <w:sz w:val="20"/>
                <w:szCs w:val="20"/>
              </w:rPr>
              <w:t>40</w:t>
            </w:r>
          </w:p>
        </w:tc>
        <w:tc>
          <w:tcPr>
            <w:tcW w:w="2653" w:type="dxa"/>
          </w:tcPr>
          <w:p w14:paraId="3B50D4AA" w14:textId="6DEED596" w:rsidR="00BE45FC" w:rsidRPr="00A268E4" w:rsidRDefault="003B2AD2" w:rsidP="00136FE5">
            <w:pPr>
              <w:pStyle w:val="pb-2"/>
              <w:jc w:val="both"/>
              <w:rPr>
                <w:color w:val="000000" w:themeColor="text1"/>
                <w:sz w:val="20"/>
                <w:szCs w:val="20"/>
              </w:rPr>
            </w:pPr>
            <w:r w:rsidRPr="00A268E4">
              <w:rPr>
                <w:color w:val="000000" w:themeColor="text1"/>
                <w:sz w:val="20"/>
                <w:szCs w:val="20"/>
              </w:rPr>
              <w:t>-</w:t>
            </w:r>
          </w:p>
        </w:tc>
      </w:tr>
      <w:tr w:rsidR="00BE45FC" w:rsidRPr="007C525B" w14:paraId="2470D271" w14:textId="77777777" w:rsidTr="00C6580E">
        <w:trPr>
          <w:trHeight w:val="120"/>
        </w:trPr>
        <w:tc>
          <w:tcPr>
            <w:tcW w:w="2425" w:type="dxa"/>
            <w:vMerge/>
          </w:tcPr>
          <w:p w14:paraId="3A985CFE" w14:textId="77777777" w:rsidR="00BE45FC" w:rsidRPr="00A268E4" w:rsidRDefault="00BE45FC" w:rsidP="00136FE5">
            <w:pPr>
              <w:pStyle w:val="pb-2"/>
              <w:jc w:val="both"/>
              <w:rPr>
                <w:color w:val="000000" w:themeColor="text1"/>
                <w:sz w:val="20"/>
                <w:szCs w:val="20"/>
              </w:rPr>
            </w:pPr>
          </w:p>
        </w:tc>
        <w:tc>
          <w:tcPr>
            <w:tcW w:w="2070" w:type="dxa"/>
          </w:tcPr>
          <w:p w14:paraId="023447CE" w14:textId="70FE2578" w:rsidR="00BE45FC" w:rsidRPr="00A268E4" w:rsidRDefault="00BE45FC" w:rsidP="00136FE5">
            <w:pPr>
              <w:pStyle w:val="pb-2"/>
              <w:jc w:val="both"/>
              <w:rPr>
                <w:color w:val="000000" w:themeColor="text1"/>
                <w:sz w:val="20"/>
                <w:szCs w:val="20"/>
              </w:rPr>
            </w:pPr>
            <w:r w:rsidRPr="00A268E4">
              <w:rPr>
                <w:color w:val="000000" w:themeColor="text1"/>
                <w:sz w:val="20"/>
                <w:szCs w:val="20"/>
              </w:rPr>
              <w:t>N</w:t>
            </w:r>
          </w:p>
        </w:tc>
        <w:tc>
          <w:tcPr>
            <w:tcW w:w="1875" w:type="dxa"/>
          </w:tcPr>
          <w:p w14:paraId="2AB360E9" w14:textId="357620AA" w:rsidR="00BE45FC" w:rsidRPr="00A268E4" w:rsidRDefault="00BE45FC" w:rsidP="00136FE5">
            <w:pPr>
              <w:pStyle w:val="pb-2"/>
              <w:jc w:val="both"/>
              <w:rPr>
                <w:color w:val="000000" w:themeColor="text1"/>
                <w:sz w:val="20"/>
                <w:szCs w:val="20"/>
              </w:rPr>
            </w:pPr>
            <w:r w:rsidRPr="00A268E4">
              <w:rPr>
                <w:color w:val="000000" w:themeColor="text1"/>
                <w:sz w:val="20"/>
                <w:szCs w:val="20"/>
              </w:rPr>
              <w:t>60</w:t>
            </w:r>
          </w:p>
        </w:tc>
        <w:tc>
          <w:tcPr>
            <w:tcW w:w="1587" w:type="dxa"/>
          </w:tcPr>
          <w:p w14:paraId="322A145B" w14:textId="12195CE0" w:rsidR="00BE45FC" w:rsidRPr="00A268E4" w:rsidRDefault="003B2AD2" w:rsidP="00BE45FC">
            <w:pPr>
              <w:pStyle w:val="pb-2"/>
              <w:jc w:val="both"/>
              <w:rPr>
                <w:color w:val="000000" w:themeColor="text1"/>
                <w:sz w:val="20"/>
                <w:szCs w:val="20"/>
              </w:rPr>
            </w:pPr>
            <w:r w:rsidRPr="00A268E4">
              <w:rPr>
                <w:color w:val="000000" w:themeColor="text1"/>
                <w:sz w:val="20"/>
                <w:szCs w:val="20"/>
              </w:rPr>
              <w:t>60</w:t>
            </w:r>
          </w:p>
        </w:tc>
        <w:tc>
          <w:tcPr>
            <w:tcW w:w="2653" w:type="dxa"/>
          </w:tcPr>
          <w:p w14:paraId="3E999188" w14:textId="47F3242C" w:rsidR="00BE45FC" w:rsidRPr="00A268E4" w:rsidRDefault="003B2AD2" w:rsidP="00136FE5">
            <w:pPr>
              <w:pStyle w:val="pb-2"/>
              <w:jc w:val="both"/>
              <w:rPr>
                <w:color w:val="000000" w:themeColor="text1"/>
                <w:sz w:val="20"/>
                <w:szCs w:val="20"/>
              </w:rPr>
            </w:pPr>
            <w:r w:rsidRPr="00A268E4">
              <w:rPr>
                <w:color w:val="000000" w:themeColor="text1"/>
                <w:sz w:val="20"/>
                <w:szCs w:val="20"/>
              </w:rPr>
              <w:t>60</w:t>
            </w:r>
          </w:p>
        </w:tc>
      </w:tr>
    </w:tbl>
    <w:p w14:paraId="74C8013F" w14:textId="77777777" w:rsidR="005B7725" w:rsidRDefault="005B7725" w:rsidP="005B7725">
      <w:pPr>
        <w:adjustRightInd w:val="0"/>
        <w:contextualSpacing/>
        <w:jc w:val="both"/>
        <w:rPr>
          <w:sz w:val="24"/>
          <w:szCs w:val="24"/>
        </w:rPr>
      </w:pPr>
    </w:p>
    <w:p w14:paraId="669A4D66" w14:textId="5C2AE60A" w:rsidR="00D02C8E" w:rsidRDefault="005A2665" w:rsidP="005B7725">
      <w:pPr>
        <w:adjustRightInd w:val="0"/>
        <w:contextualSpacing/>
        <w:jc w:val="both"/>
        <w:rPr>
          <w:sz w:val="24"/>
          <w:szCs w:val="24"/>
        </w:rPr>
      </w:pPr>
      <w:r w:rsidRPr="007C525B">
        <w:rPr>
          <w:sz w:val="24"/>
          <w:szCs w:val="24"/>
        </w:rPr>
        <w:t>A correlation of (β 0.808) was found between Riba and Islamic bank performance (p=0.000); and a positive, significant, and strong correlation was found between the Performance of Islamic Banks and dividend payout ratio (r=0.743, p=0.000); This means that there is a positive relationship between Riba and Islamic bank performance, as well as a positive correlation between the performance of Islamic banks and their dividend payout ratio. This indicates that Islamic banks are more profitable when they adhere to Islamic principles.</w:t>
      </w:r>
    </w:p>
    <w:p w14:paraId="70ED03F2" w14:textId="77777777" w:rsidR="00786D6A" w:rsidRPr="007C525B" w:rsidRDefault="00786D6A" w:rsidP="005B7725">
      <w:pPr>
        <w:adjustRightInd w:val="0"/>
        <w:contextualSpacing/>
        <w:jc w:val="both"/>
        <w:rPr>
          <w:sz w:val="24"/>
          <w:szCs w:val="24"/>
        </w:rPr>
      </w:pPr>
    </w:p>
    <w:p w14:paraId="5300C6B3" w14:textId="77777777" w:rsidR="00DC3340" w:rsidRDefault="00DA0BCB" w:rsidP="00DC3340">
      <w:pPr>
        <w:adjustRightInd w:val="0"/>
        <w:contextualSpacing/>
        <w:rPr>
          <w:b/>
          <w:bCs/>
          <w:sz w:val="24"/>
          <w:szCs w:val="24"/>
        </w:rPr>
      </w:pPr>
      <w:r w:rsidRPr="00786D6A">
        <w:rPr>
          <w:b/>
          <w:bCs/>
          <w:sz w:val="24"/>
          <w:szCs w:val="24"/>
        </w:rPr>
        <w:lastRenderedPageBreak/>
        <w:t xml:space="preserve">4.3 </w:t>
      </w:r>
      <w:r w:rsidR="00D02C8E" w:rsidRPr="00786D6A">
        <w:rPr>
          <w:b/>
          <w:bCs/>
          <w:sz w:val="24"/>
          <w:szCs w:val="24"/>
        </w:rPr>
        <w:t>Summary of the Multiple Regression Analysis Model</w:t>
      </w:r>
    </w:p>
    <w:p w14:paraId="3DBB61D6" w14:textId="77777777" w:rsidR="000D1203" w:rsidRDefault="00BD016D" w:rsidP="000D1203">
      <w:pPr>
        <w:adjustRightInd w:val="0"/>
        <w:contextualSpacing/>
        <w:jc w:val="both"/>
        <w:rPr>
          <w:sz w:val="24"/>
          <w:szCs w:val="24"/>
        </w:rPr>
      </w:pPr>
      <w:r w:rsidRPr="00DC3340">
        <w:rPr>
          <w:sz w:val="24"/>
          <w:szCs w:val="24"/>
        </w:rPr>
        <w:t xml:space="preserve">Model summaries allow us to determine how much variance in the dependent variable can be attributed to the independent variables. A study was conducted to assess the impact of a different dividend policy on Islamic banking's performance in Pakistan. There were variations in Riba, the practice of distributing dividends, as a result of changes in dividend payout ratios. </w:t>
      </w:r>
      <w:r w:rsidR="00DC3340" w:rsidRPr="00DC3340">
        <w:rPr>
          <w:sz w:val="24"/>
          <w:szCs w:val="24"/>
        </w:rPr>
        <w:t>The review concluded that Riba had a significant impact on Islamic banking performance in Pakistan.</w:t>
      </w:r>
    </w:p>
    <w:p w14:paraId="5035C5C8" w14:textId="77777777" w:rsidR="000D1203" w:rsidRDefault="000D1203" w:rsidP="000D1203">
      <w:pPr>
        <w:adjustRightInd w:val="0"/>
        <w:contextualSpacing/>
        <w:jc w:val="both"/>
      </w:pPr>
    </w:p>
    <w:p w14:paraId="68CCC0D4" w14:textId="58A5157A" w:rsidR="00153B50" w:rsidRPr="000D1203" w:rsidRDefault="00153B50" w:rsidP="000D1203">
      <w:pPr>
        <w:adjustRightInd w:val="0"/>
        <w:contextualSpacing/>
        <w:jc w:val="both"/>
        <w:rPr>
          <w:b/>
          <w:bCs/>
          <w:sz w:val="32"/>
          <w:szCs w:val="32"/>
        </w:rPr>
      </w:pPr>
      <w:r w:rsidRPr="000D1203">
        <w:rPr>
          <w:b/>
          <w:bCs/>
          <w:sz w:val="24"/>
          <w:szCs w:val="24"/>
        </w:rPr>
        <w:t xml:space="preserve">Table 3: </w:t>
      </w:r>
      <w:r w:rsidRPr="000D1203">
        <w:rPr>
          <w:sz w:val="24"/>
          <w:szCs w:val="24"/>
        </w:rPr>
        <w:t>Model Summary</w:t>
      </w:r>
    </w:p>
    <w:tbl>
      <w:tblPr>
        <w:tblW w:w="0" w:type="auto"/>
        <w:tblBorders>
          <w:top w:val="single" w:sz="4" w:space="0" w:color="auto"/>
          <w:bottom w:val="single" w:sz="4" w:space="0" w:color="auto"/>
        </w:tblBorders>
        <w:tblLook w:val="04A0" w:firstRow="1" w:lastRow="0" w:firstColumn="1" w:lastColumn="0" w:noHBand="0" w:noVBand="1"/>
      </w:tblPr>
      <w:tblGrid>
        <w:gridCol w:w="2020"/>
        <w:gridCol w:w="2007"/>
        <w:gridCol w:w="2007"/>
        <w:gridCol w:w="2024"/>
        <w:gridCol w:w="2022"/>
      </w:tblGrid>
      <w:tr w:rsidR="00153B50" w:rsidRPr="00A268E4" w14:paraId="3F4AAB52" w14:textId="77777777" w:rsidTr="00153B50">
        <w:tc>
          <w:tcPr>
            <w:tcW w:w="2122" w:type="dxa"/>
          </w:tcPr>
          <w:p w14:paraId="760AD96C" w14:textId="20E7CB05" w:rsidR="00153B50" w:rsidRPr="00A268E4" w:rsidRDefault="00153B50" w:rsidP="00153B50">
            <w:pPr>
              <w:pStyle w:val="pb-2"/>
              <w:jc w:val="both"/>
              <w:rPr>
                <w:b/>
                <w:bCs/>
                <w:color w:val="000000" w:themeColor="text1"/>
                <w:sz w:val="20"/>
                <w:szCs w:val="20"/>
              </w:rPr>
            </w:pPr>
            <w:r w:rsidRPr="00A268E4">
              <w:rPr>
                <w:b/>
                <w:bCs/>
                <w:color w:val="000000" w:themeColor="text1"/>
                <w:sz w:val="20"/>
                <w:szCs w:val="20"/>
              </w:rPr>
              <w:t xml:space="preserve">Model </w:t>
            </w:r>
          </w:p>
        </w:tc>
        <w:tc>
          <w:tcPr>
            <w:tcW w:w="2122" w:type="dxa"/>
          </w:tcPr>
          <w:p w14:paraId="1943FB4C" w14:textId="77644EFD" w:rsidR="00153B50" w:rsidRPr="00A268E4" w:rsidRDefault="00153B50" w:rsidP="00153B50">
            <w:pPr>
              <w:pStyle w:val="pb-2"/>
              <w:jc w:val="both"/>
              <w:rPr>
                <w:b/>
                <w:bCs/>
                <w:color w:val="000000" w:themeColor="text1"/>
                <w:sz w:val="20"/>
                <w:szCs w:val="20"/>
              </w:rPr>
            </w:pPr>
            <w:r w:rsidRPr="00A268E4">
              <w:rPr>
                <w:b/>
                <w:bCs/>
                <w:color w:val="000000" w:themeColor="text1"/>
                <w:sz w:val="20"/>
                <w:szCs w:val="20"/>
              </w:rPr>
              <w:t>R</w:t>
            </w:r>
          </w:p>
        </w:tc>
        <w:tc>
          <w:tcPr>
            <w:tcW w:w="2122" w:type="dxa"/>
          </w:tcPr>
          <w:p w14:paraId="600C5E36" w14:textId="39262B25" w:rsidR="00153B50" w:rsidRPr="00A268E4" w:rsidRDefault="00153B50" w:rsidP="00153B50">
            <w:pPr>
              <w:pStyle w:val="pb-2"/>
              <w:jc w:val="both"/>
              <w:rPr>
                <w:b/>
                <w:bCs/>
                <w:color w:val="000000" w:themeColor="text1"/>
                <w:sz w:val="20"/>
                <w:szCs w:val="20"/>
              </w:rPr>
            </w:pPr>
            <w:r w:rsidRPr="00A268E4">
              <w:rPr>
                <w:b/>
                <w:bCs/>
                <w:color w:val="000000" w:themeColor="text1"/>
                <w:sz w:val="20"/>
                <w:szCs w:val="20"/>
              </w:rPr>
              <w:t>R-Sq</w:t>
            </w:r>
          </w:p>
        </w:tc>
        <w:tc>
          <w:tcPr>
            <w:tcW w:w="2122" w:type="dxa"/>
          </w:tcPr>
          <w:p w14:paraId="55872205" w14:textId="28302BC0" w:rsidR="00153B50" w:rsidRPr="00A268E4" w:rsidRDefault="00153B50" w:rsidP="00153B50">
            <w:pPr>
              <w:pStyle w:val="pb-2"/>
              <w:jc w:val="both"/>
              <w:rPr>
                <w:b/>
                <w:bCs/>
                <w:color w:val="000000" w:themeColor="text1"/>
                <w:sz w:val="20"/>
                <w:szCs w:val="20"/>
              </w:rPr>
            </w:pPr>
            <w:r w:rsidRPr="00A268E4">
              <w:rPr>
                <w:b/>
                <w:bCs/>
                <w:color w:val="000000" w:themeColor="text1"/>
                <w:sz w:val="20"/>
                <w:szCs w:val="20"/>
              </w:rPr>
              <w:t>Adjust</w:t>
            </w:r>
          </w:p>
        </w:tc>
        <w:tc>
          <w:tcPr>
            <w:tcW w:w="2122" w:type="dxa"/>
          </w:tcPr>
          <w:p w14:paraId="3C3102F1" w14:textId="43F59219" w:rsidR="00153B50" w:rsidRPr="00A268E4" w:rsidRDefault="00153B50" w:rsidP="00153B50">
            <w:pPr>
              <w:pStyle w:val="pb-2"/>
              <w:jc w:val="both"/>
              <w:rPr>
                <w:b/>
                <w:bCs/>
                <w:color w:val="000000" w:themeColor="text1"/>
                <w:sz w:val="20"/>
                <w:szCs w:val="20"/>
              </w:rPr>
            </w:pPr>
            <w:r w:rsidRPr="00A268E4">
              <w:rPr>
                <w:b/>
                <w:bCs/>
                <w:color w:val="000000" w:themeColor="text1"/>
                <w:sz w:val="20"/>
                <w:szCs w:val="20"/>
              </w:rPr>
              <w:t>R-St. Error</w:t>
            </w:r>
          </w:p>
        </w:tc>
      </w:tr>
      <w:tr w:rsidR="00153B50" w:rsidRPr="00A268E4" w14:paraId="71A2CE93" w14:textId="77777777" w:rsidTr="00153B50">
        <w:tc>
          <w:tcPr>
            <w:tcW w:w="2122" w:type="dxa"/>
          </w:tcPr>
          <w:p w14:paraId="2E9B457A" w14:textId="1DB91DF8" w:rsidR="00153B50" w:rsidRPr="00A268E4" w:rsidRDefault="00153B50" w:rsidP="00153B50">
            <w:pPr>
              <w:pStyle w:val="pb-2"/>
              <w:jc w:val="both"/>
              <w:rPr>
                <w:color w:val="000000" w:themeColor="text1"/>
                <w:sz w:val="20"/>
                <w:szCs w:val="20"/>
              </w:rPr>
            </w:pPr>
            <w:r w:rsidRPr="00A268E4">
              <w:rPr>
                <w:color w:val="000000" w:themeColor="text1"/>
                <w:sz w:val="20"/>
                <w:szCs w:val="20"/>
              </w:rPr>
              <w:t>1</w:t>
            </w:r>
          </w:p>
        </w:tc>
        <w:tc>
          <w:tcPr>
            <w:tcW w:w="2122" w:type="dxa"/>
          </w:tcPr>
          <w:p w14:paraId="15C52740" w14:textId="5169B56B" w:rsidR="00153B50" w:rsidRPr="00A268E4" w:rsidRDefault="00153B50" w:rsidP="00153B50">
            <w:pPr>
              <w:pStyle w:val="pb-2"/>
              <w:jc w:val="both"/>
              <w:rPr>
                <w:color w:val="000000" w:themeColor="text1"/>
                <w:sz w:val="20"/>
                <w:szCs w:val="20"/>
              </w:rPr>
            </w:pPr>
            <w:r w:rsidRPr="00A268E4">
              <w:rPr>
                <w:color w:val="000000" w:themeColor="text1"/>
                <w:sz w:val="20"/>
                <w:szCs w:val="20"/>
              </w:rPr>
              <w:t>.937</w:t>
            </w:r>
            <w:r w:rsidRPr="00A268E4">
              <w:rPr>
                <w:sz w:val="20"/>
                <w:szCs w:val="20"/>
                <w:vertAlign w:val="superscript"/>
              </w:rPr>
              <w:t xml:space="preserve"> a</w:t>
            </w:r>
          </w:p>
        </w:tc>
        <w:tc>
          <w:tcPr>
            <w:tcW w:w="2122" w:type="dxa"/>
          </w:tcPr>
          <w:p w14:paraId="477F7221" w14:textId="31ACC2C5" w:rsidR="00153B50" w:rsidRPr="00A268E4" w:rsidRDefault="00153B50" w:rsidP="00153B50">
            <w:pPr>
              <w:pStyle w:val="pb-2"/>
              <w:jc w:val="both"/>
              <w:rPr>
                <w:color w:val="000000" w:themeColor="text1"/>
                <w:sz w:val="20"/>
                <w:szCs w:val="20"/>
              </w:rPr>
            </w:pPr>
            <w:r w:rsidRPr="00A268E4">
              <w:rPr>
                <w:color w:val="000000" w:themeColor="text1"/>
                <w:sz w:val="20"/>
                <w:szCs w:val="20"/>
              </w:rPr>
              <w:t>.8</w:t>
            </w:r>
            <w:r w:rsidR="00C46B2E" w:rsidRPr="00A268E4">
              <w:rPr>
                <w:color w:val="000000" w:themeColor="text1"/>
                <w:sz w:val="20"/>
                <w:szCs w:val="20"/>
              </w:rPr>
              <w:t>8</w:t>
            </w:r>
            <w:r w:rsidRPr="00A268E4">
              <w:rPr>
                <w:color w:val="000000" w:themeColor="text1"/>
                <w:sz w:val="20"/>
                <w:szCs w:val="20"/>
              </w:rPr>
              <w:t>8</w:t>
            </w:r>
          </w:p>
        </w:tc>
        <w:tc>
          <w:tcPr>
            <w:tcW w:w="2122" w:type="dxa"/>
          </w:tcPr>
          <w:p w14:paraId="7F4A3872" w14:textId="1B029E94" w:rsidR="00153B50" w:rsidRPr="00A268E4" w:rsidRDefault="00153B50" w:rsidP="00153B50">
            <w:pPr>
              <w:pStyle w:val="pb-2"/>
              <w:jc w:val="both"/>
              <w:rPr>
                <w:color w:val="000000" w:themeColor="text1"/>
                <w:sz w:val="20"/>
                <w:szCs w:val="20"/>
              </w:rPr>
            </w:pPr>
            <w:r w:rsidRPr="00A268E4">
              <w:rPr>
                <w:color w:val="000000" w:themeColor="text1"/>
                <w:sz w:val="20"/>
                <w:szCs w:val="20"/>
              </w:rPr>
              <w:t>.869</w:t>
            </w:r>
          </w:p>
        </w:tc>
        <w:tc>
          <w:tcPr>
            <w:tcW w:w="2122" w:type="dxa"/>
          </w:tcPr>
          <w:p w14:paraId="5D647329" w14:textId="6E42A2FC" w:rsidR="00153B50" w:rsidRPr="00A268E4" w:rsidRDefault="00153B50" w:rsidP="00153B50">
            <w:pPr>
              <w:pStyle w:val="pb-2"/>
              <w:jc w:val="both"/>
              <w:rPr>
                <w:color w:val="000000" w:themeColor="text1"/>
                <w:sz w:val="20"/>
                <w:szCs w:val="20"/>
              </w:rPr>
            </w:pPr>
            <w:r w:rsidRPr="00A268E4">
              <w:rPr>
                <w:color w:val="000000" w:themeColor="text1"/>
                <w:sz w:val="20"/>
                <w:szCs w:val="20"/>
              </w:rPr>
              <w:t>.06068</w:t>
            </w:r>
          </w:p>
        </w:tc>
      </w:tr>
    </w:tbl>
    <w:p w14:paraId="17B13716" w14:textId="73EBFB46" w:rsidR="00153B50" w:rsidRDefault="00153B50" w:rsidP="00153B50">
      <w:pPr>
        <w:pStyle w:val="Heading1"/>
        <w:numPr>
          <w:ilvl w:val="0"/>
          <w:numId w:val="6"/>
        </w:numPr>
        <w:spacing w:before="120"/>
        <w:jc w:val="center"/>
        <w:rPr>
          <w:b w:val="0"/>
          <w:bCs w:val="0"/>
          <w:i/>
          <w:iCs/>
          <w:sz w:val="20"/>
          <w:szCs w:val="20"/>
        </w:rPr>
      </w:pPr>
      <w:r w:rsidRPr="00A268E4">
        <w:rPr>
          <w:b w:val="0"/>
          <w:bCs w:val="0"/>
          <w:i/>
          <w:iCs/>
          <w:sz w:val="20"/>
          <w:szCs w:val="20"/>
        </w:rPr>
        <w:t>Predicators: Dividend payout ratio, Riba (Constant)</w:t>
      </w:r>
    </w:p>
    <w:p w14:paraId="31724297" w14:textId="77777777" w:rsidR="00AB581C" w:rsidRPr="00A268E4" w:rsidRDefault="00AB581C" w:rsidP="00AB581C">
      <w:pPr>
        <w:pStyle w:val="Heading1"/>
        <w:spacing w:before="120"/>
        <w:ind w:left="740"/>
        <w:rPr>
          <w:b w:val="0"/>
          <w:bCs w:val="0"/>
          <w:i/>
          <w:iCs/>
          <w:sz w:val="20"/>
          <w:szCs w:val="20"/>
        </w:rPr>
      </w:pPr>
    </w:p>
    <w:p w14:paraId="45A8D9EE" w14:textId="65A4DF12" w:rsidR="0006155B" w:rsidRDefault="00AB581C" w:rsidP="00AB581C">
      <w:pPr>
        <w:adjustRightInd w:val="0"/>
        <w:contextualSpacing/>
        <w:jc w:val="both"/>
        <w:rPr>
          <w:sz w:val="24"/>
          <w:szCs w:val="24"/>
        </w:rPr>
      </w:pPr>
      <w:r w:rsidRPr="00AB581C">
        <w:rPr>
          <w:sz w:val="24"/>
          <w:szCs w:val="24"/>
        </w:rPr>
        <w:t>Table 3 shows that the R square value is 0.878. This indicates that changes in the dividend payout ratio and riba may be responsible for the variance in financial well-being of 88.8%. Based on the remaining 12.3%, it appears that additional factors may contribute to the explanation for the variance in Islamic banking performance in Pakistan. These factors were not considered in this study. In addition, the findings indicate that there are independent variables (Riba, dividend payout ratio).</w:t>
      </w:r>
    </w:p>
    <w:p w14:paraId="22D96D67" w14:textId="77777777" w:rsidR="00AB581C" w:rsidRPr="007C525B" w:rsidRDefault="00AB581C" w:rsidP="00AB581C">
      <w:pPr>
        <w:adjustRightInd w:val="0"/>
        <w:contextualSpacing/>
        <w:jc w:val="both"/>
        <w:rPr>
          <w:sz w:val="24"/>
          <w:szCs w:val="24"/>
        </w:rPr>
      </w:pPr>
    </w:p>
    <w:p w14:paraId="6BD06010" w14:textId="576E0D5D" w:rsidR="004D7EBA" w:rsidRPr="007C525B" w:rsidRDefault="00461115" w:rsidP="00461115">
      <w:pPr>
        <w:adjustRightInd w:val="0"/>
        <w:contextualSpacing/>
        <w:rPr>
          <w:b/>
          <w:bCs/>
          <w:sz w:val="24"/>
          <w:szCs w:val="24"/>
        </w:rPr>
      </w:pPr>
      <w:r>
        <w:rPr>
          <w:b/>
          <w:bCs/>
          <w:sz w:val="24"/>
          <w:szCs w:val="24"/>
        </w:rPr>
        <w:t xml:space="preserve">4.4 </w:t>
      </w:r>
      <w:r w:rsidR="0006155B" w:rsidRPr="007C525B">
        <w:rPr>
          <w:b/>
          <w:bCs/>
          <w:sz w:val="24"/>
          <w:szCs w:val="24"/>
        </w:rPr>
        <w:t xml:space="preserve">Variance Analysis </w:t>
      </w:r>
    </w:p>
    <w:p w14:paraId="2E69DF99" w14:textId="77F8C816" w:rsidR="00EA7E67" w:rsidRDefault="00461115" w:rsidP="0006155B">
      <w:pPr>
        <w:jc w:val="both"/>
        <w:rPr>
          <w:sz w:val="24"/>
          <w:szCs w:val="24"/>
        </w:rPr>
      </w:pPr>
      <w:r w:rsidRPr="00461115">
        <w:rPr>
          <w:sz w:val="24"/>
          <w:szCs w:val="24"/>
        </w:rPr>
        <w:t>Using variance analysis, it can be demonstrated that the developed model is significant. Statistical significance was assessed using a five percent significance level in this study.</w:t>
      </w:r>
    </w:p>
    <w:p w14:paraId="6ECF7028" w14:textId="77777777" w:rsidR="00461115" w:rsidRPr="007C525B" w:rsidRDefault="00461115" w:rsidP="0006155B">
      <w:pPr>
        <w:jc w:val="both"/>
        <w:rPr>
          <w:sz w:val="24"/>
          <w:szCs w:val="24"/>
        </w:rPr>
      </w:pPr>
    </w:p>
    <w:p w14:paraId="42B13FAC" w14:textId="32C2A3AC" w:rsidR="00EA7E67" w:rsidRPr="007C525B" w:rsidRDefault="00EA7E67" w:rsidP="0006155B">
      <w:pPr>
        <w:jc w:val="both"/>
        <w:rPr>
          <w:b/>
          <w:bCs/>
          <w:sz w:val="24"/>
          <w:szCs w:val="24"/>
        </w:rPr>
      </w:pPr>
      <w:r w:rsidRPr="007C525B">
        <w:rPr>
          <w:b/>
          <w:bCs/>
          <w:sz w:val="24"/>
          <w:szCs w:val="24"/>
        </w:rPr>
        <w:t xml:space="preserve">Table 4: </w:t>
      </w:r>
      <w:r w:rsidRPr="00461115">
        <w:rPr>
          <w:sz w:val="24"/>
          <w:szCs w:val="24"/>
        </w:rPr>
        <w:t>ANOVA</w:t>
      </w:r>
    </w:p>
    <w:tbl>
      <w:tblPr>
        <w:tblW w:w="0" w:type="auto"/>
        <w:tblBorders>
          <w:top w:val="single" w:sz="4" w:space="0" w:color="auto"/>
          <w:bottom w:val="single" w:sz="4" w:space="0" w:color="auto"/>
        </w:tblBorders>
        <w:tblLook w:val="04A0" w:firstRow="1" w:lastRow="0" w:firstColumn="1" w:lastColumn="0" w:noHBand="0" w:noVBand="1"/>
      </w:tblPr>
      <w:tblGrid>
        <w:gridCol w:w="1712"/>
        <w:gridCol w:w="1674"/>
        <w:gridCol w:w="1653"/>
        <w:gridCol w:w="1683"/>
        <w:gridCol w:w="1683"/>
        <w:gridCol w:w="1675"/>
      </w:tblGrid>
      <w:tr w:rsidR="005415ED" w:rsidRPr="00A268E4" w14:paraId="458FB3BE" w14:textId="77777777" w:rsidTr="000D1375">
        <w:tc>
          <w:tcPr>
            <w:tcW w:w="1768" w:type="dxa"/>
            <w:tcBorders>
              <w:top w:val="single" w:sz="4" w:space="0" w:color="auto"/>
              <w:bottom w:val="single" w:sz="4" w:space="0" w:color="auto"/>
            </w:tcBorders>
          </w:tcPr>
          <w:p w14:paraId="6F7A47A1" w14:textId="3D26F59C" w:rsidR="005415ED" w:rsidRPr="00A268E4" w:rsidRDefault="005415ED" w:rsidP="005415ED">
            <w:pPr>
              <w:pStyle w:val="pb-2"/>
              <w:jc w:val="both"/>
              <w:rPr>
                <w:b/>
                <w:bCs/>
                <w:color w:val="000000" w:themeColor="text1"/>
                <w:sz w:val="20"/>
                <w:szCs w:val="20"/>
              </w:rPr>
            </w:pPr>
            <w:r w:rsidRPr="00A268E4">
              <w:rPr>
                <w:b/>
                <w:bCs/>
                <w:color w:val="000000" w:themeColor="text1"/>
                <w:sz w:val="20"/>
                <w:szCs w:val="20"/>
              </w:rPr>
              <w:t>Model</w:t>
            </w:r>
          </w:p>
        </w:tc>
        <w:tc>
          <w:tcPr>
            <w:tcW w:w="1768" w:type="dxa"/>
            <w:tcBorders>
              <w:top w:val="single" w:sz="4" w:space="0" w:color="auto"/>
              <w:bottom w:val="single" w:sz="4" w:space="0" w:color="auto"/>
            </w:tcBorders>
          </w:tcPr>
          <w:p w14:paraId="411ACB8C" w14:textId="59D27A61" w:rsidR="005415ED" w:rsidRPr="00A268E4" w:rsidRDefault="005415ED" w:rsidP="005415ED">
            <w:pPr>
              <w:pStyle w:val="pb-2"/>
              <w:jc w:val="both"/>
              <w:rPr>
                <w:b/>
                <w:bCs/>
                <w:color w:val="000000" w:themeColor="text1"/>
                <w:sz w:val="20"/>
                <w:szCs w:val="20"/>
              </w:rPr>
            </w:pPr>
            <w:r w:rsidRPr="00A268E4">
              <w:rPr>
                <w:b/>
                <w:bCs/>
                <w:color w:val="000000" w:themeColor="text1"/>
                <w:sz w:val="20"/>
                <w:szCs w:val="20"/>
              </w:rPr>
              <w:t>Sum-Sq</w:t>
            </w:r>
          </w:p>
        </w:tc>
        <w:tc>
          <w:tcPr>
            <w:tcW w:w="1768" w:type="dxa"/>
            <w:tcBorders>
              <w:top w:val="single" w:sz="4" w:space="0" w:color="auto"/>
              <w:bottom w:val="single" w:sz="4" w:space="0" w:color="auto"/>
            </w:tcBorders>
          </w:tcPr>
          <w:p w14:paraId="3BFF8E9B" w14:textId="7783D55A" w:rsidR="005415ED" w:rsidRPr="00A268E4" w:rsidRDefault="005415ED" w:rsidP="005415ED">
            <w:pPr>
              <w:pStyle w:val="pb-2"/>
              <w:jc w:val="both"/>
              <w:rPr>
                <w:b/>
                <w:bCs/>
                <w:color w:val="000000" w:themeColor="text1"/>
                <w:sz w:val="20"/>
                <w:szCs w:val="20"/>
              </w:rPr>
            </w:pPr>
            <w:r w:rsidRPr="00A268E4">
              <w:rPr>
                <w:b/>
                <w:bCs/>
                <w:color w:val="000000" w:themeColor="text1"/>
                <w:sz w:val="20"/>
                <w:szCs w:val="20"/>
              </w:rPr>
              <w:t>Df</w:t>
            </w:r>
          </w:p>
        </w:tc>
        <w:tc>
          <w:tcPr>
            <w:tcW w:w="1768" w:type="dxa"/>
            <w:tcBorders>
              <w:top w:val="single" w:sz="4" w:space="0" w:color="auto"/>
              <w:bottom w:val="single" w:sz="4" w:space="0" w:color="auto"/>
            </w:tcBorders>
          </w:tcPr>
          <w:p w14:paraId="560E947E" w14:textId="7DC21B82" w:rsidR="005415ED" w:rsidRPr="00A268E4" w:rsidRDefault="005415ED" w:rsidP="005415ED">
            <w:pPr>
              <w:pStyle w:val="pb-2"/>
              <w:jc w:val="both"/>
              <w:rPr>
                <w:b/>
                <w:bCs/>
                <w:color w:val="000000" w:themeColor="text1"/>
                <w:sz w:val="20"/>
                <w:szCs w:val="20"/>
              </w:rPr>
            </w:pPr>
            <w:r w:rsidRPr="00A268E4">
              <w:rPr>
                <w:b/>
                <w:bCs/>
                <w:color w:val="000000" w:themeColor="text1"/>
                <w:sz w:val="20"/>
                <w:szCs w:val="20"/>
              </w:rPr>
              <w:t>Mean-Sq</w:t>
            </w:r>
          </w:p>
        </w:tc>
        <w:tc>
          <w:tcPr>
            <w:tcW w:w="1769" w:type="dxa"/>
            <w:tcBorders>
              <w:top w:val="single" w:sz="4" w:space="0" w:color="auto"/>
              <w:bottom w:val="single" w:sz="4" w:space="0" w:color="auto"/>
            </w:tcBorders>
          </w:tcPr>
          <w:p w14:paraId="08638ADB" w14:textId="1AA640FE" w:rsidR="005415ED" w:rsidRPr="00A268E4" w:rsidRDefault="005415ED" w:rsidP="005415ED">
            <w:pPr>
              <w:pStyle w:val="pb-2"/>
              <w:jc w:val="both"/>
              <w:rPr>
                <w:b/>
                <w:bCs/>
                <w:color w:val="000000" w:themeColor="text1"/>
                <w:sz w:val="20"/>
                <w:szCs w:val="20"/>
              </w:rPr>
            </w:pPr>
            <w:r w:rsidRPr="00A268E4">
              <w:rPr>
                <w:b/>
                <w:bCs/>
                <w:color w:val="000000" w:themeColor="text1"/>
                <w:sz w:val="20"/>
                <w:szCs w:val="20"/>
              </w:rPr>
              <w:t>F</w:t>
            </w:r>
          </w:p>
        </w:tc>
        <w:tc>
          <w:tcPr>
            <w:tcW w:w="1769" w:type="dxa"/>
            <w:tcBorders>
              <w:top w:val="single" w:sz="4" w:space="0" w:color="auto"/>
              <w:bottom w:val="single" w:sz="4" w:space="0" w:color="auto"/>
            </w:tcBorders>
          </w:tcPr>
          <w:p w14:paraId="6DD2A84E" w14:textId="5EEBA449" w:rsidR="005415ED" w:rsidRPr="00A268E4" w:rsidRDefault="005415ED" w:rsidP="005415ED">
            <w:pPr>
              <w:pStyle w:val="pb-2"/>
              <w:jc w:val="both"/>
              <w:rPr>
                <w:b/>
                <w:bCs/>
                <w:color w:val="000000" w:themeColor="text1"/>
                <w:sz w:val="20"/>
                <w:szCs w:val="20"/>
              </w:rPr>
            </w:pPr>
            <w:r w:rsidRPr="00A268E4">
              <w:rPr>
                <w:b/>
                <w:bCs/>
                <w:color w:val="000000" w:themeColor="text1"/>
                <w:sz w:val="20"/>
                <w:szCs w:val="20"/>
              </w:rPr>
              <w:t>Sig.</w:t>
            </w:r>
          </w:p>
        </w:tc>
      </w:tr>
      <w:tr w:rsidR="00F97723" w:rsidRPr="00A268E4" w14:paraId="7ED66BCC" w14:textId="77777777" w:rsidTr="000D1375">
        <w:trPr>
          <w:trHeight w:val="120"/>
        </w:trPr>
        <w:tc>
          <w:tcPr>
            <w:tcW w:w="1768" w:type="dxa"/>
            <w:tcBorders>
              <w:top w:val="single" w:sz="4" w:space="0" w:color="auto"/>
            </w:tcBorders>
          </w:tcPr>
          <w:p w14:paraId="34EF6028" w14:textId="008C4B18" w:rsidR="00F63DBD" w:rsidRPr="00A268E4" w:rsidRDefault="00F63DBD" w:rsidP="00F63DBD">
            <w:pPr>
              <w:pStyle w:val="pb-2"/>
              <w:jc w:val="both"/>
              <w:rPr>
                <w:color w:val="000000" w:themeColor="text1"/>
                <w:sz w:val="20"/>
                <w:szCs w:val="20"/>
              </w:rPr>
            </w:pPr>
            <w:r w:rsidRPr="00A268E4">
              <w:rPr>
                <w:color w:val="000000" w:themeColor="text1"/>
                <w:sz w:val="20"/>
                <w:szCs w:val="20"/>
              </w:rPr>
              <w:t>1-Regression</w:t>
            </w:r>
          </w:p>
        </w:tc>
        <w:tc>
          <w:tcPr>
            <w:tcW w:w="1768" w:type="dxa"/>
            <w:tcBorders>
              <w:top w:val="single" w:sz="4" w:space="0" w:color="auto"/>
            </w:tcBorders>
          </w:tcPr>
          <w:p w14:paraId="5E48BA18" w14:textId="0856EBB8" w:rsidR="00F97723" w:rsidRPr="00A268E4" w:rsidRDefault="00F63DBD" w:rsidP="005415ED">
            <w:pPr>
              <w:pStyle w:val="pb-2"/>
              <w:jc w:val="both"/>
              <w:rPr>
                <w:color w:val="000000" w:themeColor="text1"/>
                <w:sz w:val="20"/>
                <w:szCs w:val="20"/>
              </w:rPr>
            </w:pPr>
            <w:r w:rsidRPr="00A268E4">
              <w:rPr>
                <w:color w:val="000000" w:themeColor="text1"/>
                <w:sz w:val="20"/>
                <w:szCs w:val="20"/>
              </w:rPr>
              <w:t>1.234</w:t>
            </w:r>
          </w:p>
        </w:tc>
        <w:tc>
          <w:tcPr>
            <w:tcW w:w="1768" w:type="dxa"/>
            <w:tcBorders>
              <w:top w:val="single" w:sz="4" w:space="0" w:color="auto"/>
            </w:tcBorders>
          </w:tcPr>
          <w:p w14:paraId="27180336" w14:textId="660DDAA1" w:rsidR="00F97723" w:rsidRPr="00A268E4" w:rsidRDefault="00F63DBD" w:rsidP="005415ED">
            <w:pPr>
              <w:pStyle w:val="pb-2"/>
              <w:jc w:val="both"/>
              <w:rPr>
                <w:color w:val="000000" w:themeColor="text1"/>
                <w:sz w:val="20"/>
                <w:szCs w:val="20"/>
              </w:rPr>
            </w:pPr>
            <w:r w:rsidRPr="00A268E4">
              <w:rPr>
                <w:color w:val="000000" w:themeColor="text1"/>
                <w:sz w:val="20"/>
                <w:szCs w:val="20"/>
              </w:rPr>
              <w:t>4</w:t>
            </w:r>
          </w:p>
        </w:tc>
        <w:tc>
          <w:tcPr>
            <w:tcW w:w="1768" w:type="dxa"/>
            <w:tcBorders>
              <w:top w:val="single" w:sz="4" w:space="0" w:color="auto"/>
            </w:tcBorders>
          </w:tcPr>
          <w:p w14:paraId="5F3FF5F3" w14:textId="0AB846BC" w:rsidR="00F97723" w:rsidRPr="00A268E4" w:rsidRDefault="00F63DBD" w:rsidP="005415ED">
            <w:pPr>
              <w:pStyle w:val="pb-2"/>
              <w:jc w:val="both"/>
              <w:rPr>
                <w:color w:val="000000" w:themeColor="text1"/>
                <w:sz w:val="20"/>
                <w:szCs w:val="20"/>
              </w:rPr>
            </w:pPr>
            <w:r w:rsidRPr="00A268E4">
              <w:rPr>
                <w:color w:val="000000" w:themeColor="text1"/>
                <w:sz w:val="20"/>
                <w:szCs w:val="20"/>
              </w:rPr>
              <w:t>.309</w:t>
            </w:r>
          </w:p>
        </w:tc>
        <w:tc>
          <w:tcPr>
            <w:tcW w:w="1769" w:type="dxa"/>
            <w:tcBorders>
              <w:top w:val="single" w:sz="4" w:space="0" w:color="auto"/>
            </w:tcBorders>
          </w:tcPr>
          <w:p w14:paraId="33CB421F" w14:textId="1517BACF" w:rsidR="00F97723" w:rsidRPr="00A268E4" w:rsidRDefault="00F63DBD" w:rsidP="005415ED">
            <w:pPr>
              <w:pStyle w:val="pb-2"/>
              <w:jc w:val="both"/>
              <w:rPr>
                <w:color w:val="000000" w:themeColor="text1"/>
                <w:sz w:val="20"/>
                <w:szCs w:val="20"/>
              </w:rPr>
            </w:pPr>
            <w:r w:rsidRPr="00A268E4">
              <w:rPr>
                <w:color w:val="000000" w:themeColor="text1"/>
                <w:sz w:val="20"/>
                <w:szCs w:val="20"/>
              </w:rPr>
              <w:t>92.717</w:t>
            </w:r>
          </w:p>
        </w:tc>
        <w:tc>
          <w:tcPr>
            <w:tcW w:w="1769" w:type="dxa"/>
            <w:tcBorders>
              <w:top w:val="single" w:sz="4" w:space="0" w:color="auto"/>
            </w:tcBorders>
          </w:tcPr>
          <w:p w14:paraId="17B466BF" w14:textId="78E3C842" w:rsidR="00F97723" w:rsidRPr="00A268E4" w:rsidRDefault="00F63DBD" w:rsidP="005415ED">
            <w:pPr>
              <w:pStyle w:val="pb-2"/>
              <w:jc w:val="both"/>
              <w:rPr>
                <w:color w:val="000000" w:themeColor="text1"/>
                <w:sz w:val="20"/>
                <w:szCs w:val="20"/>
              </w:rPr>
            </w:pPr>
            <w:r w:rsidRPr="00A268E4">
              <w:rPr>
                <w:color w:val="000000" w:themeColor="text1"/>
                <w:sz w:val="20"/>
                <w:szCs w:val="20"/>
              </w:rPr>
              <w:t>0.000</w:t>
            </w:r>
          </w:p>
        </w:tc>
      </w:tr>
      <w:tr w:rsidR="00F97723" w:rsidRPr="00A268E4" w14:paraId="46646356" w14:textId="77777777" w:rsidTr="000D1375">
        <w:trPr>
          <w:trHeight w:val="120"/>
        </w:trPr>
        <w:tc>
          <w:tcPr>
            <w:tcW w:w="1768" w:type="dxa"/>
          </w:tcPr>
          <w:p w14:paraId="04368101" w14:textId="5B7FB519" w:rsidR="00F97723" w:rsidRPr="00A268E4" w:rsidRDefault="00F63DBD" w:rsidP="005415ED">
            <w:pPr>
              <w:pStyle w:val="pb-2"/>
              <w:jc w:val="both"/>
              <w:rPr>
                <w:color w:val="000000" w:themeColor="text1"/>
                <w:sz w:val="20"/>
                <w:szCs w:val="20"/>
              </w:rPr>
            </w:pPr>
            <w:r w:rsidRPr="00A268E4">
              <w:rPr>
                <w:color w:val="000000" w:themeColor="text1"/>
                <w:sz w:val="20"/>
                <w:szCs w:val="20"/>
              </w:rPr>
              <w:t xml:space="preserve">Residual </w:t>
            </w:r>
          </w:p>
        </w:tc>
        <w:tc>
          <w:tcPr>
            <w:tcW w:w="1768" w:type="dxa"/>
          </w:tcPr>
          <w:p w14:paraId="39FFC5D3" w14:textId="2337347E" w:rsidR="00F97723" w:rsidRPr="00A268E4" w:rsidRDefault="00F63DBD" w:rsidP="005415ED">
            <w:pPr>
              <w:pStyle w:val="pb-2"/>
              <w:jc w:val="both"/>
              <w:rPr>
                <w:color w:val="000000" w:themeColor="text1"/>
                <w:sz w:val="20"/>
                <w:szCs w:val="20"/>
              </w:rPr>
            </w:pPr>
            <w:r w:rsidRPr="00A268E4">
              <w:rPr>
                <w:color w:val="000000" w:themeColor="text1"/>
                <w:sz w:val="20"/>
                <w:szCs w:val="20"/>
              </w:rPr>
              <w:t>.174</w:t>
            </w:r>
          </w:p>
        </w:tc>
        <w:tc>
          <w:tcPr>
            <w:tcW w:w="1768" w:type="dxa"/>
          </w:tcPr>
          <w:p w14:paraId="24550DEA" w14:textId="7767ADD0" w:rsidR="00F97723" w:rsidRPr="00A268E4" w:rsidRDefault="00F63DBD" w:rsidP="005415ED">
            <w:pPr>
              <w:pStyle w:val="pb-2"/>
              <w:jc w:val="both"/>
              <w:rPr>
                <w:color w:val="000000" w:themeColor="text1"/>
                <w:sz w:val="20"/>
                <w:szCs w:val="20"/>
              </w:rPr>
            </w:pPr>
            <w:r w:rsidRPr="00A268E4">
              <w:rPr>
                <w:color w:val="000000" w:themeColor="text1"/>
                <w:sz w:val="20"/>
                <w:szCs w:val="20"/>
              </w:rPr>
              <w:t>61</w:t>
            </w:r>
          </w:p>
        </w:tc>
        <w:tc>
          <w:tcPr>
            <w:tcW w:w="1768" w:type="dxa"/>
          </w:tcPr>
          <w:p w14:paraId="6E0390D0" w14:textId="17B036FA" w:rsidR="00F97723" w:rsidRPr="00A268E4" w:rsidRDefault="00F63DBD" w:rsidP="005415ED">
            <w:pPr>
              <w:pStyle w:val="pb-2"/>
              <w:jc w:val="both"/>
              <w:rPr>
                <w:color w:val="000000" w:themeColor="text1"/>
                <w:sz w:val="20"/>
                <w:szCs w:val="20"/>
              </w:rPr>
            </w:pPr>
            <w:r w:rsidRPr="00A268E4">
              <w:rPr>
                <w:color w:val="000000" w:themeColor="text1"/>
                <w:sz w:val="20"/>
                <w:szCs w:val="20"/>
              </w:rPr>
              <w:t>.004</w:t>
            </w:r>
          </w:p>
        </w:tc>
        <w:tc>
          <w:tcPr>
            <w:tcW w:w="1769" w:type="dxa"/>
          </w:tcPr>
          <w:p w14:paraId="19D76E5B" w14:textId="7404354E" w:rsidR="00F97723" w:rsidRPr="00A268E4" w:rsidRDefault="000D1375" w:rsidP="005415ED">
            <w:pPr>
              <w:pStyle w:val="pb-2"/>
              <w:jc w:val="both"/>
              <w:rPr>
                <w:color w:val="000000" w:themeColor="text1"/>
                <w:sz w:val="20"/>
                <w:szCs w:val="20"/>
              </w:rPr>
            </w:pPr>
            <w:r w:rsidRPr="00A268E4">
              <w:rPr>
                <w:color w:val="000000" w:themeColor="text1"/>
                <w:sz w:val="20"/>
                <w:szCs w:val="20"/>
              </w:rPr>
              <w:t>-</w:t>
            </w:r>
          </w:p>
        </w:tc>
        <w:tc>
          <w:tcPr>
            <w:tcW w:w="1769" w:type="dxa"/>
          </w:tcPr>
          <w:p w14:paraId="78B15705" w14:textId="56441F5F" w:rsidR="00F97723" w:rsidRPr="00A268E4" w:rsidRDefault="000D1375" w:rsidP="005415ED">
            <w:pPr>
              <w:pStyle w:val="pb-2"/>
              <w:jc w:val="both"/>
              <w:rPr>
                <w:color w:val="000000" w:themeColor="text1"/>
                <w:sz w:val="20"/>
                <w:szCs w:val="20"/>
              </w:rPr>
            </w:pPr>
            <w:r w:rsidRPr="00A268E4">
              <w:rPr>
                <w:color w:val="000000" w:themeColor="text1"/>
                <w:sz w:val="20"/>
                <w:szCs w:val="20"/>
              </w:rPr>
              <w:t>-</w:t>
            </w:r>
          </w:p>
        </w:tc>
      </w:tr>
      <w:tr w:rsidR="00F97723" w:rsidRPr="00A268E4" w14:paraId="3C0C55A4" w14:textId="77777777" w:rsidTr="000D1375">
        <w:trPr>
          <w:trHeight w:val="95"/>
        </w:trPr>
        <w:tc>
          <w:tcPr>
            <w:tcW w:w="1768" w:type="dxa"/>
          </w:tcPr>
          <w:p w14:paraId="32FFBE4E" w14:textId="100F5BDA" w:rsidR="00F97723" w:rsidRPr="00A268E4" w:rsidRDefault="00F63DBD" w:rsidP="005415ED">
            <w:pPr>
              <w:pStyle w:val="pb-2"/>
              <w:jc w:val="both"/>
              <w:rPr>
                <w:color w:val="000000" w:themeColor="text1"/>
                <w:sz w:val="20"/>
                <w:szCs w:val="20"/>
              </w:rPr>
            </w:pPr>
            <w:r w:rsidRPr="00A268E4">
              <w:rPr>
                <w:color w:val="000000" w:themeColor="text1"/>
                <w:sz w:val="20"/>
                <w:szCs w:val="20"/>
              </w:rPr>
              <w:t>Total</w:t>
            </w:r>
          </w:p>
        </w:tc>
        <w:tc>
          <w:tcPr>
            <w:tcW w:w="1768" w:type="dxa"/>
          </w:tcPr>
          <w:p w14:paraId="183479C6" w14:textId="11618A93" w:rsidR="00F97723" w:rsidRPr="00A268E4" w:rsidRDefault="00F63DBD" w:rsidP="005415ED">
            <w:pPr>
              <w:pStyle w:val="pb-2"/>
              <w:jc w:val="both"/>
              <w:rPr>
                <w:color w:val="000000" w:themeColor="text1"/>
                <w:sz w:val="20"/>
                <w:szCs w:val="20"/>
              </w:rPr>
            </w:pPr>
            <w:r w:rsidRPr="00A268E4">
              <w:rPr>
                <w:color w:val="000000" w:themeColor="text1"/>
                <w:sz w:val="20"/>
                <w:szCs w:val="20"/>
              </w:rPr>
              <w:t>1.407</w:t>
            </w:r>
          </w:p>
        </w:tc>
        <w:tc>
          <w:tcPr>
            <w:tcW w:w="1768" w:type="dxa"/>
          </w:tcPr>
          <w:p w14:paraId="303066B0" w14:textId="634AEC78" w:rsidR="00F97723" w:rsidRPr="00A268E4" w:rsidRDefault="00F63DBD" w:rsidP="005415ED">
            <w:pPr>
              <w:pStyle w:val="pb-2"/>
              <w:jc w:val="both"/>
              <w:rPr>
                <w:color w:val="000000" w:themeColor="text1"/>
                <w:sz w:val="20"/>
                <w:szCs w:val="20"/>
              </w:rPr>
            </w:pPr>
            <w:r w:rsidRPr="00A268E4">
              <w:rPr>
                <w:color w:val="000000" w:themeColor="text1"/>
                <w:sz w:val="20"/>
                <w:szCs w:val="20"/>
              </w:rPr>
              <w:t>66</w:t>
            </w:r>
          </w:p>
        </w:tc>
        <w:tc>
          <w:tcPr>
            <w:tcW w:w="1768" w:type="dxa"/>
          </w:tcPr>
          <w:p w14:paraId="4BE04BE6" w14:textId="5E39D94E" w:rsidR="00F97723" w:rsidRPr="00A268E4" w:rsidRDefault="00F63DBD" w:rsidP="005415ED">
            <w:pPr>
              <w:pStyle w:val="pb-2"/>
              <w:jc w:val="both"/>
              <w:rPr>
                <w:color w:val="000000" w:themeColor="text1"/>
                <w:sz w:val="20"/>
                <w:szCs w:val="20"/>
              </w:rPr>
            </w:pPr>
            <w:r w:rsidRPr="00A268E4">
              <w:rPr>
                <w:color w:val="000000" w:themeColor="text1"/>
                <w:sz w:val="20"/>
                <w:szCs w:val="20"/>
              </w:rPr>
              <w:t>-</w:t>
            </w:r>
          </w:p>
        </w:tc>
        <w:tc>
          <w:tcPr>
            <w:tcW w:w="1769" w:type="dxa"/>
          </w:tcPr>
          <w:p w14:paraId="76CC87D9" w14:textId="607DD43D" w:rsidR="00F97723" w:rsidRPr="00A268E4" w:rsidRDefault="000D1375" w:rsidP="005415ED">
            <w:pPr>
              <w:pStyle w:val="pb-2"/>
              <w:jc w:val="both"/>
              <w:rPr>
                <w:color w:val="000000" w:themeColor="text1"/>
                <w:sz w:val="20"/>
                <w:szCs w:val="20"/>
              </w:rPr>
            </w:pPr>
            <w:r w:rsidRPr="00A268E4">
              <w:rPr>
                <w:color w:val="000000" w:themeColor="text1"/>
                <w:sz w:val="20"/>
                <w:szCs w:val="20"/>
              </w:rPr>
              <w:t>-</w:t>
            </w:r>
          </w:p>
        </w:tc>
        <w:tc>
          <w:tcPr>
            <w:tcW w:w="1769" w:type="dxa"/>
          </w:tcPr>
          <w:p w14:paraId="1F84931C" w14:textId="0E7458FB" w:rsidR="00F97723" w:rsidRPr="00A268E4" w:rsidRDefault="000D1375" w:rsidP="005415ED">
            <w:pPr>
              <w:pStyle w:val="pb-2"/>
              <w:jc w:val="both"/>
              <w:rPr>
                <w:color w:val="000000" w:themeColor="text1"/>
                <w:sz w:val="20"/>
                <w:szCs w:val="20"/>
              </w:rPr>
            </w:pPr>
            <w:r w:rsidRPr="00A268E4">
              <w:rPr>
                <w:color w:val="000000" w:themeColor="text1"/>
                <w:sz w:val="20"/>
                <w:szCs w:val="20"/>
              </w:rPr>
              <w:t>-</w:t>
            </w:r>
          </w:p>
        </w:tc>
      </w:tr>
    </w:tbl>
    <w:p w14:paraId="4FA92F4D" w14:textId="6607EDA5" w:rsidR="00F63DBD" w:rsidRPr="00A268E4" w:rsidRDefault="00F63DBD" w:rsidP="00F63DBD">
      <w:pPr>
        <w:pStyle w:val="pb-2"/>
        <w:numPr>
          <w:ilvl w:val="0"/>
          <w:numId w:val="7"/>
        </w:numPr>
        <w:jc w:val="center"/>
        <w:rPr>
          <w:i/>
          <w:iCs/>
          <w:sz w:val="20"/>
          <w:szCs w:val="20"/>
        </w:rPr>
      </w:pPr>
      <w:r w:rsidRPr="00A268E4">
        <w:rPr>
          <w:i/>
          <w:iCs/>
          <w:sz w:val="20"/>
          <w:szCs w:val="20"/>
        </w:rPr>
        <w:t>Islamic banking performance in Pakistan is a dependent variable.</w:t>
      </w:r>
    </w:p>
    <w:p w14:paraId="700DCDF4" w14:textId="51A891E9" w:rsidR="005415ED" w:rsidRPr="00A268E4" w:rsidRDefault="00F63DBD" w:rsidP="00D25563">
      <w:pPr>
        <w:pStyle w:val="pb-2"/>
        <w:numPr>
          <w:ilvl w:val="0"/>
          <w:numId w:val="7"/>
        </w:numPr>
        <w:jc w:val="center"/>
        <w:rPr>
          <w:i/>
          <w:iCs/>
          <w:sz w:val="20"/>
          <w:szCs w:val="20"/>
        </w:rPr>
      </w:pPr>
      <w:r w:rsidRPr="00A268E4">
        <w:rPr>
          <w:i/>
          <w:iCs/>
          <w:sz w:val="20"/>
          <w:szCs w:val="20"/>
        </w:rPr>
        <w:t>Predictors include dividend payout ratio, RIBA, and (constant) variables.</w:t>
      </w:r>
    </w:p>
    <w:p w14:paraId="3F78C4A4" w14:textId="5F0DAD68" w:rsidR="0036215D" w:rsidRDefault="00BC5634" w:rsidP="00BC5634">
      <w:pPr>
        <w:jc w:val="both"/>
        <w:rPr>
          <w:sz w:val="24"/>
          <w:szCs w:val="24"/>
        </w:rPr>
      </w:pPr>
      <w:r w:rsidRPr="00BC5634">
        <w:rPr>
          <w:sz w:val="24"/>
          <w:szCs w:val="24"/>
        </w:rPr>
        <w:t>Based on Table 4, we can determine that the significance level of 0.000 is less than the specified significance level of 0.05. The significance level may be considered to be significant with regard to meaning. Moreover, the F-calculated value (92.717) exceeds the F-critical value (F 92.717), suggesting that the variable dividend payout ratio and riba may be used to estimate Islamic banking's performance in Pakistan.</w:t>
      </w:r>
    </w:p>
    <w:p w14:paraId="25634C0C" w14:textId="77777777" w:rsidR="00BC5634" w:rsidRPr="007C525B" w:rsidRDefault="00BC5634" w:rsidP="00BC5634">
      <w:pPr>
        <w:jc w:val="both"/>
        <w:rPr>
          <w:sz w:val="24"/>
          <w:szCs w:val="24"/>
        </w:rPr>
      </w:pPr>
    </w:p>
    <w:p w14:paraId="72A28AC1" w14:textId="244CF385" w:rsidR="00E56A8E" w:rsidRPr="007C525B" w:rsidRDefault="00241337" w:rsidP="00241337">
      <w:pPr>
        <w:adjustRightInd w:val="0"/>
        <w:contextualSpacing/>
        <w:rPr>
          <w:b/>
          <w:bCs/>
          <w:sz w:val="24"/>
          <w:szCs w:val="24"/>
        </w:rPr>
      </w:pPr>
      <w:r>
        <w:rPr>
          <w:b/>
          <w:bCs/>
          <w:sz w:val="24"/>
          <w:szCs w:val="24"/>
        </w:rPr>
        <w:t xml:space="preserve">4.5 </w:t>
      </w:r>
      <w:r w:rsidR="0036215D" w:rsidRPr="007C525B">
        <w:rPr>
          <w:b/>
          <w:bCs/>
          <w:sz w:val="24"/>
          <w:szCs w:val="24"/>
        </w:rPr>
        <w:t xml:space="preserve">Study Variables of Regression Coefficients </w:t>
      </w:r>
    </w:p>
    <w:p w14:paraId="1C46FB7F" w14:textId="314835F3" w:rsidR="00D354FD" w:rsidRPr="00D354FD" w:rsidRDefault="00D354FD" w:rsidP="00D354FD">
      <w:pPr>
        <w:jc w:val="both"/>
        <w:rPr>
          <w:sz w:val="24"/>
          <w:szCs w:val="24"/>
        </w:rPr>
      </w:pPr>
      <w:r w:rsidRPr="00D354FD">
        <w:rPr>
          <w:sz w:val="24"/>
          <w:szCs w:val="24"/>
        </w:rPr>
        <w:t>Based on this regression equation model, the regression coefficient was calculated.</w:t>
      </w:r>
    </w:p>
    <w:p w14:paraId="6A2AFC71" w14:textId="77777777" w:rsidR="00D354FD" w:rsidRPr="00D354FD" w:rsidRDefault="00D354FD" w:rsidP="00D354FD">
      <w:pPr>
        <w:jc w:val="both"/>
        <w:rPr>
          <w:sz w:val="24"/>
          <w:szCs w:val="24"/>
        </w:rPr>
      </w:pPr>
    </w:p>
    <w:p w14:paraId="4E2ABF16" w14:textId="0BEDF6BD" w:rsidR="00D354FD" w:rsidRDefault="00D354FD" w:rsidP="00D354FD">
      <w:pPr>
        <w:jc w:val="both"/>
        <w:rPr>
          <w:sz w:val="24"/>
          <w:szCs w:val="24"/>
        </w:rPr>
      </w:pPr>
      <w:r w:rsidRPr="00D354FD">
        <w:rPr>
          <w:i/>
          <w:iCs/>
          <w:sz w:val="24"/>
          <w:szCs w:val="24"/>
        </w:rPr>
        <w:t>Y= β0+ β1X1+β2X2 + ε.</w:t>
      </w:r>
      <w:r w:rsidRPr="00D354FD">
        <w:rPr>
          <w:sz w:val="24"/>
          <w:szCs w:val="24"/>
        </w:rPr>
        <w:t xml:space="preserve"> In this equation, Y is the performance of Islamic banking in Pakistan, β0 is a constant (the intercept coefficient), X1 is riba, X2 is the dividend payout ratio, and is the ε = error term. This equation indicates that Islamic banking performance in Pakistan is affected by the riba rate and dividend payout ratio. The ε term is the error term, which is a measure of variability in the data and is used to adjust the model's predictions.</w:t>
      </w:r>
    </w:p>
    <w:p w14:paraId="24E174F1" w14:textId="77777777" w:rsidR="00D354FD" w:rsidRDefault="00D354FD" w:rsidP="00D354FD">
      <w:pPr>
        <w:jc w:val="both"/>
        <w:rPr>
          <w:sz w:val="24"/>
          <w:szCs w:val="24"/>
        </w:rPr>
      </w:pPr>
    </w:p>
    <w:p w14:paraId="3177F9D1" w14:textId="156B3DB3" w:rsidR="002901A7" w:rsidRPr="00D354FD" w:rsidRDefault="002901A7" w:rsidP="00D354FD">
      <w:pPr>
        <w:adjustRightInd w:val="0"/>
        <w:contextualSpacing/>
        <w:rPr>
          <w:b/>
          <w:bCs/>
          <w:sz w:val="24"/>
          <w:szCs w:val="24"/>
        </w:rPr>
      </w:pPr>
      <w:r w:rsidRPr="00D354FD">
        <w:rPr>
          <w:b/>
          <w:bCs/>
          <w:sz w:val="24"/>
          <w:szCs w:val="24"/>
        </w:rPr>
        <w:t xml:space="preserve">Table 5: </w:t>
      </w:r>
      <w:r w:rsidRPr="00D354FD">
        <w:rPr>
          <w:sz w:val="24"/>
          <w:szCs w:val="24"/>
        </w:rPr>
        <w:t xml:space="preserve">Coefficients </w:t>
      </w:r>
    </w:p>
    <w:tbl>
      <w:tblPr>
        <w:tblW w:w="0" w:type="auto"/>
        <w:tblLook w:val="04A0" w:firstRow="1" w:lastRow="0" w:firstColumn="1" w:lastColumn="0" w:noHBand="0" w:noVBand="1"/>
      </w:tblPr>
      <w:tblGrid>
        <w:gridCol w:w="2005"/>
        <w:gridCol w:w="1652"/>
        <w:gridCol w:w="1539"/>
        <w:gridCol w:w="2653"/>
        <w:gridCol w:w="1119"/>
        <w:gridCol w:w="1112"/>
      </w:tblGrid>
      <w:tr w:rsidR="00842DBF" w:rsidRPr="00A268E4" w14:paraId="201B1007" w14:textId="77777777" w:rsidTr="008D15CE">
        <w:trPr>
          <w:trHeight w:val="120"/>
        </w:trPr>
        <w:tc>
          <w:tcPr>
            <w:tcW w:w="2122" w:type="dxa"/>
            <w:vMerge w:val="restart"/>
            <w:tcBorders>
              <w:top w:val="single" w:sz="4" w:space="0" w:color="auto"/>
              <w:bottom w:val="single" w:sz="4" w:space="0" w:color="auto"/>
            </w:tcBorders>
          </w:tcPr>
          <w:p w14:paraId="3DC1C025" w14:textId="18FDFBD3" w:rsidR="00842DBF" w:rsidRPr="00A268E4" w:rsidRDefault="00842DBF" w:rsidP="00E56A8E">
            <w:pPr>
              <w:pStyle w:val="pb-2"/>
              <w:jc w:val="both"/>
              <w:rPr>
                <w:b/>
                <w:bCs/>
                <w:color w:val="000000" w:themeColor="text1"/>
                <w:sz w:val="20"/>
                <w:szCs w:val="20"/>
              </w:rPr>
            </w:pPr>
            <w:r w:rsidRPr="00A268E4">
              <w:rPr>
                <w:b/>
                <w:bCs/>
                <w:color w:val="000000" w:themeColor="text1"/>
                <w:sz w:val="20"/>
                <w:szCs w:val="20"/>
              </w:rPr>
              <w:lastRenderedPageBreak/>
              <w:t>Model</w:t>
            </w:r>
          </w:p>
        </w:tc>
        <w:tc>
          <w:tcPr>
            <w:tcW w:w="3363" w:type="dxa"/>
            <w:gridSpan w:val="2"/>
            <w:tcBorders>
              <w:top w:val="single" w:sz="4" w:space="0" w:color="auto"/>
              <w:bottom w:val="single" w:sz="4" w:space="0" w:color="auto"/>
            </w:tcBorders>
          </w:tcPr>
          <w:p w14:paraId="4CF519AB" w14:textId="27D8B135" w:rsidR="00842DBF" w:rsidRPr="00A268E4" w:rsidRDefault="00750447" w:rsidP="00E56A8E">
            <w:pPr>
              <w:pStyle w:val="pb-2"/>
              <w:jc w:val="both"/>
              <w:rPr>
                <w:b/>
                <w:bCs/>
                <w:color w:val="000000" w:themeColor="text1"/>
                <w:sz w:val="20"/>
                <w:szCs w:val="20"/>
              </w:rPr>
            </w:pPr>
            <w:r w:rsidRPr="00A268E4">
              <w:rPr>
                <w:b/>
                <w:bCs/>
                <w:color w:val="000000" w:themeColor="text1"/>
                <w:sz w:val="20"/>
                <w:szCs w:val="20"/>
              </w:rPr>
              <w:t>Unstandardized</w:t>
            </w:r>
            <w:r w:rsidR="00842DBF" w:rsidRPr="00A268E4">
              <w:rPr>
                <w:b/>
                <w:bCs/>
                <w:color w:val="000000" w:themeColor="text1"/>
                <w:sz w:val="20"/>
                <w:szCs w:val="20"/>
              </w:rPr>
              <w:t>-Coefficient</w:t>
            </w:r>
          </w:p>
        </w:tc>
        <w:tc>
          <w:tcPr>
            <w:tcW w:w="2790" w:type="dxa"/>
            <w:tcBorders>
              <w:top w:val="single" w:sz="4" w:space="0" w:color="auto"/>
              <w:bottom w:val="single" w:sz="4" w:space="0" w:color="auto"/>
            </w:tcBorders>
          </w:tcPr>
          <w:p w14:paraId="71E680DF" w14:textId="097214A6" w:rsidR="00842DBF" w:rsidRPr="00A268E4" w:rsidRDefault="00750447" w:rsidP="00E56A8E">
            <w:pPr>
              <w:pStyle w:val="pb-2"/>
              <w:jc w:val="both"/>
              <w:rPr>
                <w:b/>
                <w:bCs/>
                <w:color w:val="000000" w:themeColor="text1"/>
                <w:sz w:val="20"/>
                <w:szCs w:val="20"/>
              </w:rPr>
            </w:pPr>
            <w:r w:rsidRPr="00A268E4">
              <w:rPr>
                <w:b/>
                <w:bCs/>
                <w:color w:val="000000" w:themeColor="text1"/>
                <w:sz w:val="20"/>
                <w:szCs w:val="20"/>
              </w:rPr>
              <w:t>Standardized</w:t>
            </w:r>
            <w:r w:rsidR="00842DBF" w:rsidRPr="00A268E4">
              <w:rPr>
                <w:b/>
                <w:bCs/>
                <w:color w:val="000000" w:themeColor="text1"/>
                <w:sz w:val="20"/>
                <w:szCs w:val="20"/>
              </w:rPr>
              <w:t>-Coefficient</w:t>
            </w:r>
          </w:p>
        </w:tc>
        <w:tc>
          <w:tcPr>
            <w:tcW w:w="1170" w:type="dxa"/>
            <w:vMerge w:val="restart"/>
            <w:tcBorders>
              <w:top w:val="single" w:sz="4" w:space="0" w:color="auto"/>
              <w:bottom w:val="single" w:sz="4" w:space="0" w:color="auto"/>
            </w:tcBorders>
          </w:tcPr>
          <w:p w14:paraId="32EADD5A" w14:textId="253683E6" w:rsidR="00842DBF" w:rsidRPr="00A268E4" w:rsidRDefault="00842DBF" w:rsidP="00E56A8E">
            <w:pPr>
              <w:pStyle w:val="pb-2"/>
              <w:jc w:val="both"/>
              <w:rPr>
                <w:b/>
                <w:bCs/>
                <w:color w:val="000000" w:themeColor="text1"/>
                <w:sz w:val="20"/>
                <w:szCs w:val="20"/>
              </w:rPr>
            </w:pPr>
            <w:r w:rsidRPr="00A268E4">
              <w:rPr>
                <w:b/>
                <w:bCs/>
                <w:color w:val="000000" w:themeColor="text1"/>
                <w:sz w:val="20"/>
                <w:szCs w:val="20"/>
              </w:rPr>
              <w:t>T</w:t>
            </w:r>
          </w:p>
        </w:tc>
        <w:tc>
          <w:tcPr>
            <w:tcW w:w="1165" w:type="dxa"/>
            <w:vMerge w:val="restart"/>
            <w:tcBorders>
              <w:top w:val="single" w:sz="4" w:space="0" w:color="auto"/>
              <w:bottom w:val="single" w:sz="4" w:space="0" w:color="auto"/>
            </w:tcBorders>
          </w:tcPr>
          <w:p w14:paraId="773AA6B9" w14:textId="3468FBBF" w:rsidR="00842DBF" w:rsidRPr="00A268E4" w:rsidRDefault="00842DBF" w:rsidP="00E56A8E">
            <w:pPr>
              <w:pStyle w:val="pb-2"/>
              <w:jc w:val="both"/>
              <w:rPr>
                <w:b/>
                <w:bCs/>
                <w:color w:val="000000" w:themeColor="text1"/>
                <w:sz w:val="20"/>
                <w:szCs w:val="20"/>
              </w:rPr>
            </w:pPr>
            <w:r w:rsidRPr="00A268E4">
              <w:rPr>
                <w:b/>
                <w:bCs/>
                <w:color w:val="000000" w:themeColor="text1"/>
                <w:sz w:val="20"/>
                <w:szCs w:val="20"/>
              </w:rPr>
              <w:t>Sig.*</w:t>
            </w:r>
          </w:p>
        </w:tc>
      </w:tr>
      <w:tr w:rsidR="00842DBF" w:rsidRPr="00A268E4" w14:paraId="6CCFADC4" w14:textId="77777777" w:rsidTr="008D15CE">
        <w:trPr>
          <w:trHeight w:val="105"/>
        </w:trPr>
        <w:tc>
          <w:tcPr>
            <w:tcW w:w="2122" w:type="dxa"/>
            <w:vMerge/>
            <w:tcBorders>
              <w:top w:val="single" w:sz="4" w:space="0" w:color="auto"/>
            </w:tcBorders>
          </w:tcPr>
          <w:p w14:paraId="4F0D319B" w14:textId="77777777" w:rsidR="00842DBF" w:rsidRPr="00A268E4" w:rsidRDefault="00842DBF" w:rsidP="00E56A8E">
            <w:pPr>
              <w:pStyle w:val="pb-2"/>
              <w:jc w:val="both"/>
              <w:rPr>
                <w:color w:val="000000" w:themeColor="text1"/>
                <w:sz w:val="20"/>
                <w:szCs w:val="20"/>
              </w:rPr>
            </w:pPr>
          </w:p>
        </w:tc>
        <w:tc>
          <w:tcPr>
            <w:tcW w:w="1743" w:type="dxa"/>
            <w:tcBorders>
              <w:top w:val="single" w:sz="4" w:space="0" w:color="auto"/>
              <w:bottom w:val="single" w:sz="4" w:space="0" w:color="auto"/>
            </w:tcBorders>
          </w:tcPr>
          <w:p w14:paraId="4834E08C" w14:textId="13E020B1" w:rsidR="00842DBF" w:rsidRPr="00A268E4" w:rsidRDefault="00842DBF" w:rsidP="00E56A8E">
            <w:pPr>
              <w:pStyle w:val="pb-2"/>
              <w:jc w:val="both"/>
              <w:rPr>
                <w:b/>
                <w:bCs/>
                <w:color w:val="000000" w:themeColor="text1"/>
                <w:sz w:val="20"/>
                <w:szCs w:val="20"/>
              </w:rPr>
            </w:pPr>
            <w:r w:rsidRPr="00A268E4">
              <w:rPr>
                <w:b/>
                <w:bCs/>
                <w:color w:val="000000" w:themeColor="text1"/>
                <w:sz w:val="20"/>
                <w:szCs w:val="20"/>
              </w:rPr>
              <w:t>B</w:t>
            </w:r>
          </w:p>
        </w:tc>
        <w:tc>
          <w:tcPr>
            <w:tcW w:w="1620" w:type="dxa"/>
            <w:tcBorders>
              <w:top w:val="single" w:sz="4" w:space="0" w:color="auto"/>
              <w:bottom w:val="single" w:sz="4" w:space="0" w:color="auto"/>
            </w:tcBorders>
          </w:tcPr>
          <w:p w14:paraId="7BC94891" w14:textId="2F9DC705" w:rsidR="00842DBF" w:rsidRPr="00A268E4" w:rsidRDefault="00842DBF" w:rsidP="00842DBF">
            <w:pPr>
              <w:pStyle w:val="pb-2"/>
              <w:jc w:val="both"/>
              <w:rPr>
                <w:b/>
                <w:bCs/>
                <w:color w:val="000000" w:themeColor="text1"/>
                <w:sz w:val="20"/>
                <w:szCs w:val="20"/>
              </w:rPr>
            </w:pPr>
            <w:r w:rsidRPr="00A268E4">
              <w:rPr>
                <w:b/>
                <w:bCs/>
                <w:color w:val="000000" w:themeColor="text1"/>
                <w:sz w:val="20"/>
                <w:szCs w:val="20"/>
              </w:rPr>
              <w:t>St. Error</w:t>
            </w:r>
          </w:p>
        </w:tc>
        <w:tc>
          <w:tcPr>
            <w:tcW w:w="2790" w:type="dxa"/>
            <w:tcBorders>
              <w:top w:val="single" w:sz="4" w:space="0" w:color="auto"/>
              <w:bottom w:val="single" w:sz="4" w:space="0" w:color="auto"/>
            </w:tcBorders>
          </w:tcPr>
          <w:p w14:paraId="2F974183" w14:textId="387CC24B" w:rsidR="00842DBF" w:rsidRPr="00A268E4" w:rsidRDefault="00842DBF" w:rsidP="00E56A8E">
            <w:pPr>
              <w:pStyle w:val="pb-2"/>
              <w:jc w:val="both"/>
              <w:rPr>
                <w:b/>
                <w:bCs/>
                <w:color w:val="000000" w:themeColor="text1"/>
                <w:sz w:val="20"/>
                <w:szCs w:val="20"/>
              </w:rPr>
            </w:pPr>
            <w:r w:rsidRPr="00A268E4">
              <w:rPr>
                <w:b/>
                <w:bCs/>
                <w:color w:val="000000" w:themeColor="text1"/>
                <w:sz w:val="20"/>
                <w:szCs w:val="20"/>
              </w:rPr>
              <w:t>Beta</w:t>
            </w:r>
          </w:p>
        </w:tc>
        <w:tc>
          <w:tcPr>
            <w:tcW w:w="1170" w:type="dxa"/>
            <w:vMerge/>
            <w:tcBorders>
              <w:top w:val="single" w:sz="4" w:space="0" w:color="auto"/>
            </w:tcBorders>
          </w:tcPr>
          <w:p w14:paraId="58B91295" w14:textId="77777777" w:rsidR="00842DBF" w:rsidRPr="00A268E4" w:rsidRDefault="00842DBF" w:rsidP="00E56A8E">
            <w:pPr>
              <w:pStyle w:val="pb-2"/>
              <w:jc w:val="both"/>
              <w:rPr>
                <w:color w:val="000000" w:themeColor="text1"/>
                <w:sz w:val="20"/>
                <w:szCs w:val="20"/>
              </w:rPr>
            </w:pPr>
          </w:p>
        </w:tc>
        <w:tc>
          <w:tcPr>
            <w:tcW w:w="1165" w:type="dxa"/>
            <w:vMerge/>
            <w:tcBorders>
              <w:top w:val="single" w:sz="4" w:space="0" w:color="auto"/>
            </w:tcBorders>
          </w:tcPr>
          <w:p w14:paraId="4F0ACFB8" w14:textId="77777777" w:rsidR="00842DBF" w:rsidRPr="00A268E4" w:rsidRDefault="00842DBF" w:rsidP="00E56A8E">
            <w:pPr>
              <w:pStyle w:val="pb-2"/>
              <w:jc w:val="both"/>
              <w:rPr>
                <w:color w:val="000000" w:themeColor="text1"/>
                <w:sz w:val="20"/>
                <w:szCs w:val="20"/>
              </w:rPr>
            </w:pPr>
          </w:p>
        </w:tc>
      </w:tr>
      <w:tr w:rsidR="00842DBF" w:rsidRPr="00A268E4" w14:paraId="2527E914" w14:textId="77777777" w:rsidTr="008D15CE">
        <w:tc>
          <w:tcPr>
            <w:tcW w:w="2122" w:type="dxa"/>
          </w:tcPr>
          <w:p w14:paraId="4942AA18" w14:textId="2C745F6A" w:rsidR="00842DBF" w:rsidRPr="00A268E4" w:rsidRDefault="005E1CC9" w:rsidP="005E1CC9">
            <w:pPr>
              <w:pStyle w:val="pb-2"/>
              <w:jc w:val="both"/>
              <w:rPr>
                <w:color w:val="000000" w:themeColor="text1"/>
                <w:sz w:val="20"/>
                <w:szCs w:val="20"/>
              </w:rPr>
            </w:pPr>
            <w:r w:rsidRPr="00A268E4">
              <w:rPr>
                <w:color w:val="000000" w:themeColor="text1"/>
                <w:sz w:val="20"/>
                <w:szCs w:val="20"/>
              </w:rPr>
              <w:t>1 Constant</w:t>
            </w:r>
          </w:p>
        </w:tc>
        <w:tc>
          <w:tcPr>
            <w:tcW w:w="1743" w:type="dxa"/>
            <w:tcBorders>
              <w:top w:val="single" w:sz="4" w:space="0" w:color="auto"/>
            </w:tcBorders>
          </w:tcPr>
          <w:p w14:paraId="1D84347C" w14:textId="53810896" w:rsidR="00842DBF" w:rsidRPr="00A268E4" w:rsidRDefault="00750447" w:rsidP="00E56A8E">
            <w:pPr>
              <w:pStyle w:val="pb-2"/>
              <w:jc w:val="both"/>
              <w:rPr>
                <w:color w:val="000000" w:themeColor="text1"/>
                <w:sz w:val="20"/>
                <w:szCs w:val="20"/>
              </w:rPr>
            </w:pPr>
            <w:r w:rsidRPr="00A268E4">
              <w:rPr>
                <w:color w:val="000000" w:themeColor="text1"/>
                <w:sz w:val="20"/>
                <w:szCs w:val="20"/>
              </w:rPr>
              <w:t>1.348</w:t>
            </w:r>
          </w:p>
        </w:tc>
        <w:tc>
          <w:tcPr>
            <w:tcW w:w="1620" w:type="dxa"/>
            <w:tcBorders>
              <w:top w:val="single" w:sz="4" w:space="0" w:color="auto"/>
            </w:tcBorders>
          </w:tcPr>
          <w:p w14:paraId="11528C63" w14:textId="187FA18C" w:rsidR="00842DBF" w:rsidRPr="00A268E4" w:rsidRDefault="008D15CE" w:rsidP="00E56A8E">
            <w:pPr>
              <w:pStyle w:val="pb-2"/>
              <w:jc w:val="both"/>
              <w:rPr>
                <w:color w:val="000000" w:themeColor="text1"/>
                <w:sz w:val="20"/>
                <w:szCs w:val="20"/>
              </w:rPr>
            </w:pPr>
            <w:r w:rsidRPr="00A268E4">
              <w:rPr>
                <w:color w:val="000000" w:themeColor="text1"/>
                <w:sz w:val="20"/>
                <w:szCs w:val="20"/>
              </w:rPr>
              <w:t>0.259</w:t>
            </w:r>
          </w:p>
        </w:tc>
        <w:tc>
          <w:tcPr>
            <w:tcW w:w="2790" w:type="dxa"/>
            <w:tcBorders>
              <w:top w:val="single" w:sz="4" w:space="0" w:color="auto"/>
            </w:tcBorders>
          </w:tcPr>
          <w:p w14:paraId="73DE43BF" w14:textId="1EB687D6" w:rsidR="00842DBF" w:rsidRPr="00A268E4" w:rsidRDefault="008D15CE" w:rsidP="00E56A8E">
            <w:pPr>
              <w:pStyle w:val="pb-2"/>
              <w:jc w:val="both"/>
              <w:rPr>
                <w:color w:val="000000" w:themeColor="text1"/>
                <w:sz w:val="20"/>
                <w:szCs w:val="20"/>
              </w:rPr>
            </w:pPr>
            <w:r w:rsidRPr="00A268E4">
              <w:rPr>
                <w:color w:val="000000" w:themeColor="text1"/>
                <w:sz w:val="20"/>
                <w:szCs w:val="20"/>
              </w:rPr>
              <w:t>-</w:t>
            </w:r>
          </w:p>
        </w:tc>
        <w:tc>
          <w:tcPr>
            <w:tcW w:w="1170" w:type="dxa"/>
          </w:tcPr>
          <w:p w14:paraId="30D9FA43" w14:textId="6DBBE6C6" w:rsidR="00842DBF" w:rsidRPr="00A268E4" w:rsidRDefault="008D15CE" w:rsidP="00E56A8E">
            <w:pPr>
              <w:pStyle w:val="pb-2"/>
              <w:jc w:val="both"/>
              <w:rPr>
                <w:color w:val="000000" w:themeColor="text1"/>
                <w:sz w:val="20"/>
                <w:szCs w:val="20"/>
              </w:rPr>
            </w:pPr>
            <w:r w:rsidRPr="00A268E4">
              <w:rPr>
                <w:color w:val="000000" w:themeColor="text1"/>
                <w:sz w:val="20"/>
                <w:szCs w:val="20"/>
              </w:rPr>
              <w:t>5.222</w:t>
            </w:r>
          </w:p>
        </w:tc>
        <w:tc>
          <w:tcPr>
            <w:tcW w:w="1165" w:type="dxa"/>
          </w:tcPr>
          <w:p w14:paraId="3562AA31" w14:textId="56D40962" w:rsidR="00842DBF" w:rsidRPr="00A268E4" w:rsidRDefault="00842DBF" w:rsidP="00E56A8E">
            <w:pPr>
              <w:pStyle w:val="pb-2"/>
              <w:jc w:val="both"/>
              <w:rPr>
                <w:color w:val="000000" w:themeColor="text1"/>
                <w:sz w:val="20"/>
                <w:szCs w:val="20"/>
              </w:rPr>
            </w:pPr>
            <w:r w:rsidRPr="00A268E4">
              <w:rPr>
                <w:color w:val="000000" w:themeColor="text1"/>
                <w:sz w:val="20"/>
                <w:szCs w:val="20"/>
              </w:rPr>
              <w:t>.000</w:t>
            </w:r>
          </w:p>
        </w:tc>
      </w:tr>
      <w:tr w:rsidR="00842DBF" w:rsidRPr="00A268E4" w14:paraId="3C7AFD3A" w14:textId="77777777" w:rsidTr="008D15CE">
        <w:tc>
          <w:tcPr>
            <w:tcW w:w="2122" w:type="dxa"/>
          </w:tcPr>
          <w:p w14:paraId="07255E7D" w14:textId="6012D438" w:rsidR="00842DBF" w:rsidRPr="00A268E4" w:rsidRDefault="005E1CC9" w:rsidP="00E56A8E">
            <w:pPr>
              <w:pStyle w:val="pb-2"/>
              <w:jc w:val="both"/>
              <w:rPr>
                <w:color w:val="000000" w:themeColor="text1"/>
                <w:sz w:val="20"/>
                <w:szCs w:val="20"/>
              </w:rPr>
            </w:pPr>
            <w:r w:rsidRPr="00A268E4">
              <w:rPr>
                <w:color w:val="000000" w:themeColor="text1"/>
                <w:sz w:val="20"/>
                <w:szCs w:val="20"/>
              </w:rPr>
              <w:t>Riba</w:t>
            </w:r>
          </w:p>
        </w:tc>
        <w:tc>
          <w:tcPr>
            <w:tcW w:w="1743" w:type="dxa"/>
          </w:tcPr>
          <w:p w14:paraId="3FA69A0E" w14:textId="0BFF4EAC" w:rsidR="00842DBF" w:rsidRPr="00A268E4" w:rsidRDefault="00750447" w:rsidP="00E56A8E">
            <w:pPr>
              <w:pStyle w:val="pb-2"/>
              <w:jc w:val="both"/>
              <w:rPr>
                <w:color w:val="000000" w:themeColor="text1"/>
                <w:sz w:val="20"/>
                <w:szCs w:val="20"/>
              </w:rPr>
            </w:pPr>
            <w:r w:rsidRPr="00A268E4">
              <w:rPr>
                <w:color w:val="000000" w:themeColor="text1"/>
                <w:sz w:val="20"/>
                <w:szCs w:val="20"/>
              </w:rPr>
              <w:t>0.348</w:t>
            </w:r>
          </w:p>
        </w:tc>
        <w:tc>
          <w:tcPr>
            <w:tcW w:w="1620" w:type="dxa"/>
          </w:tcPr>
          <w:p w14:paraId="22258314" w14:textId="69430CD6" w:rsidR="00842DBF" w:rsidRPr="00A268E4" w:rsidRDefault="008D15CE" w:rsidP="00E56A8E">
            <w:pPr>
              <w:pStyle w:val="pb-2"/>
              <w:jc w:val="both"/>
              <w:rPr>
                <w:color w:val="000000" w:themeColor="text1"/>
                <w:sz w:val="20"/>
                <w:szCs w:val="20"/>
              </w:rPr>
            </w:pPr>
            <w:r w:rsidRPr="00A268E4">
              <w:rPr>
                <w:color w:val="000000" w:themeColor="text1"/>
                <w:sz w:val="20"/>
                <w:szCs w:val="20"/>
              </w:rPr>
              <w:t>0.104</w:t>
            </w:r>
          </w:p>
        </w:tc>
        <w:tc>
          <w:tcPr>
            <w:tcW w:w="2790" w:type="dxa"/>
          </w:tcPr>
          <w:p w14:paraId="7570F136" w14:textId="7928D925" w:rsidR="00842DBF" w:rsidRPr="00A268E4" w:rsidRDefault="008D15CE" w:rsidP="00E56A8E">
            <w:pPr>
              <w:pStyle w:val="pb-2"/>
              <w:jc w:val="both"/>
              <w:rPr>
                <w:color w:val="000000" w:themeColor="text1"/>
                <w:sz w:val="20"/>
                <w:szCs w:val="20"/>
              </w:rPr>
            </w:pPr>
            <w:r w:rsidRPr="00A268E4">
              <w:rPr>
                <w:color w:val="000000" w:themeColor="text1"/>
                <w:sz w:val="20"/>
                <w:szCs w:val="20"/>
              </w:rPr>
              <w:t>0.440</w:t>
            </w:r>
          </w:p>
        </w:tc>
        <w:tc>
          <w:tcPr>
            <w:tcW w:w="1170" w:type="dxa"/>
          </w:tcPr>
          <w:p w14:paraId="08E29490" w14:textId="100127F1" w:rsidR="00842DBF" w:rsidRPr="00A268E4" w:rsidRDefault="008D15CE" w:rsidP="00E56A8E">
            <w:pPr>
              <w:pStyle w:val="pb-2"/>
              <w:jc w:val="both"/>
              <w:rPr>
                <w:color w:val="000000" w:themeColor="text1"/>
                <w:sz w:val="20"/>
                <w:szCs w:val="20"/>
              </w:rPr>
            </w:pPr>
            <w:r w:rsidRPr="00A268E4">
              <w:rPr>
                <w:color w:val="000000" w:themeColor="text1"/>
                <w:sz w:val="20"/>
                <w:szCs w:val="20"/>
              </w:rPr>
              <w:t>3.370</w:t>
            </w:r>
          </w:p>
        </w:tc>
        <w:tc>
          <w:tcPr>
            <w:tcW w:w="1165" w:type="dxa"/>
          </w:tcPr>
          <w:p w14:paraId="776A1A2C" w14:textId="3F500B04" w:rsidR="00842DBF" w:rsidRPr="00A268E4" w:rsidRDefault="00842DBF" w:rsidP="00E56A8E">
            <w:pPr>
              <w:pStyle w:val="pb-2"/>
              <w:jc w:val="both"/>
              <w:rPr>
                <w:color w:val="000000" w:themeColor="text1"/>
                <w:sz w:val="20"/>
                <w:szCs w:val="20"/>
              </w:rPr>
            </w:pPr>
            <w:r w:rsidRPr="00A268E4">
              <w:rPr>
                <w:color w:val="000000" w:themeColor="text1"/>
                <w:sz w:val="20"/>
                <w:szCs w:val="20"/>
              </w:rPr>
              <w:t>.001</w:t>
            </w:r>
          </w:p>
        </w:tc>
      </w:tr>
      <w:tr w:rsidR="00842DBF" w:rsidRPr="00A268E4" w14:paraId="7AD4B219" w14:textId="77777777" w:rsidTr="008D15CE">
        <w:tc>
          <w:tcPr>
            <w:tcW w:w="2122" w:type="dxa"/>
            <w:tcBorders>
              <w:bottom w:val="single" w:sz="4" w:space="0" w:color="auto"/>
            </w:tcBorders>
          </w:tcPr>
          <w:p w14:paraId="55515BA2" w14:textId="4FEAFA2D" w:rsidR="00842DBF" w:rsidRPr="00A268E4" w:rsidRDefault="005E1CC9" w:rsidP="00E56A8E">
            <w:pPr>
              <w:pStyle w:val="pb-2"/>
              <w:jc w:val="both"/>
              <w:rPr>
                <w:color w:val="000000" w:themeColor="text1"/>
                <w:sz w:val="20"/>
                <w:szCs w:val="20"/>
              </w:rPr>
            </w:pPr>
            <w:r w:rsidRPr="00A268E4">
              <w:rPr>
                <w:color w:val="000000" w:themeColor="text1"/>
                <w:sz w:val="20"/>
                <w:szCs w:val="20"/>
              </w:rPr>
              <w:t>Dividend P.R</w:t>
            </w:r>
          </w:p>
        </w:tc>
        <w:tc>
          <w:tcPr>
            <w:tcW w:w="1743" w:type="dxa"/>
            <w:tcBorders>
              <w:bottom w:val="single" w:sz="4" w:space="0" w:color="auto"/>
            </w:tcBorders>
          </w:tcPr>
          <w:p w14:paraId="2D352D38" w14:textId="642B6647" w:rsidR="00842DBF" w:rsidRPr="00A268E4" w:rsidRDefault="00750447" w:rsidP="00E56A8E">
            <w:pPr>
              <w:pStyle w:val="pb-2"/>
              <w:jc w:val="both"/>
              <w:rPr>
                <w:color w:val="000000" w:themeColor="text1"/>
                <w:sz w:val="20"/>
                <w:szCs w:val="20"/>
              </w:rPr>
            </w:pPr>
            <w:r w:rsidRPr="00A268E4">
              <w:rPr>
                <w:color w:val="000000" w:themeColor="text1"/>
                <w:sz w:val="20"/>
                <w:szCs w:val="20"/>
              </w:rPr>
              <w:t>0.197</w:t>
            </w:r>
          </w:p>
        </w:tc>
        <w:tc>
          <w:tcPr>
            <w:tcW w:w="1620" w:type="dxa"/>
            <w:tcBorders>
              <w:bottom w:val="single" w:sz="4" w:space="0" w:color="auto"/>
            </w:tcBorders>
          </w:tcPr>
          <w:p w14:paraId="4DF3B60B" w14:textId="6E506EC6" w:rsidR="00842DBF" w:rsidRPr="00A268E4" w:rsidRDefault="008D15CE" w:rsidP="00E56A8E">
            <w:pPr>
              <w:pStyle w:val="pb-2"/>
              <w:jc w:val="both"/>
              <w:rPr>
                <w:color w:val="000000" w:themeColor="text1"/>
                <w:sz w:val="20"/>
                <w:szCs w:val="20"/>
              </w:rPr>
            </w:pPr>
            <w:r w:rsidRPr="00A268E4">
              <w:rPr>
                <w:color w:val="000000" w:themeColor="text1"/>
                <w:sz w:val="20"/>
                <w:szCs w:val="20"/>
              </w:rPr>
              <w:t>0.078</w:t>
            </w:r>
          </w:p>
        </w:tc>
        <w:tc>
          <w:tcPr>
            <w:tcW w:w="2790" w:type="dxa"/>
            <w:tcBorders>
              <w:bottom w:val="single" w:sz="4" w:space="0" w:color="auto"/>
            </w:tcBorders>
          </w:tcPr>
          <w:p w14:paraId="6C148F3D" w14:textId="367408D7" w:rsidR="00842DBF" w:rsidRPr="00A268E4" w:rsidRDefault="008D15CE" w:rsidP="00E56A8E">
            <w:pPr>
              <w:pStyle w:val="pb-2"/>
              <w:jc w:val="both"/>
              <w:rPr>
                <w:color w:val="000000" w:themeColor="text1"/>
                <w:sz w:val="20"/>
                <w:szCs w:val="20"/>
              </w:rPr>
            </w:pPr>
            <w:r w:rsidRPr="00A268E4">
              <w:rPr>
                <w:color w:val="000000" w:themeColor="text1"/>
                <w:sz w:val="20"/>
                <w:szCs w:val="20"/>
              </w:rPr>
              <w:t>0.227</w:t>
            </w:r>
          </w:p>
        </w:tc>
        <w:tc>
          <w:tcPr>
            <w:tcW w:w="1170" w:type="dxa"/>
            <w:tcBorders>
              <w:bottom w:val="single" w:sz="4" w:space="0" w:color="auto"/>
            </w:tcBorders>
          </w:tcPr>
          <w:p w14:paraId="6BC80574" w14:textId="1C248C69" w:rsidR="00842DBF" w:rsidRPr="00A268E4" w:rsidRDefault="008D15CE" w:rsidP="00E56A8E">
            <w:pPr>
              <w:pStyle w:val="pb-2"/>
              <w:jc w:val="both"/>
              <w:rPr>
                <w:color w:val="000000" w:themeColor="text1"/>
                <w:sz w:val="20"/>
                <w:szCs w:val="20"/>
              </w:rPr>
            </w:pPr>
            <w:r w:rsidRPr="00A268E4">
              <w:rPr>
                <w:color w:val="000000" w:themeColor="text1"/>
                <w:sz w:val="20"/>
                <w:szCs w:val="20"/>
              </w:rPr>
              <w:t>2.546</w:t>
            </w:r>
          </w:p>
        </w:tc>
        <w:tc>
          <w:tcPr>
            <w:tcW w:w="1165" w:type="dxa"/>
            <w:tcBorders>
              <w:bottom w:val="single" w:sz="4" w:space="0" w:color="auto"/>
            </w:tcBorders>
          </w:tcPr>
          <w:p w14:paraId="73861B5D" w14:textId="50269D89" w:rsidR="00842DBF" w:rsidRPr="00A268E4" w:rsidRDefault="008D15CE" w:rsidP="00E56A8E">
            <w:pPr>
              <w:pStyle w:val="pb-2"/>
              <w:jc w:val="both"/>
              <w:rPr>
                <w:color w:val="000000" w:themeColor="text1"/>
                <w:sz w:val="20"/>
                <w:szCs w:val="20"/>
              </w:rPr>
            </w:pPr>
            <w:r w:rsidRPr="00A268E4">
              <w:rPr>
                <w:color w:val="000000" w:themeColor="text1"/>
                <w:sz w:val="20"/>
                <w:szCs w:val="20"/>
              </w:rPr>
              <w:t>.042</w:t>
            </w:r>
          </w:p>
        </w:tc>
      </w:tr>
    </w:tbl>
    <w:p w14:paraId="2DB9C14D" w14:textId="4CCED568" w:rsidR="001A51D1" w:rsidRPr="00753846" w:rsidRDefault="00BB0BC9" w:rsidP="00753846">
      <w:pPr>
        <w:pStyle w:val="pb-2"/>
        <w:numPr>
          <w:ilvl w:val="0"/>
          <w:numId w:val="9"/>
        </w:numPr>
        <w:jc w:val="center"/>
        <w:rPr>
          <w:i/>
          <w:iCs/>
          <w:sz w:val="20"/>
          <w:szCs w:val="20"/>
        </w:rPr>
      </w:pPr>
      <w:r w:rsidRPr="00A268E4">
        <w:rPr>
          <w:i/>
          <w:iCs/>
          <w:sz w:val="20"/>
          <w:szCs w:val="20"/>
        </w:rPr>
        <w:t>Islamic banking performance in Pakistan is a dependent variable.</w:t>
      </w:r>
    </w:p>
    <w:p w14:paraId="5DC076DF" w14:textId="035409F2" w:rsidR="00E56A8E" w:rsidRPr="007C525B" w:rsidRDefault="001A51D1" w:rsidP="0006155B">
      <w:pPr>
        <w:jc w:val="both"/>
        <w:rPr>
          <w:sz w:val="24"/>
          <w:szCs w:val="24"/>
        </w:rPr>
      </w:pPr>
      <w:r w:rsidRPr="007C525B">
        <w:rPr>
          <w:sz w:val="24"/>
          <w:szCs w:val="24"/>
        </w:rPr>
        <w:t>Based on the results presented in Table 5, the following regression equation was fitted:</w:t>
      </w:r>
    </w:p>
    <w:p w14:paraId="266EBA71" w14:textId="77777777" w:rsidR="00D87FE7" w:rsidRPr="007C525B" w:rsidRDefault="00D87FE7" w:rsidP="0006155B">
      <w:pPr>
        <w:jc w:val="both"/>
        <w:rPr>
          <w:b/>
          <w:bCs/>
          <w:sz w:val="24"/>
          <w:szCs w:val="24"/>
        </w:rPr>
      </w:pPr>
    </w:p>
    <w:p w14:paraId="0F4998AA" w14:textId="59005F7B" w:rsidR="00D87FE7" w:rsidRPr="007C525B" w:rsidRDefault="00753846" w:rsidP="008C527D">
      <w:pPr>
        <w:adjustRightInd w:val="0"/>
        <w:contextualSpacing/>
        <w:rPr>
          <w:b/>
          <w:bCs/>
          <w:sz w:val="24"/>
          <w:szCs w:val="24"/>
        </w:rPr>
      </w:pPr>
      <w:r>
        <w:rPr>
          <w:b/>
          <w:bCs/>
          <w:sz w:val="24"/>
          <w:szCs w:val="24"/>
        </w:rPr>
        <w:t xml:space="preserve">4.6 </w:t>
      </w:r>
      <w:r w:rsidR="00D87FE7" w:rsidRPr="007C525B">
        <w:rPr>
          <w:b/>
          <w:bCs/>
          <w:sz w:val="24"/>
          <w:szCs w:val="24"/>
        </w:rPr>
        <w:t xml:space="preserve">Simple Regression </w:t>
      </w:r>
    </w:p>
    <w:p w14:paraId="60AE0B74" w14:textId="40309C76" w:rsidR="00D87FE7" w:rsidRPr="007C525B" w:rsidRDefault="00D87FE7" w:rsidP="008C527D">
      <w:pPr>
        <w:jc w:val="both"/>
        <w:rPr>
          <w:sz w:val="24"/>
          <w:szCs w:val="24"/>
        </w:rPr>
      </w:pPr>
      <w:r w:rsidRPr="007C525B">
        <w:rPr>
          <w:sz w:val="24"/>
          <w:szCs w:val="24"/>
        </w:rPr>
        <w:t>Y= 1.348 + 0.348 X1 …………………………………………………………………………………… (i)</w:t>
      </w:r>
    </w:p>
    <w:p w14:paraId="23EF27BF" w14:textId="415F5222" w:rsidR="00D87FE7" w:rsidRPr="007C525B" w:rsidRDefault="00D87FE7" w:rsidP="008C527D">
      <w:pPr>
        <w:jc w:val="both"/>
        <w:rPr>
          <w:sz w:val="24"/>
          <w:szCs w:val="24"/>
        </w:rPr>
      </w:pPr>
      <w:r w:rsidRPr="007C525B">
        <w:rPr>
          <w:sz w:val="24"/>
          <w:szCs w:val="24"/>
        </w:rPr>
        <w:t>Y= 1.348 + 0.197 X …………………………………………………………………………………….</w:t>
      </w:r>
      <w:r w:rsidR="00F22607" w:rsidRPr="007C525B">
        <w:rPr>
          <w:sz w:val="24"/>
          <w:szCs w:val="24"/>
        </w:rPr>
        <w:t xml:space="preserve"> </w:t>
      </w:r>
      <w:r w:rsidRPr="007C525B">
        <w:rPr>
          <w:sz w:val="24"/>
          <w:szCs w:val="24"/>
        </w:rPr>
        <w:t>(ii)</w:t>
      </w:r>
    </w:p>
    <w:p w14:paraId="2CFED9C1" w14:textId="77777777" w:rsidR="00231686" w:rsidRPr="007C525B" w:rsidRDefault="00231686" w:rsidP="0006155B">
      <w:pPr>
        <w:jc w:val="both"/>
        <w:rPr>
          <w:b/>
          <w:bCs/>
          <w:sz w:val="24"/>
          <w:szCs w:val="24"/>
        </w:rPr>
      </w:pPr>
    </w:p>
    <w:p w14:paraId="08E74DFF" w14:textId="098FA849" w:rsidR="00231686" w:rsidRPr="007C525B" w:rsidRDefault="008C527D" w:rsidP="008C527D">
      <w:pPr>
        <w:adjustRightInd w:val="0"/>
        <w:contextualSpacing/>
        <w:rPr>
          <w:b/>
          <w:bCs/>
          <w:sz w:val="24"/>
          <w:szCs w:val="24"/>
        </w:rPr>
      </w:pPr>
      <w:r>
        <w:rPr>
          <w:b/>
          <w:bCs/>
          <w:sz w:val="24"/>
          <w:szCs w:val="24"/>
        </w:rPr>
        <w:t xml:space="preserve">4.7 </w:t>
      </w:r>
      <w:r w:rsidR="00231686" w:rsidRPr="007C525B">
        <w:rPr>
          <w:b/>
          <w:bCs/>
          <w:sz w:val="24"/>
          <w:szCs w:val="24"/>
        </w:rPr>
        <w:t xml:space="preserve">Multiple Regression </w:t>
      </w:r>
    </w:p>
    <w:p w14:paraId="3F2B27EF" w14:textId="0C1E0A42" w:rsidR="00231686" w:rsidRPr="007C525B" w:rsidRDefault="00231686" w:rsidP="0006155B">
      <w:pPr>
        <w:jc w:val="both"/>
        <w:rPr>
          <w:sz w:val="24"/>
          <w:szCs w:val="24"/>
        </w:rPr>
      </w:pPr>
      <w:r w:rsidRPr="007C525B">
        <w:rPr>
          <w:sz w:val="24"/>
          <w:szCs w:val="24"/>
        </w:rPr>
        <w:t>Y= 1.348 + 3.48 X1 + 0.197 X2 ………………………………………………………………………. (iii)</w:t>
      </w:r>
    </w:p>
    <w:p w14:paraId="74EB8469" w14:textId="0A43A0B1" w:rsidR="00D87FE7" w:rsidRPr="007C525B" w:rsidRDefault="00D87FE7" w:rsidP="0006155B">
      <w:pPr>
        <w:jc w:val="both"/>
        <w:rPr>
          <w:sz w:val="24"/>
          <w:szCs w:val="24"/>
        </w:rPr>
      </w:pPr>
    </w:p>
    <w:p w14:paraId="44DB5ADA" w14:textId="3BBDD3E7" w:rsidR="009F7C43" w:rsidRDefault="003B5310" w:rsidP="00952DDA">
      <w:pPr>
        <w:jc w:val="both"/>
        <w:rPr>
          <w:sz w:val="24"/>
          <w:szCs w:val="24"/>
        </w:rPr>
      </w:pPr>
      <w:r w:rsidRPr="003B5310">
        <w:rPr>
          <w:sz w:val="24"/>
          <w:szCs w:val="24"/>
        </w:rPr>
        <w:t xml:space="preserve">Based on the findings, Riba significantly impacts Pakistan's Islamic banking performance (p=0.001, β=0.348). Furthermore, the results indicated that interest rates are positively correlated with Islamic banking performance in Pakistan. This study suggests that interest rates have a significant impact on Islamic banks' performance in Pakistan. The financial performance of Islamic banks in Pakistan increases by 0.348 units for each unit increase in interest rates. This is confirmed by the results </w:t>
      </w:r>
      <w:r w:rsidRPr="001C7418">
        <w:rPr>
          <w:color w:val="7030A0"/>
          <w:sz w:val="24"/>
          <w:szCs w:val="24"/>
        </w:rPr>
        <w:t>(Jajale, 2017).</w:t>
      </w:r>
      <w:r w:rsidR="00952DDA">
        <w:rPr>
          <w:sz w:val="24"/>
          <w:szCs w:val="24"/>
        </w:rPr>
        <w:t xml:space="preserve"> </w:t>
      </w:r>
      <w:r w:rsidR="00952DDA" w:rsidRPr="00952DDA">
        <w:rPr>
          <w:sz w:val="24"/>
          <w:szCs w:val="24"/>
        </w:rPr>
        <w:t>The dividend payout ratio has a significant impact on financial performance (β=0.197, p0.042). Additionally, the results indicated that a person's financial situation was positively impacted by a dividend payout ratio. These findings demonstrate a positive and significant impact of dividend payout ratio on economic well-being. Therefore, an increase of one unit in the dividend payout ratio will result in a 0.197-unit increase in Islamic banking performance in Pakistan.</w:t>
      </w:r>
    </w:p>
    <w:p w14:paraId="7F993904" w14:textId="77777777" w:rsidR="00952DDA" w:rsidRPr="007C525B" w:rsidRDefault="00952DDA" w:rsidP="00952DDA">
      <w:pPr>
        <w:jc w:val="both"/>
        <w:rPr>
          <w:sz w:val="24"/>
          <w:szCs w:val="24"/>
        </w:rPr>
      </w:pPr>
    </w:p>
    <w:p w14:paraId="586A05E4" w14:textId="77777777" w:rsidR="00B97595" w:rsidRDefault="0040259C" w:rsidP="00B97595">
      <w:pPr>
        <w:adjustRightInd w:val="0"/>
        <w:contextualSpacing/>
        <w:rPr>
          <w:b/>
          <w:bCs/>
          <w:sz w:val="28"/>
          <w:szCs w:val="28"/>
        </w:rPr>
      </w:pPr>
      <w:r>
        <w:rPr>
          <w:b/>
          <w:bCs/>
          <w:sz w:val="28"/>
          <w:szCs w:val="28"/>
        </w:rPr>
        <w:t xml:space="preserve">5. </w:t>
      </w:r>
      <w:r w:rsidRPr="0040259C">
        <w:rPr>
          <w:b/>
          <w:bCs/>
          <w:sz w:val="28"/>
          <w:szCs w:val="28"/>
        </w:rPr>
        <w:t>Conclusion</w:t>
      </w:r>
    </w:p>
    <w:p w14:paraId="4C4E264C" w14:textId="222752CF" w:rsidR="00F20BA7" w:rsidRDefault="00B97595" w:rsidP="00B97595">
      <w:pPr>
        <w:adjustRightInd w:val="0"/>
        <w:contextualSpacing/>
        <w:jc w:val="both"/>
        <w:rPr>
          <w:sz w:val="24"/>
          <w:szCs w:val="24"/>
        </w:rPr>
      </w:pPr>
      <w:r w:rsidRPr="00B97595">
        <w:rPr>
          <w:sz w:val="24"/>
          <w:szCs w:val="24"/>
        </w:rPr>
        <w:t>The study analyzed Islamic banks' performance in terms of interest rates. The study concludes that higher interest rates improve Pakistan's Islamic banks' performance. Second, the study examined how Pakistani Islamic banks' dividend payout ratio affected their performance. As a result of the study, it has been concluded that the dividend payout ratio has a statistically significant impact on the profitability of Islamic banks in Pakistan.</w:t>
      </w:r>
      <w:r w:rsidR="005443DE" w:rsidRPr="005443DE">
        <w:t xml:space="preserve"> </w:t>
      </w:r>
      <w:r w:rsidR="005443DE" w:rsidRPr="005443DE">
        <w:rPr>
          <w:sz w:val="24"/>
          <w:szCs w:val="24"/>
        </w:rPr>
        <w:t>The study on dividend regulation in Islamic banking in Pakistan reveals its significant impact on profitability, investor attraction, and financial stability. Restrictive rules hinder Islamic banks from distributing profits to shareholders, leading to lower earnings per share and return on equity. This has also impacted long-term investors' growth and competition with conventional banks. The study also suggests a need for a balanced approach to dividend regulation, considering both financial stability and investor considerations. Thus, a comprehensive review of dividend regulations is crucial for Islamic banking growth in Pakistan.</w:t>
      </w:r>
    </w:p>
    <w:p w14:paraId="01BE6A9D" w14:textId="77777777" w:rsidR="005443DE" w:rsidRPr="00B97595" w:rsidRDefault="005443DE" w:rsidP="00B97595">
      <w:pPr>
        <w:adjustRightInd w:val="0"/>
        <w:contextualSpacing/>
        <w:jc w:val="both"/>
        <w:rPr>
          <w:b/>
          <w:bCs/>
          <w:sz w:val="28"/>
          <w:szCs w:val="28"/>
        </w:rPr>
      </w:pPr>
    </w:p>
    <w:p w14:paraId="67634219" w14:textId="77777777" w:rsidR="0005039F" w:rsidRDefault="00BF1297" w:rsidP="0005039F">
      <w:pPr>
        <w:adjustRightInd w:val="0"/>
        <w:contextualSpacing/>
        <w:rPr>
          <w:b/>
          <w:bCs/>
          <w:sz w:val="24"/>
          <w:szCs w:val="24"/>
        </w:rPr>
      </w:pPr>
      <w:r>
        <w:rPr>
          <w:b/>
          <w:bCs/>
          <w:sz w:val="24"/>
          <w:szCs w:val="24"/>
        </w:rPr>
        <w:t xml:space="preserve">5.1 </w:t>
      </w:r>
      <w:r w:rsidR="00F20BA7" w:rsidRPr="007C525B">
        <w:rPr>
          <w:b/>
          <w:bCs/>
          <w:sz w:val="24"/>
          <w:szCs w:val="24"/>
        </w:rPr>
        <w:t>Recommendations</w:t>
      </w:r>
    </w:p>
    <w:p w14:paraId="4A6542D1" w14:textId="48EB8BF7" w:rsidR="0075020E" w:rsidRDefault="0075020E" w:rsidP="00C25203">
      <w:pPr>
        <w:adjustRightInd w:val="0"/>
        <w:contextualSpacing/>
        <w:jc w:val="both"/>
        <w:rPr>
          <w:b/>
          <w:bCs/>
          <w:sz w:val="24"/>
          <w:szCs w:val="24"/>
        </w:rPr>
      </w:pPr>
      <w:r w:rsidRPr="0075020E">
        <w:rPr>
          <w:sz w:val="24"/>
          <w:szCs w:val="24"/>
        </w:rPr>
        <w:t xml:space="preserve">Based on the findings of the study, Islamic banks in Pakistan should keep an eye on changes in interest rates. This will enable them to change their financial practices accordingly. It is imperative that they streamline their loan and investment portfolios in response to Riba changes. To maintain profitability in a range of interest rate environments, Islamic banks should explore methods for reducing interest rate risk. In the study, it was found that the dividend payout ratio has a significant impact on Pakistan's Islamic </w:t>
      </w:r>
      <w:r w:rsidRPr="0075020E">
        <w:rPr>
          <w:sz w:val="24"/>
          <w:szCs w:val="24"/>
        </w:rPr>
        <w:lastRenderedPageBreak/>
        <w:t>banks' performance. Islamic banks' payout ratios and dividend regulations should be carefully evaluated. It is critical for them to strike a balance between dividends and profits. In addition, Islamic banks should ensure that their dividend regulations are consistent with their financial objectives and desires. Therefore, Islamic banks should carefully consider their dividend payout ratio to maximize shareholders' value and ensure their long-term sustainability.</w:t>
      </w:r>
    </w:p>
    <w:p w14:paraId="3F5AD62D" w14:textId="77777777" w:rsidR="00C25203" w:rsidRPr="00C25203" w:rsidRDefault="00C25203" w:rsidP="00C25203">
      <w:pPr>
        <w:adjustRightInd w:val="0"/>
        <w:contextualSpacing/>
        <w:jc w:val="both"/>
        <w:rPr>
          <w:b/>
          <w:bCs/>
          <w:sz w:val="24"/>
          <w:szCs w:val="24"/>
        </w:rPr>
      </w:pPr>
    </w:p>
    <w:p w14:paraId="6B2D2A92" w14:textId="76D6C7C1" w:rsidR="000E7ABB" w:rsidRDefault="00C25203" w:rsidP="000E7ABB">
      <w:pPr>
        <w:adjustRightInd w:val="0"/>
        <w:contextualSpacing/>
        <w:rPr>
          <w:b/>
          <w:bCs/>
          <w:sz w:val="24"/>
          <w:szCs w:val="24"/>
        </w:rPr>
      </w:pPr>
      <w:r>
        <w:rPr>
          <w:b/>
          <w:bCs/>
          <w:sz w:val="24"/>
          <w:szCs w:val="24"/>
        </w:rPr>
        <w:t>5.</w:t>
      </w:r>
      <w:r w:rsidR="000E7ABB">
        <w:rPr>
          <w:b/>
          <w:bCs/>
          <w:sz w:val="24"/>
          <w:szCs w:val="24"/>
        </w:rPr>
        <w:t>1</w:t>
      </w:r>
      <w:r>
        <w:rPr>
          <w:b/>
          <w:bCs/>
          <w:sz w:val="24"/>
          <w:szCs w:val="24"/>
        </w:rPr>
        <w:t xml:space="preserve"> </w:t>
      </w:r>
      <w:r w:rsidR="00EB4AB5" w:rsidRPr="007C525B">
        <w:rPr>
          <w:b/>
          <w:bCs/>
          <w:sz w:val="24"/>
          <w:szCs w:val="24"/>
        </w:rPr>
        <w:t xml:space="preserve">Future Research </w:t>
      </w:r>
    </w:p>
    <w:p w14:paraId="6B368F61" w14:textId="77777777" w:rsidR="00A116DD" w:rsidRDefault="000E7ABB" w:rsidP="00A116DD">
      <w:pPr>
        <w:adjustRightInd w:val="0"/>
        <w:contextualSpacing/>
        <w:jc w:val="both"/>
        <w:rPr>
          <w:sz w:val="24"/>
          <w:szCs w:val="24"/>
        </w:rPr>
      </w:pPr>
      <w:r w:rsidRPr="000E7ABB">
        <w:rPr>
          <w:sz w:val="24"/>
          <w:szCs w:val="24"/>
        </w:rPr>
        <w:t>Future research opportunities include country-specific analysis, long-term performance assessment, comparison with conventional banks, the customer perspective, and social considerations. These areas of research can provide insights into dividend regulation's impact on Islamic banking performance. This will enable policymakers and regulatory authorities to develop effective frameworks that promote financial stability, sustainable growth, and ethical practices in Islamic banking. By understanding the impact of dividend regulation on Islamic banking performance, policymakers and regulatory authorities can develop effective frameworks that promote financial stability, sustainable growth, and ethical practices in Islamic banking.</w:t>
      </w:r>
    </w:p>
    <w:p w14:paraId="2D2C176C" w14:textId="77777777" w:rsidR="00A116DD" w:rsidRDefault="00A116DD" w:rsidP="00A116DD">
      <w:pPr>
        <w:adjustRightInd w:val="0"/>
        <w:contextualSpacing/>
        <w:jc w:val="both"/>
        <w:rPr>
          <w:sz w:val="24"/>
          <w:szCs w:val="24"/>
        </w:rPr>
      </w:pPr>
    </w:p>
    <w:p w14:paraId="5B2635F5" w14:textId="77777777" w:rsidR="00A116DD" w:rsidRDefault="00410AA1" w:rsidP="00A116DD">
      <w:pPr>
        <w:adjustRightInd w:val="0"/>
        <w:contextualSpacing/>
        <w:jc w:val="both"/>
        <w:rPr>
          <w:rFonts w:asciiTheme="majorBidi" w:hAnsiTheme="majorBidi" w:cstheme="majorBidi"/>
          <w:b/>
          <w:bCs/>
          <w:sz w:val="24"/>
          <w:szCs w:val="24"/>
        </w:rPr>
      </w:pPr>
      <w:r w:rsidRPr="00CA6017">
        <w:rPr>
          <w:rFonts w:asciiTheme="majorBidi" w:hAnsiTheme="majorBidi" w:cstheme="majorBidi"/>
          <w:b/>
          <w:bCs/>
          <w:sz w:val="24"/>
          <w:szCs w:val="24"/>
        </w:rPr>
        <w:t>Acknowledgments</w:t>
      </w:r>
    </w:p>
    <w:p w14:paraId="10188649" w14:textId="77777777" w:rsidR="00A116DD" w:rsidRDefault="00410AA1" w:rsidP="00A116DD">
      <w:pPr>
        <w:adjustRightInd w:val="0"/>
        <w:contextualSpacing/>
        <w:jc w:val="both"/>
        <w:rPr>
          <w:rFonts w:asciiTheme="majorBidi" w:hAnsiTheme="majorBidi" w:cstheme="majorBidi"/>
          <w:sz w:val="24"/>
          <w:szCs w:val="24"/>
        </w:rPr>
      </w:pPr>
      <w:r w:rsidRPr="00CA6017">
        <w:rPr>
          <w:rFonts w:asciiTheme="majorBidi" w:hAnsiTheme="majorBidi" w:cstheme="majorBidi"/>
          <w:sz w:val="24"/>
          <w:szCs w:val="24"/>
        </w:rPr>
        <w:t>The author must acknowledge the support in conducting the research work.</w:t>
      </w:r>
    </w:p>
    <w:p w14:paraId="3024330A" w14:textId="77777777" w:rsidR="00A116DD" w:rsidRDefault="00A116DD" w:rsidP="00A116DD">
      <w:pPr>
        <w:adjustRightInd w:val="0"/>
        <w:contextualSpacing/>
        <w:jc w:val="both"/>
        <w:rPr>
          <w:rFonts w:asciiTheme="majorBidi" w:hAnsiTheme="majorBidi" w:cstheme="majorBidi"/>
          <w:sz w:val="24"/>
          <w:szCs w:val="24"/>
        </w:rPr>
      </w:pPr>
    </w:p>
    <w:p w14:paraId="0297C9BF" w14:textId="77777777" w:rsidR="00A116DD" w:rsidRDefault="00410AA1" w:rsidP="00A116DD">
      <w:pPr>
        <w:adjustRightInd w:val="0"/>
        <w:contextualSpacing/>
        <w:jc w:val="both"/>
        <w:rPr>
          <w:rFonts w:asciiTheme="majorBidi" w:hAnsiTheme="majorBidi" w:cstheme="majorBidi"/>
          <w:b/>
          <w:bCs/>
          <w:sz w:val="24"/>
          <w:szCs w:val="24"/>
        </w:rPr>
      </w:pPr>
      <w:r w:rsidRPr="00CA6017">
        <w:rPr>
          <w:rFonts w:asciiTheme="majorBidi" w:hAnsiTheme="majorBidi" w:cstheme="majorBidi"/>
          <w:b/>
          <w:bCs/>
          <w:sz w:val="24"/>
          <w:szCs w:val="24"/>
        </w:rPr>
        <w:t xml:space="preserve">Disclosure statement </w:t>
      </w:r>
    </w:p>
    <w:p w14:paraId="51FF0027" w14:textId="77777777" w:rsidR="00A116DD" w:rsidRDefault="00410AA1" w:rsidP="00A116DD">
      <w:pPr>
        <w:adjustRightInd w:val="0"/>
        <w:contextualSpacing/>
        <w:jc w:val="both"/>
        <w:rPr>
          <w:rFonts w:asciiTheme="majorBidi" w:hAnsiTheme="majorBidi" w:cstheme="majorBidi"/>
          <w:sz w:val="24"/>
          <w:szCs w:val="24"/>
        </w:rPr>
      </w:pPr>
      <w:r w:rsidRPr="00CA6017">
        <w:rPr>
          <w:rFonts w:asciiTheme="majorBidi" w:hAnsiTheme="majorBidi" w:cstheme="majorBidi"/>
          <w:sz w:val="24"/>
          <w:szCs w:val="24"/>
        </w:rPr>
        <w:t>No potential conflict of interest was reported by the author(s).</w:t>
      </w:r>
    </w:p>
    <w:p w14:paraId="5ADCAF83" w14:textId="77777777" w:rsidR="00A116DD" w:rsidRDefault="00A116DD" w:rsidP="00A116DD">
      <w:pPr>
        <w:adjustRightInd w:val="0"/>
        <w:contextualSpacing/>
        <w:jc w:val="both"/>
        <w:rPr>
          <w:rFonts w:asciiTheme="majorBidi" w:hAnsiTheme="majorBidi" w:cstheme="majorBidi"/>
          <w:sz w:val="24"/>
          <w:szCs w:val="24"/>
        </w:rPr>
      </w:pPr>
    </w:p>
    <w:p w14:paraId="71FB2B08" w14:textId="77777777" w:rsidR="00A116DD" w:rsidRDefault="00410AA1" w:rsidP="00A116DD">
      <w:pPr>
        <w:adjustRightInd w:val="0"/>
        <w:contextualSpacing/>
        <w:jc w:val="both"/>
        <w:rPr>
          <w:rFonts w:asciiTheme="majorBidi" w:hAnsiTheme="majorBidi" w:cstheme="majorBidi"/>
          <w:b/>
          <w:bCs/>
          <w:sz w:val="24"/>
          <w:szCs w:val="24"/>
        </w:rPr>
      </w:pPr>
      <w:r w:rsidRPr="00CA6017">
        <w:rPr>
          <w:rFonts w:asciiTheme="majorBidi" w:hAnsiTheme="majorBidi" w:cstheme="majorBidi"/>
          <w:b/>
          <w:bCs/>
          <w:sz w:val="24"/>
          <w:szCs w:val="24"/>
        </w:rPr>
        <w:t>Disclaimer</w:t>
      </w:r>
    </w:p>
    <w:p w14:paraId="01FC144C" w14:textId="1D0C0A7D" w:rsidR="00410AA1" w:rsidRPr="00A116DD" w:rsidRDefault="00410AA1" w:rsidP="00A116DD">
      <w:pPr>
        <w:adjustRightInd w:val="0"/>
        <w:contextualSpacing/>
        <w:jc w:val="both"/>
        <w:rPr>
          <w:b/>
          <w:bCs/>
          <w:sz w:val="28"/>
          <w:szCs w:val="28"/>
        </w:rPr>
      </w:pPr>
      <w:r w:rsidRPr="00CA6017">
        <w:rPr>
          <w:rFonts w:asciiTheme="majorBidi" w:hAnsiTheme="majorBidi" w:cstheme="majorBidi"/>
          <w:sz w:val="24"/>
          <w:szCs w:val="24"/>
        </w:rPr>
        <w:t>The views and opinions expressed in this paper are those of the author alone and do not necessarily reflect the views of any institution.</w:t>
      </w:r>
    </w:p>
    <w:p w14:paraId="15D7427A" w14:textId="79F6DCBD" w:rsidR="00DF3D1C" w:rsidRPr="007C525B" w:rsidRDefault="00DF3D1C" w:rsidP="00ED3A7F">
      <w:pPr>
        <w:jc w:val="both"/>
        <w:rPr>
          <w:sz w:val="24"/>
          <w:szCs w:val="24"/>
        </w:rPr>
      </w:pPr>
    </w:p>
    <w:p w14:paraId="0E7F32A7" w14:textId="05FECB73" w:rsidR="00DF3D1C" w:rsidRPr="00F30BBA" w:rsidRDefault="00D84CDC" w:rsidP="00F30BBA">
      <w:pPr>
        <w:adjustRightInd w:val="0"/>
        <w:contextualSpacing/>
        <w:rPr>
          <w:b/>
          <w:bCs/>
          <w:sz w:val="28"/>
          <w:szCs w:val="28"/>
        </w:rPr>
      </w:pPr>
      <w:r w:rsidRPr="00F30BBA">
        <w:rPr>
          <w:b/>
          <w:bCs/>
          <w:sz w:val="28"/>
          <w:szCs w:val="28"/>
        </w:rPr>
        <w:t xml:space="preserve">References </w:t>
      </w:r>
    </w:p>
    <w:p w14:paraId="5A00C763" w14:textId="77777777" w:rsidR="00A33339" w:rsidRPr="007C525B" w:rsidRDefault="00A33339" w:rsidP="00A33339">
      <w:pPr>
        <w:spacing w:before="117"/>
        <w:ind w:left="964" w:right="154" w:hanging="721"/>
        <w:jc w:val="both"/>
        <w:rPr>
          <w:sz w:val="24"/>
          <w:szCs w:val="24"/>
        </w:rPr>
      </w:pPr>
      <w:r w:rsidRPr="007C525B">
        <w:rPr>
          <w:sz w:val="24"/>
          <w:szCs w:val="24"/>
        </w:rPr>
        <w:t>A.,</w:t>
      </w:r>
      <w:r w:rsidRPr="007C525B">
        <w:rPr>
          <w:spacing w:val="-16"/>
          <w:sz w:val="24"/>
          <w:szCs w:val="24"/>
        </w:rPr>
        <w:t xml:space="preserve"> </w:t>
      </w:r>
      <w:r w:rsidRPr="007C525B">
        <w:rPr>
          <w:sz w:val="24"/>
          <w:szCs w:val="24"/>
        </w:rPr>
        <w:t>Martin,</w:t>
      </w:r>
      <w:r w:rsidRPr="007C525B">
        <w:rPr>
          <w:spacing w:val="-15"/>
          <w:sz w:val="24"/>
          <w:szCs w:val="24"/>
        </w:rPr>
        <w:t xml:space="preserve"> </w:t>
      </w:r>
      <w:r w:rsidRPr="007C525B">
        <w:rPr>
          <w:sz w:val="24"/>
          <w:szCs w:val="24"/>
        </w:rPr>
        <w:t>P.</w:t>
      </w:r>
      <w:r w:rsidRPr="007C525B">
        <w:rPr>
          <w:spacing w:val="-15"/>
          <w:sz w:val="24"/>
          <w:szCs w:val="24"/>
        </w:rPr>
        <w:t xml:space="preserve"> </w:t>
      </w:r>
      <w:r w:rsidRPr="007C525B">
        <w:rPr>
          <w:sz w:val="24"/>
          <w:szCs w:val="24"/>
        </w:rPr>
        <w:t>B.</w:t>
      </w:r>
      <w:r w:rsidRPr="007C525B">
        <w:rPr>
          <w:spacing w:val="-15"/>
          <w:sz w:val="24"/>
          <w:szCs w:val="24"/>
        </w:rPr>
        <w:t xml:space="preserve"> </w:t>
      </w:r>
      <w:r w:rsidRPr="007C525B">
        <w:rPr>
          <w:sz w:val="24"/>
          <w:szCs w:val="24"/>
        </w:rPr>
        <w:t>and</w:t>
      </w:r>
      <w:r w:rsidRPr="007C525B">
        <w:rPr>
          <w:spacing w:val="-14"/>
          <w:sz w:val="24"/>
          <w:szCs w:val="24"/>
        </w:rPr>
        <w:t xml:space="preserve"> </w:t>
      </w:r>
      <w:r w:rsidRPr="007C525B">
        <w:rPr>
          <w:sz w:val="24"/>
          <w:szCs w:val="24"/>
        </w:rPr>
        <w:t>Huang,</w:t>
      </w:r>
      <w:r w:rsidRPr="007C525B">
        <w:rPr>
          <w:spacing w:val="-16"/>
          <w:sz w:val="24"/>
          <w:szCs w:val="24"/>
        </w:rPr>
        <w:t xml:space="preserve"> </w:t>
      </w:r>
      <w:r w:rsidRPr="007C525B">
        <w:rPr>
          <w:sz w:val="24"/>
          <w:szCs w:val="24"/>
        </w:rPr>
        <w:t>B.</w:t>
      </w:r>
      <w:r w:rsidRPr="007C525B">
        <w:rPr>
          <w:spacing w:val="-15"/>
          <w:sz w:val="24"/>
          <w:szCs w:val="24"/>
        </w:rPr>
        <w:t xml:space="preserve"> </w:t>
      </w:r>
      <w:r w:rsidRPr="007C525B">
        <w:rPr>
          <w:sz w:val="24"/>
          <w:szCs w:val="24"/>
        </w:rPr>
        <w:t>(2019),</w:t>
      </w:r>
      <w:r w:rsidRPr="007C525B">
        <w:rPr>
          <w:spacing w:val="-13"/>
          <w:sz w:val="24"/>
          <w:szCs w:val="24"/>
        </w:rPr>
        <w:t xml:space="preserve"> </w:t>
      </w:r>
      <w:r w:rsidRPr="007C525B">
        <w:rPr>
          <w:i/>
          <w:sz w:val="24"/>
          <w:szCs w:val="24"/>
        </w:rPr>
        <w:t>Financial</w:t>
      </w:r>
      <w:r w:rsidRPr="007C525B">
        <w:rPr>
          <w:i/>
          <w:spacing w:val="-14"/>
          <w:sz w:val="24"/>
          <w:szCs w:val="24"/>
        </w:rPr>
        <w:t xml:space="preserve"> </w:t>
      </w:r>
      <w:r w:rsidRPr="007C525B">
        <w:rPr>
          <w:i/>
          <w:sz w:val="24"/>
          <w:szCs w:val="24"/>
        </w:rPr>
        <w:t>Sector Development, Economic Growth, and Poverty Reduction: A Literature Review</w:t>
      </w:r>
      <w:r w:rsidRPr="007C525B">
        <w:rPr>
          <w:sz w:val="24"/>
          <w:szCs w:val="24"/>
        </w:rPr>
        <w:t>. ADB Economics Working Paper No. 173. Archer,</w:t>
      </w:r>
      <w:r w:rsidRPr="007C525B">
        <w:rPr>
          <w:spacing w:val="-29"/>
          <w:sz w:val="24"/>
          <w:szCs w:val="24"/>
        </w:rPr>
        <w:t xml:space="preserve"> </w:t>
      </w:r>
      <w:r w:rsidRPr="007C525B">
        <w:rPr>
          <w:sz w:val="24"/>
          <w:szCs w:val="24"/>
        </w:rPr>
        <w:t>S., and Abdel Karim, A. (2002), Islamic Finance: Growth and Innovation (London: Euromoney Books).</w:t>
      </w:r>
    </w:p>
    <w:p w14:paraId="6AEE0AC3" w14:textId="77777777" w:rsidR="00A33339" w:rsidRPr="007C525B" w:rsidRDefault="00A33339" w:rsidP="00A33339">
      <w:pPr>
        <w:spacing w:before="1"/>
        <w:ind w:left="964" w:right="154" w:hanging="721"/>
        <w:jc w:val="both"/>
        <w:rPr>
          <w:sz w:val="24"/>
          <w:szCs w:val="24"/>
        </w:rPr>
      </w:pPr>
      <w:r w:rsidRPr="007C525B">
        <w:rPr>
          <w:sz w:val="24"/>
          <w:szCs w:val="24"/>
        </w:rPr>
        <w:t xml:space="preserve">Adams, R. B. &amp; Mehran, H. (2005). </w:t>
      </w:r>
      <w:r w:rsidRPr="007C525B">
        <w:rPr>
          <w:i/>
          <w:sz w:val="24"/>
          <w:szCs w:val="24"/>
        </w:rPr>
        <w:t>Corporate performance, board structure and its determinants in the banking industry</w:t>
      </w:r>
      <w:r w:rsidRPr="007C525B">
        <w:rPr>
          <w:sz w:val="24"/>
          <w:szCs w:val="24"/>
        </w:rPr>
        <w:t>, in EFA, Moscow meetings.</w:t>
      </w:r>
    </w:p>
    <w:p w14:paraId="491FC6F6" w14:textId="77777777" w:rsidR="00A33339" w:rsidRPr="007C525B" w:rsidRDefault="00A33339" w:rsidP="00A33339">
      <w:pPr>
        <w:ind w:left="964" w:right="154" w:hanging="721"/>
        <w:jc w:val="both"/>
        <w:rPr>
          <w:sz w:val="24"/>
          <w:szCs w:val="24"/>
        </w:rPr>
      </w:pPr>
      <w:r w:rsidRPr="007C525B">
        <w:rPr>
          <w:sz w:val="24"/>
          <w:szCs w:val="24"/>
        </w:rPr>
        <w:t>Aduda,</w:t>
      </w:r>
      <w:r w:rsidRPr="007C525B">
        <w:rPr>
          <w:spacing w:val="-12"/>
          <w:sz w:val="24"/>
          <w:szCs w:val="24"/>
        </w:rPr>
        <w:t xml:space="preserve"> </w:t>
      </w:r>
      <w:r w:rsidRPr="007C525B">
        <w:rPr>
          <w:sz w:val="24"/>
          <w:szCs w:val="24"/>
        </w:rPr>
        <w:t>J.</w:t>
      </w:r>
      <w:r w:rsidRPr="007C525B">
        <w:rPr>
          <w:spacing w:val="-10"/>
          <w:sz w:val="24"/>
          <w:szCs w:val="24"/>
        </w:rPr>
        <w:t xml:space="preserve"> </w:t>
      </w:r>
      <w:r w:rsidRPr="007C525B">
        <w:rPr>
          <w:sz w:val="24"/>
          <w:szCs w:val="24"/>
        </w:rPr>
        <w:t>O.</w:t>
      </w:r>
      <w:r w:rsidRPr="007C525B">
        <w:rPr>
          <w:spacing w:val="-14"/>
          <w:sz w:val="24"/>
          <w:szCs w:val="24"/>
        </w:rPr>
        <w:t xml:space="preserve"> </w:t>
      </w:r>
      <w:r w:rsidRPr="007C525B">
        <w:rPr>
          <w:sz w:val="24"/>
          <w:szCs w:val="24"/>
        </w:rPr>
        <w:t>&amp;</w:t>
      </w:r>
      <w:r w:rsidRPr="007C525B">
        <w:rPr>
          <w:spacing w:val="-10"/>
          <w:sz w:val="24"/>
          <w:szCs w:val="24"/>
        </w:rPr>
        <w:t xml:space="preserve"> </w:t>
      </w:r>
      <w:r w:rsidRPr="007C525B">
        <w:rPr>
          <w:sz w:val="24"/>
          <w:szCs w:val="24"/>
        </w:rPr>
        <w:t>Kimathi,</w:t>
      </w:r>
      <w:r w:rsidRPr="007C525B">
        <w:rPr>
          <w:spacing w:val="-12"/>
          <w:sz w:val="24"/>
          <w:szCs w:val="24"/>
        </w:rPr>
        <w:t xml:space="preserve"> </w:t>
      </w:r>
      <w:r w:rsidRPr="007C525B">
        <w:rPr>
          <w:sz w:val="24"/>
          <w:szCs w:val="24"/>
        </w:rPr>
        <w:t>H.</w:t>
      </w:r>
      <w:r w:rsidRPr="007C525B">
        <w:rPr>
          <w:spacing w:val="-13"/>
          <w:sz w:val="24"/>
          <w:szCs w:val="24"/>
        </w:rPr>
        <w:t xml:space="preserve"> </w:t>
      </w:r>
      <w:r w:rsidRPr="007C525B">
        <w:rPr>
          <w:sz w:val="24"/>
          <w:szCs w:val="24"/>
        </w:rPr>
        <w:t>(2011).</w:t>
      </w:r>
      <w:r w:rsidRPr="007C525B">
        <w:rPr>
          <w:spacing w:val="-12"/>
          <w:sz w:val="24"/>
          <w:szCs w:val="24"/>
        </w:rPr>
        <w:t xml:space="preserve"> </w:t>
      </w:r>
      <w:r w:rsidRPr="007C525B">
        <w:rPr>
          <w:sz w:val="24"/>
          <w:szCs w:val="24"/>
        </w:rPr>
        <w:t>The</w:t>
      </w:r>
      <w:r w:rsidRPr="007C525B">
        <w:rPr>
          <w:spacing w:val="-11"/>
          <w:sz w:val="24"/>
          <w:szCs w:val="24"/>
        </w:rPr>
        <w:t xml:space="preserve"> </w:t>
      </w:r>
      <w:r w:rsidRPr="007C525B">
        <w:rPr>
          <w:sz w:val="24"/>
          <w:szCs w:val="24"/>
        </w:rPr>
        <w:t>Applicability</w:t>
      </w:r>
      <w:r w:rsidRPr="007C525B">
        <w:rPr>
          <w:spacing w:val="-12"/>
          <w:sz w:val="24"/>
          <w:szCs w:val="24"/>
        </w:rPr>
        <w:t xml:space="preserve"> </w:t>
      </w:r>
      <w:r w:rsidRPr="007C525B">
        <w:rPr>
          <w:sz w:val="24"/>
          <w:szCs w:val="24"/>
        </w:rPr>
        <w:t xml:space="preserve">of the constant dividend model for companies listed at the Nairobi stock exchange, </w:t>
      </w:r>
      <w:r w:rsidRPr="007C525B">
        <w:rPr>
          <w:i/>
          <w:sz w:val="24"/>
          <w:szCs w:val="24"/>
        </w:rPr>
        <w:t>European Scientific</w:t>
      </w:r>
      <w:r w:rsidRPr="007C525B">
        <w:rPr>
          <w:i/>
          <w:spacing w:val="-9"/>
          <w:sz w:val="24"/>
          <w:szCs w:val="24"/>
        </w:rPr>
        <w:t xml:space="preserve"> </w:t>
      </w:r>
      <w:r w:rsidRPr="007C525B">
        <w:rPr>
          <w:i/>
          <w:sz w:val="24"/>
          <w:szCs w:val="24"/>
        </w:rPr>
        <w:t>Journal</w:t>
      </w:r>
      <w:r w:rsidRPr="007C525B">
        <w:rPr>
          <w:i/>
          <w:spacing w:val="-8"/>
          <w:sz w:val="24"/>
          <w:szCs w:val="24"/>
        </w:rPr>
        <w:t xml:space="preserve"> </w:t>
      </w:r>
      <w:r w:rsidRPr="007C525B">
        <w:rPr>
          <w:i/>
          <w:sz w:val="24"/>
          <w:szCs w:val="24"/>
        </w:rPr>
        <w:t>October</w:t>
      </w:r>
      <w:r w:rsidRPr="007C525B">
        <w:rPr>
          <w:i/>
          <w:spacing w:val="-9"/>
          <w:sz w:val="24"/>
          <w:szCs w:val="24"/>
        </w:rPr>
        <w:t xml:space="preserve"> </w:t>
      </w:r>
      <w:r w:rsidRPr="007C525B">
        <w:rPr>
          <w:sz w:val="24"/>
          <w:szCs w:val="24"/>
        </w:rPr>
        <w:t>2017</w:t>
      </w:r>
      <w:r w:rsidRPr="007C525B">
        <w:rPr>
          <w:spacing w:val="-9"/>
          <w:sz w:val="24"/>
          <w:szCs w:val="24"/>
        </w:rPr>
        <w:t xml:space="preserve"> </w:t>
      </w:r>
      <w:r w:rsidRPr="007C525B">
        <w:rPr>
          <w:sz w:val="24"/>
          <w:szCs w:val="24"/>
        </w:rPr>
        <w:t>edition</w:t>
      </w:r>
      <w:r w:rsidRPr="007C525B">
        <w:rPr>
          <w:spacing w:val="-10"/>
          <w:sz w:val="24"/>
          <w:szCs w:val="24"/>
        </w:rPr>
        <w:t xml:space="preserve"> </w:t>
      </w:r>
      <w:r w:rsidRPr="007C525B">
        <w:rPr>
          <w:sz w:val="24"/>
          <w:szCs w:val="24"/>
        </w:rPr>
        <w:t>Vol.13, No.28  ISSN:  1857  –  7881  (Print)  e  -</w:t>
      </w:r>
      <w:r w:rsidRPr="007C525B">
        <w:rPr>
          <w:spacing w:val="48"/>
          <w:sz w:val="24"/>
          <w:szCs w:val="24"/>
        </w:rPr>
        <w:t xml:space="preserve"> </w:t>
      </w:r>
      <w:r w:rsidRPr="007C525B">
        <w:rPr>
          <w:sz w:val="24"/>
          <w:szCs w:val="24"/>
        </w:rPr>
        <w:t>ISSN. 1857- 7431 149 Journal of Financial Studies</w:t>
      </w:r>
      <w:r w:rsidRPr="007C525B">
        <w:rPr>
          <w:spacing w:val="30"/>
          <w:sz w:val="24"/>
          <w:szCs w:val="24"/>
        </w:rPr>
        <w:t xml:space="preserve"> </w:t>
      </w:r>
      <w:r w:rsidRPr="007C525B">
        <w:rPr>
          <w:sz w:val="24"/>
          <w:szCs w:val="24"/>
        </w:rPr>
        <w:t>&amp; Research, pp. 1-38.</w:t>
      </w:r>
    </w:p>
    <w:p w14:paraId="6320A966" w14:textId="77777777" w:rsidR="00A33339" w:rsidRPr="007C525B" w:rsidRDefault="00A33339" w:rsidP="00A33339">
      <w:pPr>
        <w:spacing w:before="1"/>
        <w:ind w:left="964" w:right="154" w:hanging="721"/>
        <w:jc w:val="both"/>
        <w:rPr>
          <w:sz w:val="24"/>
          <w:szCs w:val="24"/>
        </w:rPr>
      </w:pPr>
      <w:r w:rsidRPr="007C525B">
        <w:rPr>
          <w:sz w:val="24"/>
          <w:szCs w:val="24"/>
        </w:rPr>
        <w:t xml:space="preserve">Ahmed, H. &amp; Javid, A. Y. (2009). Dynamics and determinants of dividend policy in Pakistan: evidence from Karachi stock exchange non- financial listed firms. </w:t>
      </w:r>
      <w:r w:rsidRPr="007C525B">
        <w:rPr>
          <w:i/>
          <w:sz w:val="24"/>
          <w:szCs w:val="24"/>
        </w:rPr>
        <w:t xml:space="preserve">Journal of Finance and Economics, </w:t>
      </w:r>
      <w:r w:rsidRPr="007C525B">
        <w:rPr>
          <w:sz w:val="24"/>
          <w:szCs w:val="24"/>
        </w:rPr>
        <w:t>25(1), 148-171.</w:t>
      </w:r>
    </w:p>
    <w:p w14:paraId="770FACAE" w14:textId="77777777" w:rsidR="00A33339" w:rsidRPr="007C525B" w:rsidRDefault="00A33339" w:rsidP="00A33339">
      <w:pPr>
        <w:spacing w:before="1"/>
        <w:ind w:left="964" w:right="154" w:hanging="721"/>
        <w:jc w:val="both"/>
        <w:rPr>
          <w:sz w:val="24"/>
          <w:szCs w:val="24"/>
        </w:rPr>
      </w:pPr>
      <w:r w:rsidRPr="007C525B">
        <w:rPr>
          <w:sz w:val="24"/>
          <w:szCs w:val="24"/>
        </w:rPr>
        <w:t xml:space="preserve">Alii, K. L., Khan, A. Q. &amp; Ramirez, G. G. (1993). Determinants of corporate dividend policy: A factorial analysis, </w:t>
      </w:r>
      <w:r w:rsidRPr="007C525B">
        <w:rPr>
          <w:i/>
          <w:sz w:val="24"/>
          <w:szCs w:val="24"/>
        </w:rPr>
        <w:t>Financial Review</w:t>
      </w:r>
      <w:r w:rsidRPr="007C525B">
        <w:rPr>
          <w:sz w:val="24"/>
          <w:szCs w:val="24"/>
        </w:rPr>
        <w:t>, 4(28),   523-547.</w:t>
      </w:r>
    </w:p>
    <w:p w14:paraId="6838D416" w14:textId="77777777" w:rsidR="008465B2" w:rsidRPr="007C525B" w:rsidRDefault="008465B2" w:rsidP="008465B2">
      <w:pPr>
        <w:ind w:left="1100" w:hanging="721"/>
        <w:jc w:val="both"/>
        <w:rPr>
          <w:sz w:val="24"/>
          <w:szCs w:val="24"/>
        </w:rPr>
      </w:pPr>
      <w:r w:rsidRPr="007C525B">
        <w:rPr>
          <w:sz w:val="24"/>
          <w:szCs w:val="24"/>
        </w:rPr>
        <w:t xml:space="preserve">Al-Kuwari, D. (2009). Determinants of the dividend payout ratio of companies listed on emerging stock exchanges: The case of the Gulf Cooperation Council (GCC) countries. </w:t>
      </w:r>
      <w:r w:rsidRPr="007C525B">
        <w:rPr>
          <w:i/>
          <w:sz w:val="24"/>
          <w:szCs w:val="24"/>
        </w:rPr>
        <w:t>Global Economy &amp; Finance Journal</w:t>
      </w:r>
      <w:r w:rsidRPr="007C525B">
        <w:rPr>
          <w:sz w:val="24"/>
          <w:szCs w:val="24"/>
        </w:rPr>
        <w:t>, 2(2), 38-63.</w:t>
      </w:r>
    </w:p>
    <w:p w14:paraId="672D3239" w14:textId="77777777" w:rsidR="008465B2" w:rsidRPr="007C525B" w:rsidRDefault="008465B2" w:rsidP="008465B2">
      <w:pPr>
        <w:ind w:left="1100" w:right="1" w:hanging="721"/>
        <w:jc w:val="both"/>
        <w:rPr>
          <w:sz w:val="24"/>
          <w:szCs w:val="24"/>
        </w:rPr>
      </w:pPr>
      <w:r w:rsidRPr="007C525B">
        <w:rPr>
          <w:sz w:val="24"/>
          <w:szCs w:val="24"/>
        </w:rPr>
        <w:t>Al-Malkawi, H. (2007). Determinants of corporate dividend</w:t>
      </w:r>
      <w:r w:rsidRPr="007C525B">
        <w:rPr>
          <w:spacing w:val="-8"/>
          <w:sz w:val="24"/>
          <w:szCs w:val="24"/>
        </w:rPr>
        <w:t xml:space="preserve"> </w:t>
      </w:r>
      <w:r w:rsidRPr="007C525B">
        <w:rPr>
          <w:sz w:val="24"/>
          <w:szCs w:val="24"/>
        </w:rPr>
        <w:t>policy</w:t>
      </w:r>
      <w:r w:rsidRPr="007C525B">
        <w:rPr>
          <w:spacing w:val="-8"/>
          <w:sz w:val="24"/>
          <w:szCs w:val="24"/>
        </w:rPr>
        <w:t xml:space="preserve"> </w:t>
      </w:r>
      <w:r w:rsidRPr="007C525B">
        <w:rPr>
          <w:sz w:val="24"/>
          <w:szCs w:val="24"/>
        </w:rPr>
        <w:t>in</w:t>
      </w:r>
      <w:r w:rsidRPr="007C525B">
        <w:rPr>
          <w:spacing w:val="-11"/>
          <w:sz w:val="24"/>
          <w:szCs w:val="24"/>
        </w:rPr>
        <w:t xml:space="preserve"> </w:t>
      </w:r>
      <w:r w:rsidRPr="007C525B">
        <w:rPr>
          <w:sz w:val="24"/>
          <w:szCs w:val="24"/>
        </w:rPr>
        <w:t>Jordan:</w:t>
      </w:r>
      <w:r w:rsidRPr="007C525B">
        <w:rPr>
          <w:spacing w:val="-10"/>
          <w:sz w:val="24"/>
          <w:szCs w:val="24"/>
        </w:rPr>
        <w:t xml:space="preserve"> </w:t>
      </w:r>
      <w:r w:rsidRPr="007C525B">
        <w:rPr>
          <w:sz w:val="24"/>
          <w:szCs w:val="24"/>
        </w:rPr>
        <w:t>An</w:t>
      </w:r>
      <w:r w:rsidRPr="007C525B">
        <w:rPr>
          <w:spacing w:val="-9"/>
          <w:sz w:val="24"/>
          <w:szCs w:val="24"/>
        </w:rPr>
        <w:t xml:space="preserve"> </w:t>
      </w:r>
      <w:r w:rsidRPr="007C525B">
        <w:rPr>
          <w:sz w:val="24"/>
          <w:szCs w:val="24"/>
        </w:rPr>
        <w:t>application</w:t>
      </w:r>
      <w:r w:rsidRPr="007C525B">
        <w:rPr>
          <w:spacing w:val="-8"/>
          <w:sz w:val="24"/>
          <w:szCs w:val="24"/>
        </w:rPr>
        <w:t xml:space="preserve"> </w:t>
      </w:r>
      <w:r w:rsidRPr="007C525B">
        <w:rPr>
          <w:sz w:val="24"/>
          <w:szCs w:val="24"/>
        </w:rPr>
        <w:t>of</w:t>
      </w:r>
      <w:r w:rsidRPr="007C525B">
        <w:rPr>
          <w:spacing w:val="-8"/>
          <w:sz w:val="24"/>
          <w:szCs w:val="24"/>
        </w:rPr>
        <w:t xml:space="preserve"> </w:t>
      </w:r>
      <w:r w:rsidRPr="007C525B">
        <w:rPr>
          <w:sz w:val="24"/>
          <w:szCs w:val="24"/>
        </w:rPr>
        <w:t xml:space="preserve">the </w:t>
      </w:r>
      <w:r w:rsidRPr="007C525B">
        <w:rPr>
          <w:sz w:val="24"/>
          <w:szCs w:val="24"/>
        </w:rPr>
        <w:lastRenderedPageBreak/>
        <w:t xml:space="preserve">Tobit Model, </w:t>
      </w:r>
      <w:r w:rsidRPr="007C525B">
        <w:rPr>
          <w:i/>
          <w:sz w:val="24"/>
          <w:szCs w:val="24"/>
        </w:rPr>
        <w:t>Journal of Economics and Administrative Sciences</w:t>
      </w:r>
      <w:r w:rsidRPr="007C525B">
        <w:rPr>
          <w:sz w:val="24"/>
          <w:szCs w:val="24"/>
        </w:rPr>
        <w:t>, 23(2),</w:t>
      </w:r>
      <w:r w:rsidRPr="007C525B">
        <w:rPr>
          <w:spacing w:val="-2"/>
          <w:sz w:val="24"/>
          <w:szCs w:val="24"/>
        </w:rPr>
        <w:t xml:space="preserve"> </w:t>
      </w:r>
      <w:r w:rsidRPr="007C525B">
        <w:rPr>
          <w:sz w:val="24"/>
          <w:szCs w:val="24"/>
        </w:rPr>
        <w:t>44-70.</w:t>
      </w:r>
    </w:p>
    <w:p w14:paraId="4BEC9391" w14:textId="77777777" w:rsidR="008465B2" w:rsidRPr="007C525B" w:rsidRDefault="008465B2" w:rsidP="008465B2">
      <w:pPr>
        <w:spacing w:before="1"/>
        <w:ind w:left="1100" w:right="1" w:hanging="721"/>
        <w:jc w:val="both"/>
        <w:rPr>
          <w:sz w:val="24"/>
          <w:szCs w:val="24"/>
        </w:rPr>
      </w:pPr>
      <w:r w:rsidRPr="007C525B">
        <w:rPr>
          <w:sz w:val="24"/>
          <w:szCs w:val="24"/>
        </w:rPr>
        <w:t xml:space="preserve">Ap Gwilym, O., Morgan, G. &amp; Thomas, S. (2000). Dividend stability, dividend yield and stock returns: UK evidence. </w:t>
      </w:r>
      <w:r w:rsidRPr="007C525B">
        <w:rPr>
          <w:i/>
          <w:sz w:val="24"/>
          <w:szCs w:val="24"/>
        </w:rPr>
        <w:t>Journal of Business Finance and Accounting</w:t>
      </w:r>
      <w:r w:rsidRPr="007C525B">
        <w:rPr>
          <w:sz w:val="24"/>
          <w:szCs w:val="24"/>
        </w:rPr>
        <w:t>, 27(3), 261-281.</w:t>
      </w:r>
    </w:p>
    <w:p w14:paraId="4DE5F9DE" w14:textId="77777777" w:rsidR="008465B2" w:rsidRPr="007C525B" w:rsidRDefault="008465B2" w:rsidP="008465B2">
      <w:pPr>
        <w:spacing w:before="1"/>
        <w:ind w:left="1100" w:right="1" w:hanging="721"/>
        <w:jc w:val="both"/>
        <w:rPr>
          <w:sz w:val="24"/>
          <w:szCs w:val="24"/>
        </w:rPr>
      </w:pPr>
      <w:r w:rsidRPr="007C525B">
        <w:rPr>
          <w:sz w:val="24"/>
          <w:szCs w:val="24"/>
        </w:rPr>
        <w:t xml:space="preserve">Arnott, R. &amp; Asness, C. (2003). Surprise! Higher dividends = higher earnings growth. </w:t>
      </w:r>
      <w:r w:rsidRPr="007C525B">
        <w:rPr>
          <w:i/>
          <w:sz w:val="24"/>
          <w:szCs w:val="24"/>
        </w:rPr>
        <w:t>Financial Analysts Journal</w:t>
      </w:r>
      <w:r w:rsidRPr="007C525B">
        <w:rPr>
          <w:sz w:val="24"/>
          <w:szCs w:val="24"/>
        </w:rPr>
        <w:t>, 59(1), 70-87.</w:t>
      </w:r>
    </w:p>
    <w:p w14:paraId="0AAF8B79" w14:textId="1F7EF563" w:rsidR="008465B2" w:rsidRPr="007C525B" w:rsidRDefault="008465B2" w:rsidP="008465B2">
      <w:pPr>
        <w:ind w:left="1100" w:right="3" w:hanging="721"/>
        <w:jc w:val="both"/>
        <w:rPr>
          <w:sz w:val="24"/>
          <w:szCs w:val="24"/>
        </w:rPr>
      </w:pPr>
      <w:r w:rsidRPr="007C525B">
        <w:rPr>
          <w:sz w:val="24"/>
          <w:szCs w:val="24"/>
        </w:rPr>
        <w:t xml:space="preserve">Asutay, M. (2017), International Developments &amp; Trends in Islamic Finance and Its ethical Implication. </w:t>
      </w:r>
      <w:r w:rsidRPr="007C525B">
        <w:rPr>
          <w:i/>
          <w:sz w:val="24"/>
          <w:szCs w:val="24"/>
        </w:rPr>
        <w:t xml:space="preserve">Journal of International finance </w:t>
      </w:r>
      <w:r w:rsidRPr="007C525B">
        <w:rPr>
          <w:sz w:val="24"/>
          <w:szCs w:val="24"/>
        </w:rPr>
        <w:t>June 2011.</w:t>
      </w:r>
    </w:p>
    <w:p w14:paraId="0B8661EC" w14:textId="77777777" w:rsidR="008465B2" w:rsidRPr="007C525B" w:rsidRDefault="008465B2" w:rsidP="008465B2">
      <w:pPr>
        <w:spacing w:before="1"/>
        <w:ind w:left="1100" w:right="1" w:hanging="721"/>
        <w:jc w:val="both"/>
        <w:rPr>
          <w:sz w:val="24"/>
          <w:szCs w:val="24"/>
        </w:rPr>
      </w:pPr>
      <w:r w:rsidRPr="007C525B">
        <w:rPr>
          <w:sz w:val="24"/>
          <w:szCs w:val="24"/>
        </w:rPr>
        <w:t xml:space="preserve">Aziz, Z. A. (2009), </w:t>
      </w:r>
      <w:r w:rsidRPr="007C525B">
        <w:rPr>
          <w:i/>
          <w:sz w:val="24"/>
          <w:szCs w:val="24"/>
        </w:rPr>
        <w:t>Islamic Finance: During and After the Global Financial Crisis, Istanbul</w:t>
      </w:r>
      <w:r w:rsidRPr="007C525B">
        <w:rPr>
          <w:sz w:val="24"/>
          <w:szCs w:val="24"/>
        </w:rPr>
        <w:t>, October 5.</w:t>
      </w:r>
    </w:p>
    <w:p w14:paraId="3D6760B8" w14:textId="77777777" w:rsidR="008465B2" w:rsidRPr="007C525B" w:rsidRDefault="008465B2" w:rsidP="008465B2">
      <w:pPr>
        <w:ind w:left="1100" w:right="1" w:hanging="721"/>
        <w:jc w:val="both"/>
        <w:rPr>
          <w:sz w:val="24"/>
          <w:szCs w:val="24"/>
        </w:rPr>
      </w:pPr>
      <w:r w:rsidRPr="007C525B">
        <w:rPr>
          <w:sz w:val="24"/>
          <w:szCs w:val="24"/>
        </w:rPr>
        <w:t xml:space="preserve">Bashir, A. M. (2003), </w:t>
      </w:r>
      <w:r w:rsidRPr="007C525B">
        <w:rPr>
          <w:i/>
          <w:sz w:val="24"/>
          <w:szCs w:val="24"/>
        </w:rPr>
        <w:t xml:space="preserve">Determinants of Profitability in Islamic Banks: Some Evidence from the Middle East, Islamic Economic Studies </w:t>
      </w:r>
      <w:r w:rsidRPr="007C525B">
        <w:rPr>
          <w:sz w:val="24"/>
          <w:szCs w:val="24"/>
        </w:rPr>
        <w:t>Vol. 11, No. 1, September 2003</w:t>
      </w:r>
    </w:p>
    <w:p w14:paraId="41F63F59" w14:textId="77777777" w:rsidR="008465B2" w:rsidRPr="007C525B" w:rsidRDefault="008465B2" w:rsidP="008465B2">
      <w:pPr>
        <w:ind w:left="1100" w:hanging="721"/>
        <w:jc w:val="both"/>
        <w:rPr>
          <w:sz w:val="24"/>
          <w:szCs w:val="24"/>
        </w:rPr>
      </w:pPr>
      <w:r w:rsidRPr="007C525B">
        <w:rPr>
          <w:sz w:val="24"/>
          <w:szCs w:val="24"/>
        </w:rPr>
        <w:t>Bhandari,</w:t>
      </w:r>
      <w:r w:rsidRPr="007C525B">
        <w:rPr>
          <w:spacing w:val="-7"/>
          <w:sz w:val="24"/>
          <w:szCs w:val="24"/>
        </w:rPr>
        <w:t xml:space="preserve"> </w:t>
      </w:r>
      <w:r w:rsidRPr="007C525B">
        <w:rPr>
          <w:sz w:val="24"/>
          <w:szCs w:val="24"/>
        </w:rPr>
        <w:t>G.</w:t>
      </w:r>
      <w:r w:rsidRPr="007C525B">
        <w:rPr>
          <w:spacing w:val="-10"/>
          <w:sz w:val="24"/>
          <w:szCs w:val="24"/>
        </w:rPr>
        <w:t xml:space="preserve"> </w:t>
      </w:r>
      <w:r w:rsidRPr="007C525B">
        <w:rPr>
          <w:sz w:val="24"/>
          <w:szCs w:val="24"/>
        </w:rPr>
        <w:t>W.</w:t>
      </w:r>
      <w:r w:rsidRPr="007C525B">
        <w:rPr>
          <w:spacing w:val="-7"/>
          <w:sz w:val="24"/>
          <w:szCs w:val="24"/>
        </w:rPr>
        <w:t xml:space="preserve"> </w:t>
      </w:r>
      <w:r w:rsidRPr="007C525B">
        <w:rPr>
          <w:sz w:val="24"/>
          <w:szCs w:val="24"/>
        </w:rPr>
        <w:t>(1988).</w:t>
      </w:r>
      <w:r w:rsidRPr="007C525B">
        <w:rPr>
          <w:spacing w:val="-6"/>
          <w:sz w:val="24"/>
          <w:szCs w:val="24"/>
        </w:rPr>
        <w:t xml:space="preserve"> </w:t>
      </w:r>
      <w:r w:rsidRPr="007C525B">
        <w:rPr>
          <w:i/>
          <w:sz w:val="24"/>
          <w:szCs w:val="24"/>
        </w:rPr>
        <w:t>Corporate</w:t>
      </w:r>
      <w:r w:rsidRPr="007C525B">
        <w:rPr>
          <w:i/>
          <w:spacing w:val="-7"/>
          <w:sz w:val="24"/>
          <w:szCs w:val="24"/>
        </w:rPr>
        <w:t xml:space="preserve"> </w:t>
      </w:r>
      <w:r w:rsidRPr="007C525B">
        <w:rPr>
          <w:i/>
          <w:sz w:val="24"/>
          <w:szCs w:val="24"/>
        </w:rPr>
        <w:t>Finance:</w:t>
      </w:r>
      <w:r w:rsidRPr="007C525B">
        <w:rPr>
          <w:i/>
          <w:spacing w:val="-6"/>
          <w:sz w:val="24"/>
          <w:szCs w:val="24"/>
        </w:rPr>
        <w:t xml:space="preserve"> </w:t>
      </w:r>
      <w:r w:rsidRPr="007C525B">
        <w:rPr>
          <w:i/>
          <w:sz w:val="24"/>
          <w:szCs w:val="24"/>
        </w:rPr>
        <w:t xml:space="preserve">Principles and Practice, </w:t>
      </w:r>
      <w:r w:rsidRPr="007C525B">
        <w:rPr>
          <w:sz w:val="24"/>
          <w:szCs w:val="24"/>
        </w:rPr>
        <w:t>Addison Wesley Longman, First Edition.</w:t>
      </w:r>
    </w:p>
    <w:p w14:paraId="1EE8FE45" w14:textId="77777777" w:rsidR="008465B2" w:rsidRPr="007C525B" w:rsidRDefault="008465B2" w:rsidP="008465B2">
      <w:pPr>
        <w:ind w:left="1100" w:hanging="721"/>
        <w:jc w:val="both"/>
        <w:rPr>
          <w:sz w:val="24"/>
          <w:szCs w:val="24"/>
        </w:rPr>
      </w:pPr>
      <w:r w:rsidRPr="007C525B">
        <w:rPr>
          <w:sz w:val="24"/>
          <w:szCs w:val="24"/>
        </w:rPr>
        <w:t xml:space="preserve">Bhattacharya, S. (2014). Imperfect Information, Dividend Policy, and the ‘Bird in the Hand’ Fallacy, </w:t>
      </w:r>
      <w:r w:rsidRPr="007C525B">
        <w:rPr>
          <w:i/>
          <w:sz w:val="24"/>
          <w:szCs w:val="24"/>
        </w:rPr>
        <w:t>Bell Journal of Economics</w:t>
      </w:r>
      <w:r w:rsidRPr="007C525B">
        <w:rPr>
          <w:sz w:val="24"/>
          <w:szCs w:val="24"/>
        </w:rPr>
        <w:t>, 10, 259- 270.</w:t>
      </w:r>
    </w:p>
    <w:p w14:paraId="6B6F54BC" w14:textId="77777777" w:rsidR="008465B2" w:rsidRPr="007C525B" w:rsidRDefault="008465B2" w:rsidP="008465B2">
      <w:pPr>
        <w:ind w:left="1100" w:right="1" w:hanging="721"/>
        <w:jc w:val="both"/>
        <w:rPr>
          <w:sz w:val="24"/>
          <w:szCs w:val="24"/>
        </w:rPr>
      </w:pPr>
      <w:r w:rsidRPr="007C525B">
        <w:rPr>
          <w:sz w:val="24"/>
          <w:szCs w:val="24"/>
        </w:rPr>
        <w:t xml:space="preserve">Brealey, R. A. &amp; Myers, S. C. (2003). </w:t>
      </w:r>
      <w:r w:rsidRPr="007C525B">
        <w:rPr>
          <w:i/>
          <w:sz w:val="24"/>
          <w:szCs w:val="24"/>
        </w:rPr>
        <w:t xml:space="preserve">Principles of corporate finance (7th ed.). </w:t>
      </w:r>
      <w:r w:rsidRPr="007C525B">
        <w:rPr>
          <w:sz w:val="24"/>
          <w:szCs w:val="24"/>
        </w:rPr>
        <w:t>New York: McGraw Hill.</w:t>
      </w:r>
    </w:p>
    <w:p w14:paraId="2912AEED" w14:textId="77777777" w:rsidR="008465B2" w:rsidRPr="007C525B" w:rsidRDefault="008465B2" w:rsidP="008465B2">
      <w:pPr>
        <w:ind w:left="1100" w:hanging="721"/>
        <w:jc w:val="both"/>
        <w:rPr>
          <w:sz w:val="24"/>
          <w:szCs w:val="24"/>
        </w:rPr>
      </w:pPr>
      <w:r w:rsidRPr="007C525B">
        <w:rPr>
          <w:sz w:val="24"/>
          <w:szCs w:val="24"/>
        </w:rPr>
        <w:t xml:space="preserve">Brigham, E. F. &amp; Ehrhardt, M. C. (2012). </w:t>
      </w:r>
      <w:r w:rsidRPr="007C525B">
        <w:rPr>
          <w:i/>
          <w:sz w:val="24"/>
          <w:szCs w:val="24"/>
        </w:rPr>
        <w:t>Financial management: Theory and practice, 13th edition</w:t>
      </w:r>
      <w:r w:rsidRPr="007C525B">
        <w:rPr>
          <w:sz w:val="24"/>
          <w:szCs w:val="24"/>
        </w:rPr>
        <w:t>, South-Western</w:t>
      </w:r>
      <w:r w:rsidRPr="007C525B">
        <w:rPr>
          <w:spacing w:val="-4"/>
          <w:sz w:val="24"/>
          <w:szCs w:val="24"/>
        </w:rPr>
        <w:t xml:space="preserve"> </w:t>
      </w:r>
      <w:r w:rsidRPr="007C525B">
        <w:rPr>
          <w:sz w:val="24"/>
          <w:szCs w:val="24"/>
        </w:rPr>
        <w:t>publication.</w:t>
      </w:r>
    </w:p>
    <w:p w14:paraId="4CCD9309" w14:textId="77777777" w:rsidR="008465B2" w:rsidRPr="007C525B" w:rsidRDefault="008465B2" w:rsidP="008465B2">
      <w:pPr>
        <w:ind w:left="1100" w:right="1" w:hanging="721"/>
        <w:jc w:val="both"/>
        <w:rPr>
          <w:sz w:val="24"/>
          <w:szCs w:val="24"/>
        </w:rPr>
      </w:pPr>
      <w:r w:rsidRPr="007C525B">
        <w:rPr>
          <w:sz w:val="24"/>
          <w:szCs w:val="24"/>
        </w:rPr>
        <w:t xml:space="preserve">Bulla, D. M. (2013). An empirical analysis of selected factors affecting dividend policy of listed firms at the Nairobi securities exchange. </w:t>
      </w:r>
      <w:r w:rsidRPr="007C525B">
        <w:rPr>
          <w:i/>
          <w:sz w:val="24"/>
          <w:szCs w:val="24"/>
        </w:rPr>
        <w:t>African Journal of Accounting, Economics, Finance and Banking Research</w:t>
      </w:r>
      <w:r w:rsidRPr="007C525B">
        <w:rPr>
          <w:sz w:val="24"/>
          <w:szCs w:val="24"/>
        </w:rPr>
        <w:t>, 9(9),</w:t>
      </w:r>
      <w:r w:rsidRPr="007C525B">
        <w:rPr>
          <w:spacing w:val="-1"/>
          <w:sz w:val="24"/>
          <w:szCs w:val="24"/>
        </w:rPr>
        <w:t xml:space="preserve"> </w:t>
      </w:r>
      <w:r w:rsidRPr="007C525B">
        <w:rPr>
          <w:sz w:val="24"/>
          <w:szCs w:val="24"/>
        </w:rPr>
        <w:t>14-23.</w:t>
      </w:r>
    </w:p>
    <w:p w14:paraId="058EB16A" w14:textId="77777777" w:rsidR="008465B2" w:rsidRPr="007C525B" w:rsidRDefault="008465B2" w:rsidP="008465B2">
      <w:pPr>
        <w:ind w:left="1100" w:right="1" w:hanging="721"/>
        <w:jc w:val="both"/>
        <w:rPr>
          <w:sz w:val="24"/>
          <w:szCs w:val="24"/>
        </w:rPr>
      </w:pPr>
      <w:r w:rsidRPr="007C525B">
        <w:rPr>
          <w:sz w:val="24"/>
          <w:szCs w:val="24"/>
        </w:rPr>
        <w:t xml:space="preserve">Calvo, G., Izquierdo, A, &amp; Mejia, L. (2004), </w:t>
      </w:r>
      <w:r w:rsidRPr="007C525B">
        <w:rPr>
          <w:i/>
          <w:sz w:val="24"/>
          <w:szCs w:val="24"/>
        </w:rPr>
        <w:t xml:space="preserve">On the Empirics of Sudden Stops: The Relevance of Balance -Sheet Effects, </w:t>
      </w:r>
      <w:r w:rsidRPr="007C525B">
        <w:rPr>
          <w:sz w:val="24"/>
          <w:szCs w:val="24"/>
        </w:rPr>
        <w:t>NBER Working Paper 10520.</w:t>
      </w:r>
    </w:p>
    <w:p w14:paraId="4E38ED9F" w14:textId="0D88D8FE" w:rsidR="008465B2" w:rsidRPr="007C525B" w:rsidRDefault="008465B2" w:rsidP="008465B2">
      <w:pPr>
        <w:ind w:left="1100" w:hanging="721"/>
        <w:jc w:val="both"/>
        <w:rPr>
          <w:sz w:val="24"/>
          <w:szCs w:val="24"/>
        </w:rPr>
      </w:pPr>
      <w:r w:rsidRPr="007C525B">
        <w:rPr>
          <w:sz w:val="24"/>
          <w:szCs w:val="24"/>
        </w:rPr>
        <w:t xml:space="preserve">Chan, N., Getmansky, M. Haas, S. M. &amp; Lo, A. (2005), </w:t>
      </w:r>
      <w:r w:rsidRPr="007C525B">
        <w:rPr>
          <w:i/>
          <w:sz w:val="24"/>
          <w:szCs w:val="24"/>
        </w:rPr>
        <w:t>Systemic Risk and Hedge Funds,</w:t>
      </w:r>
      <w:r w:rsidRPr="007C525B">
        <w:rPr>
          <w:sz w:val="24"/>
          <w:szCs w:val="24"/>
        </w:rPr>
        <w:t xml:space="preserve"> BER Working Paper 11200.</w:t>
      </w:r>
    </w:p>
    <w:p w14:paraId="7900DCDA" w14:textId="567B2CBE" w:rsidR="008465B2" w:rsidRPr="007C525B" w:rsidRDefault="008465B2" w:rsidP="008465B2">
      <w:pPr>
        <w:spacing w:before="1"/>
        <w:ind w:left="1100" w:hanging="721"/>
        <w:jc w:val="both"/>
        <w:rPr>
          <w:sz w:val="24"/>
          <w:szCs w:val="24"/>
        </w:rPr>
      </w:pPr>
      <w:r w:rsidRPr="007C525B">
        <w:rPr>
          <w:sz w:val="24"/>
          <w:szCs w:val="24"/>
        </w:rPr>
        <w:t xml:space="preserve">Copeland, T. E (1979). Liquidity changes following share splits. </w:t>
      </w:r>
      <w:r w:rsidRPr="007C525B">
        <w:rPr>
          <w:i/>
          <w:sz w:val="24"/>
          <w:szCs w:val="24"/>
        </w:rPr>
        <w:t>Journal of Finance</w:t>
      </w:r>
      <w:r w:rsidRPr="007C525B">
        <w:rPr>
          <w:sz w:val="24"/>
          <w:szCs w:val="24"/>
        </w:rPr>
        <w:t>, 1(34), 115- 141.</w:t>
      </w:r>
    </w:p>
    <w:p w14:paraId="479F2E29" w14:textId="270BDCD7" w:rsidR="00EB5477" w:rsidRPr="007C525B" w:rsidRDefault="00EB5477" w:rsidP="00E90003">
      <w:pPr>
        <w:ind w:left="1100" w:hanging="721"/>
        <w:jc w:val="both"/>
        <w:rPr>
          <w:sz w:val="24"/>
          <w:szCs w:val="24"/>
        </w:rPr>
      </w:pPr>
      <w:r w:rsidRPr="007C525B">
        <w:rPr>
          <w:sz w:val="24"/>
          <w:szCs w:val="24"/>
        </w:rPr>
        <w:t>Dada, F. B., Malomo, E. &amp; Ojediran, S. (2015).</w:t>
      </w:r>
      <w:r w:rsidRPr="00E90003">
        <w:rPr>
          <w:sz w:val="24"/>
          <w:szCs w:val="24"/>
        </w:rPr>
        <w:t xml:space="preserve"> </w:t>
      </w:r>
      <w:r w:rsidRPr="007C525B">
        <w:rPr>
          <w:sz w:val="24"/>
          <w:szCs w:val="24"/>
        </w:rPr>
        <w:t xml:space="preserve">Critical evaluation of the determinants of dividend policy of banking sector in Nigeria, </w:t>
      </w:r>
      <w:r w:rsidRPr="00E90003">
        <w:rPr>
          <w:i/>
          <w:iCs/>
          <w:sz w:val="24"/>
          <w:szCs w:val="24"/>
        </w:rPr>
        <w:t>International Journal of Economics Commerce and Management, 3</w:t>
      </w:r>
      <w:r w:rsidRPr="007C525B">
        <w:rPr>
          <w:sz w:val="24"/>
          <w:szCs w:val="24"/>
        </w:rPr>
        <w:t>(2),</w:t>
      </w:r>
      <w:r w:rsidRPr="00E90003">
        <w:rPr>
          <w:sz w:val="24"/>
          <w:szCs w:val="24"/>
        </w:rPr>
        <w:t xml:space="preserve"> </w:t>
      </w:r>
      <w:r w:rsidRPr="007C525B">
        <w:rPr>
          <w:sz w:val="24"/>
          <w:szCs w:val="24"/>
        </w:rPr>
        <w:t>1-11.</w:t>
      </w:r>
    </w:p>
    <w:p w14:paraId="40BABD47" w14:textId="77777777" w:rsidR="00EB5477" w:rsidRPr="007C525B" w:rsidRDefault="00EB5477" w:rsidP="00EB5477">
      <w:pPr>
        <w:spacing w:before="1"/>
        <w:ind w:left="964" w:right="155" w:hanging="721"/>
        <w:jc w:val="both"/>
        <w:rPr>
          <w:sz w:val="24"/>
          <w:szCs w:val="24"/>
        </w:rPr>
      </w:pPr>
      <w:r w:rsidRPr="007C525B">
        <w:rPr>
          <w:sz w:val="24"/>
          <w:szCs w:val="24"/>
        </w:rPr>
        <w:t xml:space="preserve">Dogan, M. &amp; Topal, Y. (2014). The influence of dividend payments on company performance: The Case of Istanbul Stock Exchange (BIST). </w:t>
      </w:r>
      <w:r w:rsidRPr="007C525B">
        <w:rPr>
          <w:i/>
          <w:sz w:val="24"/>
          <w:szCs w:val="24"/>
        </w:rPr>
        <w:t xml:space="preserve">European Journal of Business </w:t>
      </w:r>
      <w:r w:rsidRPr="007C525B">
        <w:rPr>
          <w:i/>
          <w:spacing w:val="-5"/>
          <w:sz w:val="24"/>
          <w:szCs w:val="24"/>
        </w:rPr>
        <w:t xml:space="preserve">and </w:t>
      </w:r>
      <w:r w:rsidRPr="007C525B">
        <w:rPr>
          <w:i/>
          <w:sz w:val="24"/>
          <w:szCs w:val="24"/>
        </w:rPr>
        <w:t xml:space="preserve">Management, </w:t>
      </w:r>
      <w:r w:rsidRPr="007C525B">
        <w:rPr>
          <w:sz w:val="24"/>
          <w:szCs w:val="24"/>
        </w:rPr>
        <w:t>3(6), 189-</w:t>
      </w:r>
      <w:r w:rsidRPr="007C525B">
        <w:rPr>
          <w:spacing w:val="-4"/>
          <w:sz w:val="24"/>
          <w:szCs w:val="24"/>
        </w:rPr>
        <w:t xml:space="preserve"> </w:t>
      </w:r>
      <w:r w:rsidRPr="007C525B">
        <w:rPr>
          <w:sz w:val="24"/>
          <w:szCs w:val="24"/>
        </w:rPr>
        <w:t>197.</w:t>
      </w:r>
    </w:p>
    <w:p w14:paraId="56FC1339" w14:textId="77777777" w:rsidR="00EB5477" w:rsidRPr="007C525B" w:rsidRDefault="00EB5477" w:rsidP="00EB5477">
      <w:pPr>
        <w:ind w:left="964" w:right="155" w:hanging="721"/>
        <w:jc w:val="both"/>
        <w:rPr>
          <w:sz w:val="24"/>
          <w:szCs w:val="24"/>
        </w:rPr>
      </w:pPr>
      <w:r w:rsidRPr="007C525B">
        <w:rPr>
          <w:sz w:val="24"/>
          <w:szCs w:val="24"/>
        </w:rPr>
        <w:t>Ehikioya, B. (2009). Corporate governance structure and</w:t>
      </w:r>
      <w:r w:rsidRPr="007C525B">
        <w:rPr>
          <w:spacing w:val="-14"/>
          <w:sz w:val="24"/>
          <w:szCs w:val="24"/>
        </w:rPr>
        <w:t xml:space="preserve"> </w:t>
      </w:r>
      <w:r w:rsidRPr="007C525B">
        <w:rPr>
          <w:sz w:val="24"/>
          <w:szCs w:val="24"/>
        </w:rPr>
        <w:t>firm</w:t>
      </w:r>
      <w:r w:rsidRPr="007C525B">
        <w:rPr>
          <w:spacing w:val="-13"/>
          <w:sz w:val="24"/>
          <w:szCs w:val="24"/>
        </w:rPr>
        <w:t xml:space="preserve"> </w:t>
      </w:r>
      <w:r w:rsidRPr="007C525B">
        <w:rPr>
          <w:sz w:val="24"/>
          <w:szCs w:val="24"/>
        </w:rPr>
        <w:t>performance</w:t>
      </w:r>
      <w:r w:rsidRPr="007C525B">
        <w:rPr>
          <w:spacing w:val="-15"/>
          <w:sz w:val="24"/>
          <w:szCs w:val="24"/>
        </w:rPr>
        <w:t xml:space="preserve"> </w:t>
      </w:r>
      <w:r w:rsidRPr="007C525B">
        <w:rPr>
          <w:sz w:val="24"/>
          <w:szCs w:val="24"/>
        </w:rPr>
        <w:t>in</w:t>
      </w:r>
      <w:r w:rsidRPr="007C525B">
        <w:rPr>
          <w:spacing w:val="-14"/>
          <w:sz w:val="24"/>
          <w:szCs w:val="24"/>
        </w:rPr>
        <w:t xml:space="preserve"> </w:t>
      </w:r>
      <w:r w:rsidRPr="007C525B">
        <w:rPr>
          <w:sz w:val="24"/>
          <w:szCs w:val="24"/>
        </w:rPr>
        <w:t>developing</w:t>
      </w:r>
      <w:r w:rsidRPr="007C525B">
        <w:rPr>
          <w:spacing w:val="-14"/>
          <w:sz w:val="24"/>
          <w:szCs w:val="24"/>
        </w:rPr>
        <w:t xml:space="preserve"> </w:t>
      </w:r>
      <w:r w:rsidRPr="007C525B">
        <w:rPr>
          <w:sz w:val="24"/>
          <w:szCs w:val="24"/>
        </w:rPr>
        <w:t xml:space="preserve">economies: Evidence from Nigeria. </w:t>
      </w:r>
      <w:r w:rsidRPr="007C525B">
        <w:rPr>
          <w:i/>
          <w:sz w:val="24"/>
          <w:szCs w:val="24"/>
        </w:rPr>
        <w:t>Q Emerald Group Publishing Limited</w:t>
      </w:r>
      <w:r w:rsidRPr="007C525B">
        <w:rPr>
          <w:sz w:val="24"/>
          <w:szCs w:val="24"/>
        </w:rPr>
        <w:t>, 9(3),</w:t>
      </w:r>
      <w:r w:rsidRPr="007C525B">
        <w:rPr>
          <w:spacing w:val="-1"/>
          <w:sz w:val="24"/>
          <w:szCs w:val="24"/>
        </w:rPr>
        <w:t xml:space="preserve"> </w:t>
      </w:r>
      <w:r w:rsidRPr="007C525B">
        <w:rPr>
          <w:sz w:val="24"/>
          <w:szCs w:val="24"/>
        </w:rPr>
        <w:t>231-243.</w:t>
      </w:r>
    </w:p>
    <w:p w14:paraId="1F7A6805" w14:textId="77777777" w:rsidR="00EB5477" w:rsidRPr="007C525B" w:rsidRDefault="00EB5477" w:rsidP="00EB5477">
      <w:pPr>
        <w:ind w:left="964" w:right="154" w:hanging="721"/>
        <w:jc w:val="both"/>
        <w:rPr>
          <w:sz w:val="24"/>
          <w:szCs w:val="24"/>
        </w:rPr>
      </w:pPr>
      <w:r w:rsidRPr="007C525B">
        <w:rPr>
          <w:sz w:val="24"/>
          <w:szCs w:val="24"/>
        </w:rPr>
        <w:t>Emmons,</w:t>
      </w:r>
      <w:r w:rsidRPr="007C525B">
        <w:rPr>
          <w:spacing w:val="-13"/>
          <w:sz w:val="24"/>
          <w:szCs w:val="24"/>
        </w:rPr>
        <w:t xml:space="preserve"> </w:t>
      </w:r>
      <w:r w:rsidRPr="007C525B">
        <w:rPr>
          <w:sz w:val="24"/>
          <w:szCs w:val="24"/>
        </w:rPr>
        <w:t>W.</w:t>
      </w:r>
      <w:r w:rsidRPr="007C525B">
        <w:rPr>
          <w:spacing w:val="-13"/>
          <w:sz w:val="24"/>
          <w:szCs w:val="24"/>
        </w:rPr>
        <w:t xml:space="preserve"> </w:t>
      </w:r>
      <w:r w:rsidRPr="007C525B">
        <w:rPr>
          <w:sz w:val="24"/>
          <w:szCs w:val="24"/>
        </w:rPr>
        <w:t>&amp;</w:t>
      </w:r>
      <w:r w:rsidRPr="007C525B">
        <w:rPr>
          <w:spacing w:val="-11"/>
          <w:sz w:val="24"/>
          <w:szCs w:val="24"/>
        </w:rPr>
        <w:t xml:space="preserve"> </w:t>
      </w:r>
      <w:r w:rsidRPr="007C525B">
        <w:rPr>
          <w:sz w:val="24"/>
          <w:szCs w:val="24"/>
        </w:rPr>
        <w:t>Schmid,</w:t>
      </w:r>
      <w:r w:rsidRPr="007C525B">
        <w:rPr>
          <w:spacing w:val="-11"/>
          <w:sz w:val="24"/>
          <w:szCs w:val="24"/>
        </w:rPr>
        <w:t xml:space="preserve"> </w:t>
      </w:r>
      <w:r w:rsidRPr="007C525B">
        <w:rPr>
          <w:sz w:val="24"/>
          <w:szCs w:val="24"/>
        </w:rPr>
        <w:t>F.</w:t>
      </w:r>
      <w:r w:rsidRPr="007C525B">
        <w:rPr>
          <w:spacing w:val="-16"/>
          <w:sz w:val="24"/>
          <w:szCs w:val="24"/>
        </w:rPr>
        <w:t xml:space="preserve"> </w:t>
      </w:r>
      <w:r w:rsidRPr="007C525B">
        <w:rPr>
          <w:sz w:val="24"/>
          <w:szCs w:val="24"/>
        </w:rPr>
        <w:t>(2018).</w:t>
      </w:r>
      <w:r w:rsidRPr="007C525B">
        <w:rPr>
          <w:spacing w:val="-10"/>
          <w:sz w:val="24"/>
          <w:szCs w:val="24"/>
        </w:rPr>
        <w:t xml:space="preserve"> </w:t>
      </w:r>
      <w:r w:rsidRPr="007C525B">
        <w:rPr>
          <w:sz w:val="24"/>
          <w:szCs w:val="24"/>
        </w:rPr>
        <w:t>Pricing</w:t>
      </w:r>
      <w:r w:rsidRPr="007C525B">
        <w:rPr>
          <w:spacing w:val="-13"/>
          <w:sz w:val="24"/>
          <w:szCs w:val="24"/>
        </w:rPr>
        <w:t xml:space="preserve"> </w:t>
      </w:r>
      <w:r w:rsidRPr="007C525B">
        <w:rPr>
          <w:sz w:val="24"/>
          <w:szCs w:val="24"/>
        </w:rPr>
        <w:t>and</w:t>
      </w:r>
      <w:r w:rsidRPr="007C525B">
        <w:rPr>
          <w:spacing w:val="-13"/>
          <w:sz w:val="24"/>
          <w:szCs w:val="24"/>
        </w:rPr>
        <w:t xml:space="preserve"> </w:t>
      </w:r>
      <w:r w:rsidRPr="007C525B">
        <w:rPr>
          <w:sz w:val="24"/>
          <w:szCs w:val="24"/>
        </w:rPr>
        <w:t xml:space="preserve">dividend policies in open credit cooperatives. </w:t>
      </w:r>
      <w:r w:rsidRPr="007C525B">
        <w:rPr>
          <w:i/>
          <w:sz w:val="24"/>
          <w:szCs w:val="24"/>
        </w:rPr>
        <w:t>Journal of Institutional and Theoretical Economics</w:t>
      </w:r>
      <w:r w:rsidRPr="007C525B">
        <w:rPr>
          <w:sz w:val="24"/>
          <w:szCs w:val="24"/>
        </w:rPr>
        <w:t>, 234- 255</w:t>
      </w:r>
    </w:p>
    <w:p w14:paraId="35F55A63" w14:textId="77777777" w:rsidR="00EB5477" w:rsidRPr="007C525B" w:rsidRDefault="00EB5477" w:rsidP="00EB5477">
      <w:pPr>
        <w:ind w:left="964" w:right="154" w:hanging="721"/>
        <w:jc w:val="both"/>
        <w:rPr>
          <w:sz w:val="24"/>
          <w:szCs w:val="24"/>
        </w:rPr>
      </w:pPr>
      <w:r w:rsidRPr="007C525B">
        <w:rPr>
          <w:sz w:val="24"/>
          <w:szCs w:val="24"/>
        </w:rPr>
        <w:t xml:space="preserve">Fairchild, L. &amp; Li, J. (2005). Director quality and firm performance. </w:t>
      </w:r>
      <w:r w:rsidRPr="007C525B">
        <w:rPr>
          <w:i/>
          <w:sz w:val="24"/>
          <w:szCs w:val="24"/>
        </w:rPr>
        <w:t xml:space="preserve">The Financial Review, </w:t>
      </w:r>
      <w:r w:rsidRPr="007C525B">
        <w:rPr>
          <w:sz w:val="24"/>
          <w:szCs w:val="24"/>
        </w:rPr>
        <w:t>40(2), 257–279. 17.</w:t>
      </w:r>
    </w:p>
    <w:p w14:paraId="20996840" w14:textId="77777777" w:rsidR="00EB5477" w:rsidRPr="007C525B" w:rsidRDefault="00EB5477" w:rsidP="00EB5477">
      <w:pPr>
        <w:spacing w:before="1"/>
        <w:ind w:left="964" w:right="153" w:hanging="721"/>
        <w:jc w:val="both"/>
        <w:rPr>
          <w:sz w:val="24"/>
          <w:szCs w:val="24"/>
        </w:rPr>
      </w:pPr>
      <w:r w:rsidRPr="007C525B">
        <w:rPr>
          <w:sz w:val="24"/>
          <w:szCs w:val="24"/>
        </w:rPr>
        <w:t>Fakru, K.Y. &amp; Thoufiqulla, P. (2013). An analysis of bonus</w:t>
      </w:r>
      <w:r w:rsidRPr="007C525B">
        <w:rPr>
          <w:spacing w:val="-8"/>
          <w:sz w:val="24"/>
          <w:szCs w:val="24"/>
        </w:rPr>
        <w:t xml:space="preserve"> </w:t>
      </w:r>
      <w:r w:rsidRPr="007C525B">
        <w:rPr>
          <w:sz w:val="24"/>
          <w:szCs w:val="24"/>
        </w:rPr>
        <w:t>share</w:t>
      </w:r>
      <w:r w:rsidRPr="007C525B">
        <w:rPr>
          <w:spacing w:val="-10"/>
          <w:sz w:val="24"/>
          <w:szCs w:val="24"/>
        </w:rPr>
        <w:t xml:space="preserve"> </w:t>
      </w:r>
      <w:r w:rsidRPr="007C525B">
        <w:rPr>
          <w:sz w:val="24"/>
          <w:szCs w:val="24"/>
        </w:rPr>
        <w:t>issued</w:t>
      </w:r>
      <w:r w:rsidRPr="007C525B">
        <w:rPr>
          <w:spacing w:val="-7"/>
          <w:sz w:val="24"/>
          <w:szCs w:val="24"/>
        </w:rPr>
        <w:t xml:space="preserve"> </w:t>
      </w:r>
      <w:r w:rsidRPr="007C525B">
        <w:rPr>
          <w:sz w:val="24"/>
          <w:szCs w:val="24"/>
        </w:rPr>
        <w:t>and</w:t>
      </w:r>
      <w:r w:rsidRPr="007C525B">
        <w:rPr>
          <w:spacing w:val="-11"/>
          <w:sz w:val="24"/>
          <w:szCs w:val="24"/>
        </w:rPr>
        <w:t xml:space="preserve"> </w:t>
      </w:r>
      <w:r w:rsidRPr="007C525B">
        <w:rPr>
          <w:sz w:val="24"/>
          <w:szCs w:val="24"/>
        </w:rPr>
        <w:t>its</w:t>
      </w:r>
      <w:r w:rsidRPr="007C525B">
        <w:rPr>
          <w:spacing w:val="-7"/>
          <w:sz w:val="24"/>
          <w:szCs w:val="24"/>
        </w:rPr>
        <w:t xml:space="preserve"> </w:t>
      </w:r>
      <w:r w:rsidRPr="007C525B">
        <w:rPr>
          <w:sz w:val="24"/>
          <w:szCs w:val="24"/>
        </w:rPr>
        <w:t>impact</w:t>
      </w:r>
      <w:r w:rsidRPr="007C525B">
        <w:rPr>
          <w:spacing w:val="-7"/>
          <w:sz w:val="24"/>
          <w:szCs w:val="24"/>
        </w:rPr>
        <w:t xml:space="preserve"> </w:t>
      </w:r>
      <w:r w:rsidRPr="007C525B">
        <w:rPr>
          <w:sz w:val="24"/>
          <w:szCs w:val="24"/>
        </w:rPr>
        <w:t>on</w:t>
      </w:r>
      <w:r w:rsidRPr="007C525B">
        <w:rPr>
          <w:spacing w:val="-8"/>
          <w:sz w:val="24"/>
          <w:szCs w:val="24"/>
        </w:rPr>
        <w:t xml:space="preserve"> </w:t>
      </w:r>
      <w:r w:rsidRPr="007C525B">
        <w:rPr>
          <w:sz w:val="24"/>
          <w:szCs w:val="24"/>
        </w:rPr>
        <w:t>share</w:t>
      </w:r>
      <w:r w:rsidRPr="007C525B">
        <w:rPr>
          <w:spacing w:val="-8"/>
          <w:sz w:val="24"/>
          <w:szCs w:val="24"/>
        </w:rPr>
        <w:t xml:space="preserve"> </w:t>
      </w:r>
      <w:r w:rsidRPr="007C525B">
        <w:rPr>
          <w:sz w:val="24"/>
          <w:szCs w:val="24"/>
        </w:rPr>
        <w:t xml:space="preserve">price with reference to listed stocks in India. </w:t>
      </w:r>
      <w:r w:rsidRPr="007C525B">
        <w:rPr>
          <w:i/>
          <w:sz w:val="24"/>
          <w:szCs w:val="24"/>
        </w:rPr>
        <w:t xml:space="preserve">Acme Intellects International Journal of Research in Management, </w:t>
      </w:r>
      <w:r w:rsidRPr="007C525B">
        <w:rPr>
          <w:sz w:val="24"/>
          <w:szCs w:val="24"/>
        </w:rPr>
        <w:t>4(4),</w:t>
      </w:r>
      <w:r w:rsidRPr="007C525B">
        <w:rPr>
          <w:spacing w:val="-3"/>
          <w:sz w:val="24"/>
          <w:szCs w:val="24"/>
        </w:rPr>
        <w:t xml:space="preserve"> </w:t>
      </w:r>
      <w:r w:rsidRPr="007C525B">
        <w:rPr>
          <w:sz w:val="24"/>
          <w:szCs w:val="24"/>
        </w:rPr>
        <w:t>1-13.</w:t>
      </w:r>
    </w:p>
    <w:p w14:paraId="38412263" w14:textId="77777777" w:rsidR="00EB5477" w:rsidRPr="007C525B" w:rsidRDefault="00EB5477" w:rsidP="00EB5477">
      <w:pPr>
        <w:ind w:left="964" w:right="153" w:hanging="721"/>
        <w:jc w:val="both"/>
        <w:rPr>
          <w:sz w:val="24"/>
          <w:szCs w:val="24"/>
        </w:rPr>
      </w:pPr>
      <w:r w:rsidRPr="007C525B">
        <w:rPr>
          <w:sz w:val="24"/>
          <w:szCs w:val="24"/>
        </w:rPr>
        <w:t>Falope, C. (2019). The effect of dividend payout on the financial performance of the manufacturing companies in Pakistan. An Empirical Analysis</w:t>
      </w:r>
      <w:r w:rsidRPr="007C525B">
        <w:rPr>
          <w:i/>
          <w:sz w:val="24"/>
          <w:szCs w:val="24"/>
        </w:rPr>
        <w:t xml:space="preserve">, Journal of the Pakistan Statistical Association, </w:t>
      </w:r>
      <w:r w:rsidRPr="007C525B">
        <w:rPr>
          <w:sz w:val="24"/>
          <w:szCs w:val="24"/>
        </w:rPr>
        <w:t>115-1161.</w:t>
      </w:r>
    </w:p>
    <w:p w14:paraId="35D10037" w14:textId="77777777" w:rsidR="00EB5477" w:rsidRPr="007C525B" w:rsidRDefault="00EB5477" w:rsidP="00EB5477">
      <w:pPr>
        <w:ind w:left="964" w:right="154" w:hanging="721"/>
        <w:jc w:val="both"/>
        <w:rPr>
          <w:sz w:val="24"/>
          <w:szCs w:val="24"/>
        </w:rPr>
      </w:pPr>
      <w:r w:rsidRPr="007C525B">
        <w:rPr>
          <w:sz w:val="24"/>
          <w:szCs w:val="24"/>
        </w:rPr>
        <w:t>Fama,</w:t>
      </w:r>
      <w:r w:rsidRPr="007C525B">
        <w:rPr>
          <w:spacing w:val="-8"/>
          <w:sz w:val="24"/>
          <w:szCs w:val="24"/>
        </w:rPr>
        <w:t xml:space="preserve"> </w:t>
      </w:r>
      <w:r w:rsidRPr="007C525B">
        <w:rPr>
          <w:sz w:val="24"/>
          <w:szCs w:val="24"/>
        </w:rPr>
        <w:t>E.,</w:t>
      </w:r>
      <w:r w:rsidRPr="007C525B">
        <w:rPr>
          <w:spacing w:val="-11"/>
          <w:sz w:val="24"/>
          <w:szCs w:val="24"/>
        </w:rPr>
        <w:t xml:space="preserve"> </w:t>
      </w:r>
      <w:r w:rsidRPr="007C525B">
        <w:rPr>
          <w:sz w:val="24"/>
          <w:szCs w:val="24"/>
        </w:rPr>
        <w:t>&amp;</w:t>
      </w:r>
      <w:r w:rsidRPr="007C525B">
        <w:rPr>
          <w:spacing w:val="-7"/>
          <w:sz w:val="24"/>
          <w:szCs w:val="24"/>
        </w:rPr>
        <w:t xml:space="preserve"> </w:t>
      </w:r>
      <w:r w:rsidRPr="007C525B">
        <w:rPr>
          <w:sz w:val="24"/>
          <w:szCs w:val="24"/>
        </w:rPr>
        <w:t>French,</w:t>
      </w:r>
      <w:r w:rsidRPr="007C525B">
        <w:rPr>
          <w:spacing w:val="-8"/>
          <w:sz w:val="24"/>
          <w:szCs w:val="24"/>
        </w:rPr>
        <w:t xml:space="preserve"> </w:t>
      </w:r>
      <w:r w:rsidRPr="007C525B">
        <w:rPr>
          <w:sz w:val="24"/>
          <w:szCs w:val="24"/>
        </w:rPr>
        <w:t>K.</w:t>
      </w:r>
      <w:r w:rsidRPr="007C525B">
        <w:rPr>
          <w:spacing w:val="-9"/>
          <w:sz w:val="24"/>
          <w:szCs w:val="24"/>
        </w:rPr>
        <w:t xml:space="preserve"> </w:t>
      </w:r>
      <w:r w:rsidRPr="007C525B">
        <w:rPr>
          <w:sz w:val="24"/>
          <w:szCs w:val="24"/>
        </w:rPr>
        <w:t>(2003).</w:t>
      </w:r>
      <w:r w:rsidRPr="007C525B">
        <w:rPr>
          <w:spacing w:val="-8"/>
          <w:sz w:val="24"/>
          <w:szCs w:val="24"/>
        </w:rPr>
        <w:t xml:space="preserve"> </w:t>
      </w:r>
      <w:r w:rsidRPr="007C525B">
        <w:rPr>
          <w:sz w:val="24"/>
          <w:szCs w:val="24"/>
        </w:rPr>
        <w:t>The</w:t>
      </w:r>
      <w:r w:rsidRPr="007C525B">
        <w:rPr>
          <w:spacing w:val="-9"/>
          <w:sz w:val="24"/>
          <w:szCs w:val="24"/>
        </w:rPr>
        <w:t xml:space="preserve"> </w:t>
      </w:r>
      <w:r w:rsidRPr="007C525B">
        <w:rPr>
          <w:sz w:val="24"/>
          <w:szCs w:val="24"/>
        </w:rPr>
        <w:t>capital</w:t>
      </w:r>
      <w:r w:rsidRPr="007C525B">
        <w:rPr>
          <w:spacing w:val="-8"/>
          <w:sz w:val="24"/>
          <w:szCs w:val="24"/>
        </w:rPr>
        <w:t xml:space="preserve"> </w:t>
      </w:r>
      <w:r w:rsidRPr="007C525B">
        <w:rPr>
          <w:sz w:val="24"/>
          <w:szCs w:val="24"/>
        </w:rPr>
        <w:t>asset</w:t>
      </w:r>
      <w:r w:rsidRPr="007C525B">
        <w:rPr>
          <w:spacing w:val="-6"/>
          <w:sz w:val="24"/>
          <w:szCs w:val="24"/>
        </w:rPr>
        <w:t xml:space="preserve"> </w:t>
      </w:r>
      <w:r w:rsidRPr="007C525B">
        <w:rPr>
          <w:sz w:val="24"/>
          <w:szCs w:val="24"/>
        </w:rPr>
        <w:t xml:space="preserve">pricing model: Theory and evidence, </w:t>
      </w:r>
      <w:r w:rsidRPr="007C525B">
        <w:rPr>
          <w:i/>
          <w:sz w:val="24"/>
          <w:szCs w:val="24"/>
        </w:rPr>
        <w:t xml:space="preserve">Journal of </w:t>
      </w:r>
      <w:r w:rsidRPr="007C525B">
        <w:rPr>
          <w:i/>
          <w:sz w:val="24"/>
          <w:szCs w:val="24"/>
        </w:rPr>
        <w:lastRenderedPageBreak/>
        <w:t xml:space="preserve">Economic Perspectives, </w:t>
      </w:r>
      <w:r w:rsidRPr="007C525B">
        <w:rPr>
          <w:sz w:val="24"/>
          <w:szCs w:val="24"/>
        </w:rPr>
        <w:t>18,</w:t>
      </w:r>
      <w:r w:rsidRPr="007C525B">
        <w:rPr>
          <w:spacing w:val="-6"/>
          <w:sz w:val="24"/>
          <w:szCs w:val="24"/>
        </w:rPr>
        <w:t xml:space="preserve"> </w:t>
      </w:r>
      <w:r w:rsidRPr="007C525B">
        <w:rPr>
          <w:sz w:val="24"/>
          <w:szCs w:val="24"/>
        </w:rPr>
        <w:t>25-46.</w:t>
      </w:r>
    </w:p>
    <w:p w14:paraId="2E020610" w14:textId="77777777" w:rsidR="00EB5477" w:rsidRPr="007C525B" w:rsidRDefault="00EB5477" w:rsidP="00EB5477">
      <w:pPr>
        <w:ind w:left="964" w:right="153" w:hanging="721"/>
        <w:jc w:val="both"/>
        <w:rPr>
          <w:sz w:val="24"/>
          <w:szCs w:val="24"/>
        </w:rPr>
      </w:pPr>
      <w:r w:rsidRPr="007C525B">
        <w:rPr>
          <w:sz w:val="24"/>
          <w:szCs w:val="24"/>
        </w:rPr>
        <w:t xml:space="preserve">Fisher M.L., J. Krishnan, S. Netessine. (2006). </w:t>
      </w:r>
      <w:r w:rsidRPr="007C525B">
        <w:rPr>
          <w:i/>
          <w:sz w:val="24"/>
          <w:szCs w:val="24"/>
        </w:rPr>
        <w:t>Retail store execution: an empirical study</w:t>
      </w:r>
      <w:r w:rsidRPr="007C525B">
        <w:rPr>
          <w:sz w:val="24"/>
          <w:szCs w:val="24"/>
        </w:rPr>
        <w:t>. Working paper.</w:t>
      </w:r>
    </w:p>
    <w:p w14:paraId="1EAF639D" w14:textId="77777777" w:rsidR="00EB5477" w:rsidRPr="007C525B" w:rsidRDefault="00EB5477" w:rsidP="00EB5477">
      <w:pPr>
        <w:ind w:left="964" w:right="155" w:hanging="721"/>
        <w:jc w:val="both"/>
        <w:rPr>
          <w:sz w:val="24"/>
          <w:szCs w:val="24"/>
        </w:rPr>
      </w:pPr>
      <w:r w:rsidRPr="007C525B">
        <w:rPr>
          <w:sz w:val="24"/>
          <w:szCs w:val="24"/>
        </w:rPr>
        <w:t xml:space="preserve">Gordon, M. and Lintner, J. (1963). Dividends, earnings and stock prices, </w:t>
      </w:r>
      <w:r w:rsidRPr="007C525B">
        <w:rPr>
          <w:i/>
          <w:sz w:val="24"/>
          <w:szCs w:val="24"/>
        </w:rPr>
        <w:t xml:space="preserve">Review of Economics and Statistics, </w:t>
      </w:r>
      <w:r w:rsidRPr="007C525B">
        <w:rPr>
          <w:sz w:val="24"/>
          <w:szCs w:val="24"/>
        </w:rPr>
        <w:t>99-105.</w:t>
      </w:r>
    </w:p>
    <w:p w14:paraId="498D42AB" w14:textId="77777777" w:rsidR="00EB5477" w:rsidRPr="007C525B" w:rsidRDefault="00EB5477" w:rsidP="00EB5477">
      <w:pPr>
        <w:ind w:left="964" w:right="157" w:hanging="721"/>
        <w:jc w:val="both"/>
        <w:rPr>
          <w:sz w:val="24"/>
          <w:szCs w:val="24"/>
        </w:rPr>
      </w:pPr>
      <w:r w:rsidRPr="007C525B">
        <w:rPr>
          <w:sz w:val="24"/>
          <w:szCs w:val="24"/>
        </w:rPr>
        <w:t xml:space="preserve">Gordon, M.J. (1962), Dividend, Earnings and Stock Prices, </w:t>
      </w:r>
      <w:r w:rsidRPr="007C525B">
        <w:rPr>
          <w:i/>
          <w:sz w:val="24"/>
          <w:szCs w:val="24"/>
        </w:rPr>
        <w:t xml:space="preserve">Review of Economics and Statistics, </w:t>
      </w:r>
      <w:r w:rsidRPr="007C525B">
        <w:rPr>
          <w:sz w:val="24"/>
          <w:szCs w:val="24"/>
        </w:rPr>
        <w:t>pp 78-101.</w:t>
      </w:r>
    </w:p>
    <w:p w14:paraId="4B4382A5" w14:textId="77777777" w:rsidR="00EB5477" w:rsidRPr="007C525B" w:rsidRDefault="00EB5477" w:rsidP="00EB5477">
      <w:pPr>
        <w:spacing w:before="1"/>
        <w:ind w:left="964" w:right="151" w:hanging="721"/>
        <w:jc w:val="both"/>
        <w:rPr>
          <w:sz w:val="24"/>
          <w:szCs w:val="24"/>
        </w:rPr>
      </w:pPr>
      <w:r w:rsidRPr="007C525B">
        <w:rPr>
          <w:sz w:val="24"/>
          <w:szCs w:val="24"/>
        </w:rPr>
        <w:t xml:space="preserve">Hafeez, A. &amp; Attiya, Y. J. (2009). The Determinants of dividend policy in Pakistan, </w:t>
      </w:r>
      <w:r w:rsidRPr="007C525B">
        <w:rPr>
          <w:i/>
          <w:sz w:val="24"/>
          <w:szCs w:val="24"/>
        </w:rPr>
        <w:t>International Research</w:t>
      </w:r>
      <w:r w:rsidRPr="007C525B">
        <w:rPr>
          <w:i/>
          <w:spacing w:val="-11"/>
          <w:sz w:val="24"/>
          <w:szCs w:val="24"/>
        </w:rPr>
        <w:t xml:space="preserve"> </w:t>
      </w:r>
      <w:r w:rsidRPr="007C525B">
        <w:rPr>
          <w:i/>
          <w:sz w:val="24"/>
          <w:szCs w:val="24"/>
        </w:rPr>
        <w:t>Journal</w:t>
      </w:r>
      <w:r w:rsidRPr="007C525B">
        <w:rPr>
          <w:i/>
          <w:spacing w:val="-9"/>
          <w:sz w:val="24"/>
          <w:szCs w:val="24"/>
        </w:rPr>
        <w:t xml:space="preserve"> </w:t>
      </w:r>
      <w:r w:rsidRPr="007C525B">
        <w:rPr>
          <w:i/>
          <w:sz w:val="24"/>
          <w:szCs w:val="24"/>
        </w:rPr>
        <w:t>of</w:t>
      </w:r>
      <w:r w:rsidRPr="007C525B">
        <w:rPr>
          <w:i/>
          <w:spacing w:val="-10"/>
          <w:sz w:val="24"/>
          <w:szCs w:val="24"/>
        </w:rPr>
        <w:t xml:space="preserve"> </w:t>
      </w:r>
      <w:r w:rsidRPr="007C525B">
        <w:rPr>
          <w:i/>
          <w:sz w:val="24"/>
          <w:szCs w:val="24"/>
        </w:rPr>
        <w:t>Finance</w:t>
      </w:r>
      <w:r w:rsidRPr="007C525B">
        <w:rPr>
          <w:i/>
          <w:spacing w:val="-10"/>
          <w:sz w:val="24"/>
          <w:szCs w:val="24"/>
        </w:rPr>
        <w:t xml:space="preserve"> </w:t>
      </w:r>
      <w:r w:rsidRPr="007C525B">
        <w:rPr>
          <w:i/>
          <w:sz w:val="24"/>
          <w:szCs w:val="24"/>
        </w:rPr>
        <w:t>Economics</w:t>
      </w:r>
      <w:r w:rsidRPr="007C525B">
        <w:rPr>
          <w:sz w:val="24"/>
          <w:szCs w:val="24"/>
        </w:rPr>
        <w:t>,</w:t>
      </w:r>
      <w:r w:rsidRPr="007C525B">
        <w:rPr>
          <w:spacing w:val="-10"/>
          <w:sz w:val="24"/>
          <w:szCs w:val="24"/>
        </w:rPr>
        <w:t xml:space="preserve"> </w:t>
      </w:r>
      <w:r w:rsidRPr="007C525B">
        <w:rPr>
          <w:sz w:val="24"/>
          <w:szCs w:val="24"/>
        </w:rPr>
        <w:t>1(25), 148-171.</w:t>
      </w:r>
    </w:p>
    <w:p w14:paraId="77F7DCB0" w14:textId="77777777" w:rsidR="00EB5477" w:rsidRPr="007C525B" w:rsidRDefault="00EB5477" w:rsidP="00EB5477">
      <w:pPr>
        <w:ind w:left="964" w:right="152" w:hanging="666"/>
        <w:jc w:val="both"/>
        <w:rPr>
          <w:sz w:val="24"/>
          <w:szCs w:val="24"/>
        </w:rPr>
      </w:pPr>
      <w:r w:rsidRPr="007C525B">
        <w:rPr>
          <w:sz w:val="24"/>
          <w:szCs w:val="24"/>
        </w:rPr>
        <w:t xml:space="preserve">Hamid &amp; Nordin (2001) Islamic Banking Education and Strategy for the New Millennium - Malaysian Experience, </w:t>
      </w:r>
      <w:r w:rsidRPr="007C525B">
        <w:rPr>
          <w:i/>
          <w:sz w:val="24"/>
          <w:szCs w:val="24"/>
        </w:rPr>
        <w:t>International Journal</w:t>
      </w:r>
      <w:r w:rsidRPr="007C525B">
        <w:rPr>
          <w:i/>
          <w:spacing w:val="-32"/>
          <w:sz w:val="24"/>
          <w:szCs w:val="24"/>
        </w:rPr>
        <w:t xml:space="preserve"> </w:t>
      </w:r>
      <w:r w:rsidRPr="007C525B">
        <w:rPr>
          <w:i/>
          <w:sz w:val="24"/>
          <w:szCs w:val="24"/>
        </w:rPr>
        <w:t xml:space="preserve">of Islamic Financial Services </w:t>
      </w:r>
      <w:r w:rsidRPr="007C525B">
        <w:rPr>
          <w:sz w:val="24"/>
          <w:szCs w:val="24"/>
        </w:rPr>
        <w:t>Vol. 2</w:t>
      </w:r>
      <w:r w:rsidRPr="007C525B">
        <w:rPr>
          <w:spacing w:val="-4"/>
          <w:sz w:val="24"/>
          <w:szCs w:val="24"/>
        </w:rPr>
        <w:t xml:space="preserve"> </w:t>
      </w:r>
      <w:r w:rsidRPr="007C525B">
        <w:rPr>
          <w:sz w:val="24"/>
          <w:szCs w:val="24"/>
        </w:rPr>
        <w:t>No.4</w:t>
      </w:r>
    </w:p>
    <w:p w14:paraId="7ADA4997" w14:textId="77777777" w:rsidR="00EB5477" w:rsidRPr="007C525B" w:rsidRDefault="00EB5477" w:rsidP="00EB5477">
      <w:pPr>
        <w:ind w:left="964" w:right="153" w:hanging="721"/>
        <w:jc w:val="both"/>
        <w:rPr>
          <w:sz w:val="24"/>
          <w:szCs w:val="24"/>
        </w:rPr>
      </w:pPr>
      <w:r w:rsidRPr="007C525B">
        <w:rPr>
          <w:sz w:val="24"/>
          <w:szCs w:val="24"/>
        </w:rPr>
        <w:t>Hashim, Z., Shahid, R., Sajid, I. &amp; Umair, A. (2013). Determinants of dividend policy: A case of banking</w:t>
      </w:r>
      <w:r w:rsidRPr="007C525B">
        <w:rPr>
          <w:spacing w:val="-11"/>
          <w:sz w:val="24"/>
          <w:szCs w:val="24"/>
        </w:rPr>
        <w:t xml:space="preserve"> </w:t>
      </w:r>
      <w:r w:rsidRPr="007C525B">
        <w:rPr>
          <w:sz w:val="24"/>
          <w:szCs w:val="24"/>
        </w:rPr>
        <w:t>sector</w:t>
      </w:r>
      <w:r w:rsidRPr="007C525B">
        <w:rPr>
          <w:spacing w:val="-13"/>
          <w:sz w:val="24"/>
          <w:szCs w:val="24"/>
        </w:rPr>
        <w:t xml:space="preserve"> </w:t>
      </w:r>
      <w:r w:rsidRPr="007C525B">
        <w:rPr>
          <w:sz w:val="24"/>
          <w:szCs w:val="24"/>
        </w:rPr>
        <w:t>in</w:t>
      </w:r>
      <w:r w:rsidRPr="007C525B">
        <w:rPr>
          <w:spacing w:val="-11"/>
          <w:sz w:val="24"/>
          <w:szCs w:val="24"/>
        </w:rPr>
        <w:t xml:space="preserve"> </w:t>
      </w:r>
      <w:r w:rsidRPr="007C525B">
        <w:rPr>
          <w:sz w:val="24"/>
          <w:szCs w:val="24"/>
        </w:rPr>
        <w:t>Pakistan,</w:t>
      </w:r>
      <w:r w:rsidRPr="007C525B">
        <w:rPr>
          <w:spacing w:val="-11"/>
          <w:sz w:val="24"/>
          <w:szCs w:val="24"/>
        </w:rPr>
        <w:t xml:space="preserve"> </w:t>
      </w:r>
      <w:r w:rsidRPr="007C525B">
        <w:rPr>
          <w:i/>
          <w:sz w:val="24"/>
          <w:szCs w:val="24"/>
        </w:rPr>
        <w:t>Middle</w:t>
      </w:r>
      <w:r w:rsidRPr="007C525B">
        <w:rPr>
          <w:i/>
          <w:spacing w:val="-10"/>
          <w:sz w:val="24"/>
          <w:szCs w:val="24"/>
        </w:rPr>
        <w:t xml:space="preserve"> </w:t>
      </w:r>
      <w:r w:rsidRPr="007C525B">
        <w:rPr>
          <w:i/>
          <w:sz w:val="24"/>
          <w:szCs w:val="24"/>
        </w:rPr>
        <w:t>East</w:t>
      </w:r>
      <w:r w:rsidRPr="007C525B">
        <w:rPr>
          <w:i/>
          <w:spacing w:val="-12"/>
          <w:sz w:val="24"/>
          <w:szCs w:val="24"/>
        </w:rPr>
        <w:t xml:space="preserve"> </w:t>
      </w:r>
      <w:r w:rsidRPr="007C525B">
        <w:rPr>
          <w:i/>
          <w:sz w:val="24"/>
          <w:szCs w:val="24"/>
        </w:rPr>
        <w:t>Journal of Scientific Research</w:t>
      </w:r>
      <w:r w:rsidRPr="007C525B">
        <w:rPr>
          <w:sz w:val="24"/>
          <w:szCs w:val="24"/>
        </w:rPr>
        <w:t>, 18(3),</w:t>
      </w:r>
      <w:r w:rsidRPr="007C525B">
        <w:rPr>
          <w:spacing w:val="-1"/>
          <w:sz w:val="24"/>
          <w:szCs w:val="24"/>
        </w:rPr>
        <w:t xml:space="preserve"> </w:t>
      </w:r>
      <w:r w:rsidRPr="007C525B">
        <w:rPr>
          <w:sz w:val="24"/>
          <w:szCs w:val="24"/>
        </w:rPr>
        <w:t>410-424.</w:t>
      </w:r>
    </w:p>
    <w:p w14:paraId="5774B9A7" w14:textId="77777777" w:rsidR="005706AF" w:rsidRDefault="00EB5477" w:rsidP="005706AF">
      <w:pPr>
        <w:ind w:left="1100" w:hanging="721"/>
        <w:jc w:val="both"/>
        <w:rPr>
          <w:sz w:val="24"/>
          <w:szCs w:val="24"/>
        </w:rPr>
      </w:pPr>
      <w:r w:rsidRPr="007C525B">
        <w:rPr>
          <w:sz w:val="24"/>
          <w:szCs w:val="24"/>
        </w:rPr>
        <w:t xml:space="preserve">Hussein &amp; Omar (2014), Growth in the Islamic owned businesses in Kenya, </w:t>
      </w:r>
      <w:r w:rsidRPr="005706AF">
        <w:rPr>
          <w:i/>
          <w:iCs/>
          <w:sz w:val="24"/>
          <w:szCs w:val="24"/>
        </w:rPr>
        <w:t>Journal of Investments,</w:t>
      </w:r>
      <w:r w:rsidRPr="005706AF">
        <w:rPr>
          <w:sz w:val="24"/>
          <w:szCs w:val="24"/>
        </w:rPr>
        <w:t xml:space="preserve"> </w:t>
      </w:r>
      <w:r w:rsidRPr="007C525B">
        <w:rPr>
          <w:sz w:val="24"/>
          <w:szCs w:val="24"/>
        </w:rPr>
        <w:t>2014.</w:t>
      </w:r>
    </w:p>
    <w:p w14:paraId="5B4ABEF0" w14:textId="026E2B03" w:rsidR="00EB5477" w:rsidRPr="007C525B" w:rsidRDefault="00EB5477" w:rsidP="005706AF">
      <w:pPr>
        <w:ind w:left="1100" w:hanging="721"/>
        <w:jc w:val="both"/>
        <w:rPr>
          <w:sz w:val="24"/>
          <w:szCs w:val="24"/>
        </w:rPr>
      </w:pPr>
      <w:r w:rsidRPr="007C525B">
        <w:rPr>
          <w:sz w:val="24"/>
          <w:szCs w:val="24"/>
        </w:rPr>
        <w:t>Jensen, M. C. &amp; Meckling, W. H. (1976). Theory of</w:t>
      </w:r>
      <w:r w:rsidRPr="005706AF">
        <w:rPr>
          <w:sz w:val="24"/>
          <w:szCs w:val="24"/>
        </w:rPr>
        <w:t xml:space="preserve"> </w:t>
      </w:r>
      <w:r w:rsidRPr="007C525B">
        <w:rPr>
          <w:sz w:val="24"/>
          <w:szCs w:val="24"/>
        </w:rPr>
        <w:t xml:space="preserve">the firm: Managerial behavior, agency costs, and ownership structure, </w:t>
      </w:r>
      <w:r w:rsidRPr="005706AF">
        <w:rPr>
          <w:i/>
          <w:iCs/>
          <w:sz w:val="24"/>
          <w:szCs w:val="24"/>
        </w:rPr>
        <w:t>Journal of Financial Economics, 4</w:t>
      </w:r>
      <w:r w:rsidRPr="007C525B">
        <w:rPr>
          <w:sz w:val="24"/>
          <w:szCs w:val="24"/>
        </w:rPr>
        <w:t>(3),</w:t>
      </w:r>
      <w:r w:rsidRPr="005706AF">
        <w:rPr>
          <w:sz w:val="24"/>
          <w:szCs w:val="24"/>
        </w:rPr>
        <w:t xml:space="preserve"> </w:t>
      </w:r>
      <w:r w:rsidRPr="007C525B">
        <w:rPr>
          <w:sz w:val="24"/>
          <w:szCs w:val="24"/>
        </w:rPr>
        <w:t>305-360.</w:t>
      </w:r>
    </w:p>
    <w:p w14:paraId="5D8BE57C" w14:textId="77777777" w:rsidR="00EB5477" w:rsidRPr="007C525B" w:rsidRDefault="00EB5477" w:rsidP="00EB5477">
      <w:pPr>
        <w:ind w:left="1100" w:hanging="721"/>
        <w:jc w:val="both"/>
        <w:rPr>
          <w:sz w:val="24"/>
          <w:szCs w:val="24"/>
        </w:rPr>
      </w:pPr>
      <w:r w:rsidRPr="007C525B">
        <w:rPr>
          <w:sz w:val="24"/>
          <w:szCs w:val="24"/>
        </w:rPr>
        <w:t>Jensen, M. C. (1986). Agency Costs of Free Cash</w:t>
      </w:r>
      <w:r w:rsidRPr="007C525B">
        <w:rPr>
          <w:spacing w:val="-40"/>
          <w:sz w:val="24"/>
          <w:szCs w:val="24"/>
        </w:rPr>
        <w:t xml:space="preserve"> </w:t>
      </w:r>
      <w:r w:rsidRPr="007C525B">
        <w:rPr>
          <w:sz w:val="24"/>
          <w:szCs w:val="24"/>
        </w:rPr>
        <w:t xml:space="preserve">Flow, Corporate Finance, and Takeovers, </w:t>
      </w:r>
      <w:r w:rsidRPr="007C525B">
        <w:rPr>
          <w:i/>
          <w:spacing w:val="-5"/>
          <w:sz w:val="24"/>
          <w:szCs w:val="24"/>
        </w:rPr>
        <w:t xml:space="preserve">The </w:t>
      </w:r>
      <w:r w:rsidRPr="007C525B">
        <w:rPr>
          <w:i/>
          <w:sz w:val="24"/>
          <w:szCs w:val="24"/>
        </w:rPr>
        <w:t>American Economic Review</w:t>
      </w:r>
      <w:r w:rsidRPr="007C525B">
        <w:rPr>
          <w:sz w:val="24"/>
          <w:szCs w:val="24"/>
        </w:rPr>
        <w:t>, 76,</w:t>
      </w:r>
      <w:r w:rsidRPr="007C525B">
        <w:rPr>
          <w:spacing w:val="-2"/>
          <w:sz w:val="24"/>
          <w:szCs w:val="24"/>
        </w:rPr>
        <w:t xml:space="preserve"> </w:t>
      </w:r>
      <w:r w:rsidRPr="007C525B">
        <w:rPr>
          <w:sz w:val="24"/>
          <w:szCs w:val="24"/>
        </w:rPr>
        <w:t>53-59.</w:t>
      </w:r>
    </w:p>
    <w:p w14:paraId="5AEFC041" w14:textId="5426CE68" w:rsidR="00EB5477" w:rsidRDefault="00EB5477" w:rsidP="00EB5477">
      <w:pPr>
        <w:ind w:left="1100" w:hanging="721"/>
        <w:jc w:val="both"/>
        <w:rPr>
          <w:sz w:val="24"/>
          <w:szCs w:val="24"/>
        </w:rPr>
      </w:pPr>
      <w:r w:rsidRPr="007C525B">
        <w:rPr>
          <w:sz w:val="24"/>
          <w:szCs w:val="24"/>
        </w:rPr>
        <w:t>Jensen,</w:t>
      </w:r>
      <w:r w:rsidRPr="007C525B">
        <w:rPr>
          <w:spacing w:val="-9"/>
          <w:sz w:val="24"/>
          <w:szCs w:val="24"/>
        </w:rPr>
        <w:t xml:space="preserve"> </w:t>
      </w:r>
      <w:r w:rsidRPr="007C525B">
        <w:rPr>
          <w:sz w:val="24"/>
          <w:szCs w:val="24"/>
        </w:rPr>
        <w:t>M.C.</w:t>
      </w:r>
      <w:r w:rsidRPr="007C525B">
        <w:rPr>
          <w:spacing w:val="-10"/>
          <w:sz w:val="24"/>
          <w:szCs w:val="24"/>
        </w:rPr>
        <w:t xml:space="preserve"> </w:t>
      </w:r>
      <w:r w:rsidRPr="007C525B">
        <w:rPr>
          <w:sz w:val="24"/>
          <w:szCs w:val="24"/>
        </w:rPr>
        <w:t>and</w:t>
      </w:r>
      <w:r w:rsidRPr="007C525B">
        <w:rPr>
          <w:spacing w:val="-10"/>
          <w:sz w:val="24"/>
          <w:szCs w:val="24"/>
        </w:rPr>
        <w:t xml:space="preserve"> </w:t>
      </w:r>
      <w:r w:rsidRPr="007C525B">
        <w:rPr>
          <w:sz w:val="24"/>
          <w:szCs w:val="24"/>
        </w:rPr>
        <w:t>Meckling,</w:t>
      </w:r>
      <w:r w:rsidRPr="007C525B">
        <w:rPr>
          <w:spacing w:val="-10"/>
          <w:sz w:val="24"/>
          <w:szCs w:val="24"/>
        </w:rPr>
        <w:t xml:space="preserve"> </w:t>
      </w:r>
      <w:r w:rsidRPr="007C525B">
        <w:rPr>
          <w:sz w:val="24"/>
          <w:szCs w:val="24"/>
        </w:rPr>
        <w:t>W.H.</w:t>
      </w:r>
      <w:r w:rsidRPr="007C525B">
        <w:rPr>
          <w:spacing w:val="-8"/>
          <w:sz w:val="24"/>
          <w:szCs w:val="24"/>
        </w:rPr>
        <w:t xml:space="preserve"> </w:t>
      </w:r>
      <w:r w:rsidRPr="007C525B">
        <w:rPr>
          <w:sz w:val="24"/>
          <w:szCs w:val="24"/>
        </w:rPr>
        <w:t>(1976).</w:t>
      </w:r>
      <w:r w:rsidRPr="007C525B">
        <w:rPr>
          <w:spacing w:val="-8"/>
          <w:sz w:val="24"/>
          <w:szCs w:val="24"/>
        </w:rPr>
        <w:t xml:space="preserve"> </w:t>
      </w:r>
      <w:r w:rsidRPr="007C525B">
        <w:rPr>
          <w:sz w:val="24"/>
          <w:szCs w:val="24"/>
        </w:rPr>
        <w:t>Theory</w:t>
      </w:r>
      <w:r w:rsidRPr="007C525B">
        <w:rPr>
          <w:spacing w:val="-8"/>
          <w:sz w:val="24"/>
          <w:szCs w:val="24"/>
        </w:rPr>
        <w:t xml:space="preserve"> </w:t>
      </w:r>
      <w:r w:rsidRPr="007C525B">
        <w:rPr>
          <w:sz w:val="24"/>
          <w:szCs w:val="24"/>
        </w:rPr>
        <w:t>of</w:t>
      </w:r>
      <w:r w:rsidRPr="007C525B">
        <w:rPr>
          <w:spacing w:val="-7"/>
          <w:sz w:val="24"/>
          <w:szCs w:val="24"/>
        </w:rPr>
        <w:t xml:space="preserve"> </w:t>
      </w:r>
      <w:r w:rsidRPr="007C525B">
        <w:rPr>
          <w:sz w:val="24"/>
          <w:szCs w:val="24"/>
        </w:rPr>
        <w:t xml:space="preserve">the firm: managerial behavior, agency costs and ownership structure. </w:t>
      </w:r>
      <w:r w:rsidRPr="007C525B">
        <w:rPr>
          <w:i/>
          <w:sz w:val="24"/>
          <w:szCs w:val="24"/>
        </w:rPr>
        <w:t>Journal of Financial Economics</w:t>
      </w:r>
      <w:r w:rsidRPr="007C525B">
        <w:rPr>
          <w:sz w:val="24"/>
          <w:szCs w:val="24"/>
        </w:rPr>
        <w:t>, 3(4),</w:t>
      </w:r>
      <w:r w:rsidRPr="007C525B">
        <w:rPr>
          <w:spacing w:val="-4"/>
          <w:sz w:val="24"/>
          <w:szCs w:val="24"/>
        </w:rPr>
        <w:t xml:space="preserve"> </w:t>
      </w:r>
      <w:r w:rsidRPr="007C525B">
        <w:rPr>
          <w:sz w:val="24"/>
          <w:szCs w:val="24"/>
        </w:rPr>
        <w:t>305-360.</w:t>
      </w:r>
    </w:p>
    <w:p w14:paraId="72EA0B19" w14:textId="77777777" w:rsidR="005706AF" w:rsidRPr="005706AF" w:rsidRDefault="005706AF" w:rsidP="005706AF">
      <w:pPr>
        <w:ind w:left="1100" w:right="2" w:hanging="666"/>
        <w:jc w:val="both"/>
        <w:rPr>
          <w:rFonts w:asciiTheme="majorBidi" w:hAnsiTheme="majorBidi" w:cstheme="majorBidi"/>
          <w:color w:val="231F20"/>
          <w:sz w:val="24"/>
          <w:szCs w:val="24"/>
        </w:rPr>
      </w:pPr>
      <w:r w:rsidRPr="005706AF">
        <w:rPr>
          <w:rFonts w:asciiTheme="majorBidi" w:hAnsiTheme="majorBidi" w:cstheme="majorBidi"/>
          <w:color w:val="231F20"/>
          <w:sz w:val="24"/>
          <w:szCs w:val="24"/>
        </w:rPr>
        <w:t xml:space="preserve">Iqbal, M. S. ., Fikri, S. M. ., &amp; Ahmi, A. . (2023). Relationship Between Musharakah, Credit Risk, and Profitability in Pakistan’s Islamic Banks. </w:t>
      </w:r>
      <w:r w:rsidRPr="005706AF">
        <w:rPr>
          <w:rFonts w:asciiTheme="majorBidi" w:hAnsiTheme="majorBidi" w:cstheme="majorBidi"/>
          <w:i/>
          <w:iCs/>
          <w:color w:val="231F20"/>
          <w:sz w:val="24"/>
          <w:szCs w:val="24"/>
        </w:rPr>
        <w:t>Journal of Applied Economics and Business Studies, 7</w:t>
      </w:r>
      <w:r w:rsidRPr="005706AF">
        <w:rPr>
          <w:rFonts w:asciiTheme="majorBidi" w:hAnsiTheme="majorBidi" w:cstheme="majorBidi"/>
          <w:color w:val="231F20"/>
          <w:sz w:val="24"/>
          <w:szCs w:val="24"/>
        </w:rPr>
        <w:t xml:space="preserve">(3), 75-91. </w:t>
      </w:r>
      <w:hyperlink r:id="rId13" w:history="1">
        <w:r w:rsidRPr="005706AF">
          <w:rPr>
            <w:rStyle w:val="Hyperlink"/>
            <w:rFonts w:asciiTheme="majorBidi" w:hAnsiTheme="majorBidi" w:cstheme="majorBidi"/>
            <w:sz w:val="24"/>
            <w:szCs w:val="24"/>
          </w:rPr>
          <w:t>https://doi.org/10.34260/jaebs.735</w:t>
        </w:r>
      </w:hyperlink>
      <w:r w:rsidRPr="005706AF">
        <w:rPr>
          <w:rFonts w:asciiTheme="majorBidi" w:hAnsiTheme="majorBidi" w:cstheme="majorBidi"/>
          <w:color w:val="231F20"/>
          <w:sz w:val="24"/>
          <w:szCs w:val="24"/>
          <w:u w:val="single"/>
        </w:rPr>
        <w:t>.</w:t>
      </w:r>
    </w:p>
    <w:p w14:paraId="17B8A69C" w14:textId="77777777" w:rsidR="005706AF" w:rsidRPr="005706AF" w:rsidRDefault="005706AF" w:rsidP="005706AF">
      <w:pPr>
        <w:ind w:left="1100" w:right="2" w:hanging="666"/>
        <w:jc w:val="both"/>
        <w:rPr>
          <w:rFonts w:asciiTheme="majorBidi" w:hAnsiTheme="majorBidi" w:cstheme="majorBidi"/>
          <w:color w:val="231F20"/>
          <w:sz w:val="24"/>
          <w:szCs w:val="24"/>
        </w:rPr>
      </w:pPr>
      <w:r w:rsidRPr="005706AF">
        <w:rPr>
          <w:rFonts w:asciiTheme="majorBidi" w:hAnsiTheme="majorBidi" w:cstheme="majorBidi"/>
          <w:color w:val="231F20"/>
          <w:sz w:val="24"/>
          <w:szCs w:val="24"/>
        </w:rPr>
        <w:t xml:space="preserve">Iqbal, M. S., &amp; Fikri, S. M. (2023). Comparison of Credit Risk Management Practices among Islamic and Public Commercial Bank’s in Pakistan. </w:t>
      </w:r>
      <w:r w:rsidRPr="005706AF">
        <w:rPr>
          <w:rFonts w:asciiTheme="majorBidi" w:hAnsiTheme="majorBidi" w:cstheme="majorBidi"/>
          <w:i/>
          <w:iCs/>
          <w:color w:val="231F20"/>
          <w:sz w:val="24"/>
          <w:szCs w:val="24"/>
        </w:rPr>
        <w:t>International Journal of Management Research and Emerging Sciences, 13</w:t>
      </w:r>
      <w:r w:rsidRPr="005706AF">
        <w:rPr>
          <w:rFonts w:asciiTheme="majorBidi" w:hAnsiTheme="majorBidi" w:cstheme="majorBidi"/>
          <w:color w:val="231F20"/>
          <w:sz w:val="24"/>
          <w:szCs w:val="24"/>
        </w:rPr>
        <w:t>(3).</w:t>
      </w:r>
      <w:r w:rsidRPr="005706AF">
        <w:rPr>
          <w:rFonts w:asciiTheme="majorBidi" w:hAnsiTheme="majorBidi" w:cstheme="majorBidi"/>
          <w:color w:val="231F20"/>
          <w:sz w:val="24"/>
          <w:szCs w:val="24"/>
          <w:lang w:val="en-GB"/>
        </w:rPr>
        <w:t xml:space="preserve"> </w:t>
      </w:r>
      <w:hyperlink r:id="rId14" w:history="1">
        <w:r w:rsidRPr="005706AF">
          <w:rPr>
            <w:rStyle w:val="Hyperlink"/>
            <w:rFonts w:asciiTheme="majorBidi" w:hAnsiTheme="majorBidi" w:cstheme="majorBidi"/>
            <w:sz w:val="24"/>
            <w:szCs w:val="24"/>
          </w:rPr>
          <w:t>https://doi.org/10.56536/ijmres.v13i3.509</w:t>
        </w:r>
      </w:hyperlink>
      <w:r w:rsidRPr="005706AF">
        <w:rPr>
          <w:rFonts w:asciiTheme="majorBidi" w:hAnsiTheme="majorBidi" w:cstheme="majorBidi"/>
          <w:color w:val="231F20"/>
          <w:sz w:val="24"/>
          <w:szCs w:val="24"/>
          <w:u w:val="single"/>
        </w:rPr>
        <w:t>.</w:t>
      </w:r>
    </w:p>
    <w:p w14:paraId="21DC7123" w14:textId="77777777" w:rsidR="005706AF" w:rsidRPr="005706AF" w:rsidRDefault="005706AF" w:rsidP="005706AF">
      <w:pPr>
        <w:ind w:left="1100" w:right="2" w:hanging="666"/>
        <w:jc w:val="both"/>
        <w:rPr>
          <w:rFonts w:asciiTheme="majorBidi" w:hAnsiTheme="majorBidi" w:cstheme="majorBidi"/>
          <w:color w:val="231F20"/>
          <w:sz w:val="24"/>
          <w:szCs w:val="24"/>
        </w:rPr>
      </w:pPr>
      <w:r w:rsidRPr="005706AF">
        <w:rPr>
          <w:rFonts w:asciiTheme="majorBidi" w:hAnsiTheme="majorBidi" w:cstheme="majorBidi"/>
          <w:color w:val="231F20"/>
          <w:sz w:val="24"/>
          <w:szCs w:val="24"/>
        </w:rPr>
        <w:t xml:space="preserve">Iqbal, M. S., &amp; Fikri, S. M. (2023). Comparison of Credit Risk Management Practices among Islamic and Public Commercial Bank’s in Pakistan. </w:t>
      </w:r>
      <w:r w:rsidRPr="005706AF">
        <w:rPr>
          <w:rFonts w:asciiTheme="majorBidi" w:hAnsiTheme="majorBidi" w:cstheme="majorBidi"/>
          <w:i/>
          <w:iCs/>
          <w:color w:val="231F20"/>
          <w:sz w:val="24"/>
          <w:szCs w:val="24"/>
        </w:rPr>
        <w:t>International Journal of Management Research and Emerging Sciences, 13</w:t>
      </w:r>
      <w:r w:rsidRPr="005706AF">
        <w:rPr>
          <w:rFonts w:asciiTheme="majorBidi" w:hAnsiTheme="majorBidi" w:cstheme="majorBidi"/>
          <w:color w:val="231F20"/>
          <w:sz w:val="24"/>
          <w:szCs w:val="24"/>
        </w:rPr>
        <w:t>(3).</w:t>
      </w:r>
      <w:r w:rsidRPr="005706AF">
        <w:rPr>
          <w:rFonts w:asciiTheme="majorBidi" w:hAnsiTheme="majorBidi" w:cstheme="majorBidi"/>
          <w:color w:val="231F20"/>
          <w:sz w:val="24"/>
          <w:szCs w:val="24"/>
          <w:lang w:val="en-GB"/>
        </w:rPr>
        <w:t xml:space="preserve"> </w:t>
      </w:r>
      <w:hyperlink r:id="rId15" w:history="1">
        <w:r w:rsidRPr="005706AF">
          <w:rPr>
            <w:rStyle w:val="Hyperlink"/>
            <w:rFonts w:asciiTheme="majorBidi" w:hAnsiTheme="majorBidi" w:cstheme="majorBidi"/>
            <w:sz w:val="24"/>
            <w:szCs w:val="24"/>
          </w:rPr>
          <w:t>https://doi.org/10.56536/ijmres.v13i3.509</w:t>
        </w:r>
      </w:hyperlink>
      <w:r w:rsidRPr="005706AF">
        <w:rPr>
          <w:rFonts w:asciiTheme="majorBidi" w:hAnsiTheme="majorBidi" w:cstheme="majorBidi"/>
          <w:color w:val="231F20"/>
          <w:sz w:val="24"/>
          <w:szCs w:val="24"/>
          <w:u w:val="single"/>
        </w:rPr>
        <w:t>.</w:t>
      </w:r>
    </w:p>
    <w:p w14:paraId="20ED039D" w14:textId="4A37E165" w:rsidR="005706AF" w:rsidRPr="005706AF" w:rsidRDefault="005706AF" w:rsidP="005706AF">
      <w:pPr>
        <w:ind w:left="1100" w:right="2" w:hanging="666"/>
        <w:jc w:val="both"/>
        <w:rPr>
          <w:rFonts w:asciiTheme="majorBidi" w:hAnsiTheme="majorBidi" w:cstheme="majorBidi"/>
          <w:color w:val="231F20"/>
          <w:sz w:val="24"/>
          <w:szCs w:val="24"/>
        </w:rPr>
      </w:pPr>
      <w:r w:rsidRPr="005706AF">
        <w:rPr>
          <w:rFonts w:asciiTheme="majorBidi" w:hAnsiTheme="majorBidi" w:cstheme="majorBidi"/>
          <w:color w:val="231F20"/>
          <w:sz w:val="24"/>
          <w:szCs w:val="24"/>
        </w:rPr>
        <w:t xml:space="preserve">Iqbal, M. S., &amp; Fikri, S. M. (2023). The Determinants of Growth in Banking Sector: Time Series Analysis of Conventional and Islamic Banking </w:t>
      </w:r>
      <w:proofErr w:type="gramStart"/>
      <w:r w:rsidRPr="005706AF">
        <w:rPr>
          <w:rFonts w:asciiTheme="majorBidi" w:hAnsiTheme="majorBidi" w:cstheme="majorBidi"/>
          <w:color w:val="231F20"/>
          <w:sz w:val="24"/>
          <w:szCs w:val="24"/>
        </w:rPr>
        <w:t>In</w:t>
      </w:r>
      <w:proofErr w:type="gramEnd"/>
      <w:r w:rsidRPr="005706AF">
        <w:rPr>
          <w:rFonts w:asciiTheme="majorBidi" w:hAnsiTheme="majorBidi" w:cstheme="majorBidi"/>
          <w:color w:val="231F20"/>
          <w:sz w:val="24"/>
          <w:szCs w:val="24"/>
        </w:rPr>
        <w:t xml:space="preserve"> Pakistan. </w:t>
      </w:r>
      <w:r w:rsidRPr="005706AF">
        <w:rPr>
          <w:rFonts w:asciiTheme="majorBidi" w:hAnsiTheme="majorBidi" w:cstheme="majorBidi"/>
          <w:i/>
          <w:iCs/>
          <w:color w:val="231F20"/>
          <w:sz w:val="24"/>
          <w:szCs w:val="24"/>
        </w:rPr>
        <w:t>Islamic Banking and Finance Review, 10</w:t>
      </w:r>
      <w:r w:rsidRPr="005706AF">
        <w:rPr>
          <w:rFonts w:asciiTheme="majorBidi" w:hAnsiTheme="majorBidi" w:cstheme="majorBidi"/>
          <w:color w:val="231F20"/>
          <w:sz w:val="24"/>
          <w:szCs w:val="24"/>
        </w:rPr>
        <w:t xml:space="preserve">(1), 51-67. </w:t>
      </w:r>
      <w:hyperlink r:id="rId16" w:history="1">
        <w:r w:rsidRPr="005706AF">
          <w:rPr>
            <w:rStyle w:val="Hyperlink"/>
            <w:rFonts w:asciiTheme="majorBidi" w:hAnsiTheme="majorBidi" w:cstheme="majorBidi"/>
            <w:sz w:val="24"/>
            <w:szCs w:val="24"/>
          </w:rPr>
          <w:t>https://doi.org/10.32350/ibfr.101.03</w:t>
        </w:r>
      </w:hyperlink>
      <w:r w:rsidRPr="005706AF">
        <w:rPr>
          <w:rFonts w:asciiTheme="majorBidi" w:hAnsiTheme="majorBidi" w:cstheme="majorBidi"/>
          <w:color w:val="231F20"/>
          <w:sz w:val="24"/>
          <w:szCs w:val="24"/>
          <w:u w:val="single"/>
        </w:rPr>
        <w:t>.</w:t>
      </w:r>
    </w:p>
    <w:p w14:paraId="3FB064D8" w14:textId="77777777" w:rsidR="005706AF" w:rsidRPr="005706AF" w:rsidRDefault="005706AF" w:rsidP="005706AF">
      <w:pPr>
        <w:ind w:left="1100" w:right="2" w:hanging="666"/>
        <w:jc w:val="both"/>
        <w:rPr>
          <w:rFonts w:asciiTheme="majorBidi" w:hAnsiTheme="majorBidi" w:cstheme="majorBidi"/>
          <w:color w:val="231F20"/>
          <w:sz w:val="24"/>
          <w:szCs w:val="24"/>
        </w:rPr>
      </w:pPr>
      <w:r w:rsidRPr="005706AF">
        <w:rPr>
          <w:rFonts w:asciiTheme="majorBidi" w:hAnsiTheme="majorBidi" w:cstheme="majorBidi"/>
          <w:color w:val="231F20"/>
          <w:sz w:val="24"/>
          <w:szCs w:val="24"/>
        </w:rPr>
        <w:t xml:space="preserve">Iqbal, M. S., &amp; Sofi, M. F. B. (2022). Analyzing the impact of oil prices on commodity future listed on Pakistan mercantile exchange (PMEX) in the era of Covid-19. </w:t>
      </w:r>
      <w:r w:rsidRPr="005706AF">
        <w:rPr>
          <w:rFonts w:asciiTheme="majorBidi" w:hAnsiTheme="majorBidi" w:cstheme="majorBidi"/>
          <w:i/>
          <w:iCs/>
          <w:color w:val="231F20"/>
          <w:sz w:val="24"/>
          <w:szCs w:val="24"/>
        </w:rPr>
        <w:t>South Asian Review of Business and Administrative Studies (SABAS), 4</w:t>
      </w:r>
      <w:r w:rsidRPr="005706AF">
        <w:rPr>
          <w:rFonts w:asciiTheme="majorBidi" w:hAnsiTheme="majorBidi" w:cstheme="majorBidi"/>
          <w:color w:val="231F20"/>
          <w:sz w:val="24"/>
          <w:szCs w:val="24"/>
        </w:rPr>
        <w:t>(2), 103-112.</w:t>
      </w:r>
      <w:bookmarkStart w:id="0" w:name="Acknowledgements"/>
      <w:bookmarkStart w:id="1" w:name="References"/>
      <w:bookmarkStart w:id="2" w:name="_bookmark22"/>
      <w:bookmarkEnd w:id="0"/>
      <w:bookmarkEnd w:id="1"/>
      <w:bookmarkEnd w:id="2"/>
      <w:r w:rsidRPr="005706AF">
        <w:rPr>
          <w:rFonts w:asciiTheme="majorBidi" w:hAnsiTheme="majorBidi" w:cstheme="majorBidi"/>
          <w:color w:val="231F20"/>
          <w:sz w:val="24"/>
          <w:szCs w:val="24"/>
        </w:rPr>
        <w:t xml:space="preserve"> </w:t>
      </w:r>
      <w:hyperlink r:id="rId17" w:history="1">
        <w:r w:rsidRPr="005706AF">
          <w:rPr>
            <w:rStyle w:val="Hyperlink"/>
            <w:rFonts w:asciiTheme="majorBidi" w:hAnsiTheme="majorBidi" w:cstheme="majorBidi"/>
            <w:sz w:val="24"/>
            <w:szCs w:val="24"/>
          </w:rPr>
          <w:t xml:space="preserve">https://doi.org/10.52461/sabas.v4i2.1513 </w:t>
        </w:r>
      </w:hyperlink>
      <w:r w:rsidRPr="005706AF">
        <w:rPr>
          <w:rFonts w:asciiTheme="majorBidi" w:hAnsiTheme="majorBidi" w:cstheme="majorBidi"/>
          <w:color w:val="231F20"/>
          <w:sz w:val="24"/>
          <w:szCs w:val="24"/>
        </w:rPr>
        <w:t>.</w:t>
      </w:r>
    </w:p>
    <w:p w14:paraId="6D197EE5" w14:textId="77777777" w:rsidR="005706AF" w:rsidRPr="005706AF" w:rsidRDefault="005706AF" w:rsidP="005706AF">
      <w:pPr>
        <w:ind w:left="1100" w:right="2" w:hanging="666"/>
        <w:jc w:val="both"/>
        <w:rPr>
          <w:rFonts w:asciiTheme="majorBidi" w:hAnsiTheme="majorBidi" w:cstheme="majorBidi"/>
          <w:color w:val="231F20"/>
          <w:sz w:val="24"/>
          <w:szCs w:val="24"/>
        </w:rPr>
      </w:pPr>
      <w:r w:rsidRPr="005706AF">
        <w:rPr>
          <w:rFonts w:asciiTheme="majorBidi" w:hAnsiTheme="majorBidi" w:cstheme="majorBidi"/>
          <w:color w:val="231F20"/>
          <w:sz w:val="24"/>
          <w:szCs w:val="24"/>
        </w:rPr>
        <w:t xml:space="preserve">Iqbal, M. S., Fikri , S. M., Imtiaz , A., &amp; Yahaya , H. D. (2023). Impact of House Financing Accessibility on the Productivity of Private-Public Relationships in Mortgage Financing Conditions. </w:t>
      </w:r>
      <w:r w:rsidRPr="005706AF">
        <w:rPr>
          <w:rFonts w:asciiTheme="majorBidi" w:hAnsiTheme="majorBidi" w:cstheme="majorBidi"/>
          <w:i/>
          <w:iCs/>
          <w:color w:val="231F20"/>
          <w:sz w:val="24"/>
          <w:szCs w:val="24"/>
        </w:rPr>
        <w:t>Journal of Contemporary Business and Islamic Finance (JCBIF),</w:t>
      </w:r>
      <w:r w:rsidRPr="005706AF">
        <w:rPr>
          <w:rFonts w:asciiTheme="majorBidi" w:hAnsiTheme="majorBidi" w:cstheme="majorBidi"/>
          <w:color w:val="231F20"/>
          <w:sz w:val="24"/>
          <w:szCs w:val="24"/>
        </w:rPr>
        <w:t xml:space="preserve"> 3(2),324–335.</w:t>
      </w:r>
      <w:r w:rsidRPr="005706AF">
        <w:rPr>
          <w:rFonts w:asciiTheme="majorBidi" w:hAnsiTheme="majorBidi" w:cstheme="majorBidi"/>
          <w:color w:val="231F20"/>
          <w:sz w:val="24"/>
          <w:szCs w:val="24"/>
          <w:u w:val="single"/>
        </w:rPr>
        <w:t xml:space="preserve">Retrievedfrom </w:t>
      </w:r>
      <w:hyperlink r:id="rId18" w:history="1">
        <w:r w:rsidRPr="005706AF">
          <w:rPr>
            <w:rStyle w:val="Hyperlink"/>
            <w:rFonts w:asciiTheme="majorBidi" w:hAnsiTheme="majorBidi" w:cstheme="majorBidi"/>
            <w:sz w:val="24"/>
            <w:szCs w:val="24"/>
          </w:rPr>
          <w:t>https://journals.iub.edu.pk/index.php/jcbif/article/view/2130</w:t>
        </w:r>
      </w:hyperlink>
      <w:r w:rsidRPr="005706AF">
        <w:rPr>
          <w:rFonts w:asciiTheme="majorBidi" w:hAnsiTheme="majorBidi" w:cstheme="majorBidi"/>
          <w:color w:val="231F20"/>
          <w:sz w:val="24"/>
          <w:szCs w:val="24"/>
          <w:u w:val="single"/>
        </w:rPr>
        <w:t>.</w:t>
      </w:r>
    </w:p>
    <w:p w14:paraId="0625FB86" w14:textId="77777777" w:rsidR="005706AF" w:rsidRPr="005706AF" w:rsidRDefault="005706AF" w:rsidP="005706AF">
      <w:pPr>
        <w:ind w:left="1100" w:right="2" w:hanging="666"/>
        <w:jc w:val="both"/>
        <w:rPr>
          <w:rFonts w:asciiTheme="majorBidi" w:hAnsiTheme="majorBidi" w:cstheme="majorBidi"/>
          <w:color w:val="231F20"/>
          <w:sz w:val="24"/>
          <w:szCs w:val="24"/>
        </w:rPr>
      </w:pPr>
      <w:r w:rsidRPr="005706AF">
        <w:rPr>
          <w:rFonts w:asciiTheme="majorBidi" w:hAnsiTheme="majorBidi" w:cstheme="majorBidi"/>
          <w:color w:val="231F20"/>
          <w:sz w:val="24"/>
          <w:szCs w:val="24"/>
        </w:rPr>
        <w:t xml:space="preserve">Iqbal, M. S., Fikri, S. M., &amp; Ahmi, A. (2023). Relationship Between Musharakah, Credit Risk, and Profitability in Pakistan's Islamic Banks. </w:t>
      </w:r>
      <w:r w:rsidRPr="005706AF">
        <w:rPr>
          <w:rFonts w:asciiTheme="majorBidi" w:hAnsiTheme="majorBidi" w:cstheme="majorBidi"/>
          <w:i/>
          <w:iCs/>
          <w:color w:val="231F20"/>
          <w:sz w:val="24"/>
          <w:szCs w:val="24"/>
        </w:rPr>
        <w:t>Journal of Applied Economics and Business Studies, 7</w:t>
      </w:r>
      <w:r w:rsidRPr="005706AF">
        <w:rPr>
          <w:rFonts w:asciiTheme="majorBidi" w:hAnsiTheme="majorBidi" w:cstheme="majorBidi"/>
          <w:color w:val="231F20"/>
          <w:sz w:val="24"/>
          <w:szCs w:val="24"/>
        </w:rPr>
        <w:t xml:space="preserve">(3), 75-91. </w:t>
      </w:r>
      <w:hyperlink r:id="rId19" w:history="1">
        <w:r w:rsidRPr="005706AF">
          <w:rPr>
            <w:rStyle w:val="Hyperlink"/>
            <w:rFonts w:asciiTheme="majorBidi" w:hAnsiTheme="majorBidi" w:cstheme="majorBidi"/>
            <w:sz w:val="24"/>
            <w:szCs w:val="24"/>
          </w:rPr>
          <w:t>https://doi.org/10.34260/jaebs.735</w:t>
        </w:r>
      </w:hyperlink>
      <w:r w:rsidRPr="005706AF">
        <w:rPr>
          <w:rFonts w:asciiTheme="majorBidi" w:hAnsiTheme="majorBidi" w:cstheme="majorBidi"/>
          <w:color w:val="231F20"/>
          <w:sz w:val="24"/>
          <w:szCs w:val="24"/>
          <w:u w:val="single"/>
        </w:rPr>
        <w:t>,</w:t>
      </w:r>
    </w:p>
    <w:p w14:paraId="7A2EFF8B" w14:textId="77777777" w:rsidR="005706AF" w:rsidRPr="005706AF" w:rsidRDefault="005706AF" w:rsidP="005706AF">
      <w:pPr>
        <w:ind w:left="1100" w:right="2" w:hanging="666"/>
        <w:jc w:val="both"/>
        <w:rPr>
          <w:rFonts w:asciiTheme="majorBidi" w:hAnsiTheme="majorBidi" w:cstheme="majorBidi"/>
          <w:color w:val="231F20"/>
          <w:sz w:val="24"/>
          <w:szCs w:val="24"/>
        </w:rPr>
      </w:pPr>
      <w:r w:rsidRPr="005706AF">
        <w:rPr>
          <w:rFonts w:asciiTheme="majorBidi" w:hAnsiTheme="majorBidi" w:cstheme="majorBidi"/>
          <w:color w:val="231F20"/>
          <w:sz w:val="24"/>
          <w:szCs w:val="24"/>
        </w:rPr>
        <w:t xml:space="preserve">Iqbal, M. S., Fikri, S. M., Ali, M., Umar, M., &amp; Yahaya, H. D. (2023). The Effect of Car Ijarah/Lease Financing on the Pakistani Islamic Banking Sector's Performance. </w:t>
      </w:r>
      <w:r w:rsidRPr="005706AF">
        <w:rPr>
          <w:rFonts w:asciiTheme="majorBidi" w:hAnsiTheme="majorBidi" w:cstheme="majorBidi"/>
          <w:i/>
          <w:iCs/>
          <w:color w:val="231F20"/>
          <w:sz w:val="24"/>
          <w:szCs w:val="24"/>
        </w:rPr>
        <w:t xml:space="preserve">Pakistan Journal of </w:t>
      </w:r>
      <w:r w:rsidRPr="005706AF">
        <w:rPr>
          <w:rFonts w:asciiTheme="majorBidi" w:hAnsiTheme="majorBidi" w:cstheme="majorBidi"/>
          <w:i/>
          <w:iCs/>
          <w:color w:val="231F20"/>
          <w:sz w:val="24"/>
          <w:szCs w:val="24"/>
        </w:rPr>
        <w:lastRenderedPageBreak/>
        <w:t>Economic Studies (PJES)</w:t>
      </w:r>
      <w:r w:rsidRPr="005706AF">
        <w:rPr>
          <w:rFonts w:asciiTheme="majorBidi" w:hAnsiTheme="majorBidi" w:cstheme="majorBidi"/>
          <w:color w:val="231F20"/>
          <w:sz w:val="24"/>
          <w:szCs w:val="24"/>
        </w:rPr>
        <w:t xml:space="preserve">, </w:t>
      </w:r>
      <w:r w:rsidRPr="005706AF">
        <w:rPr>
          <w:rFonts w:asciiTheme="majorBidi" w:hAnsiTheme="majorBidi" w:cstheme="majorBidi"/>
          <w:i/>
          <w:iCs/>
          <w:color w:val="231F20"/>
          <w:sz w:val="24"/>
          <w:szCs w:val="24"/>
        </w:rPr>
        <w:t>6</w:t>
      </w:r>
      <w:r w:rsidRPr="005706AF">
        <w:rPr>
          <w:rFonts w:asciiTheme="majorBidi" w:hAnsiTheme="majorBidi" w:cstheme="majorBidi"/>
          <w:color w:val="231F20"/>
          <w:sz w:val="24"/>
          <w:szCs w:val="24"/>
        </w:rPr>
        <w:t xml:space="preserve">(3), 219-230. </w:t>
      </w:r>
      <w:r w:rsidRPr="005706AF">
        <w:rPr>
          <w:rFonts w:asciiTheme="majorBidi" w:hAnsiTheme="majorBidi" w:cstheme="majorBidi"/>
          <w:color w:val="231F20"/>
          <w:sz w:val="24"/>
          <w:szCs w:val="24"/>
          <w:u w:val="single"/>
        </w:rPr>
        <w:t xml:space="preserve">Retrieved from </w:t>
      </w:r>
      <w:hyperlink r:id="rId20" w:history="1">
        <w:r w:rsidRPr="005706AF">
          <w:rPr>
            <w:rStyle w:val="Hyperlink"/>
            <w:rFonts w:asciiTheme="majorBidi" w:hAnsiTheme="majorBidi" w:cstheme="majorBidi"/>
            <w:sz w:val="24"/>
            <w:szCs w:val="24"/>
          </w:rPr>
          <w:t>https://journals.iub.edu.pk/index.php/pjes/article/view/2330</w:t>
        </w:r>
      </w:hyperlink>
      <w:r w:rsidRPr="005706AF">
        <w:rPr>
          <w:rFonts w:asciiTheme="majorBidi" w:hAnsiTheme="majorBidi" w:cstheme="majorBidi"/>
          <w:color w:val="231F20"/>
          <w:sz w:val="24"/>
          <w:szCs w:val="24"/>
          <w:u w:val="single"/>
        </w:rPr>
        <w:t>.</w:t>
      </w:r>
    </w:p>
    <w:p w14:paraId="3AAF6145" w14:textId="77777777" w:rsidR="00EB5477" w:rsidRPr="007C525B" w:rsidRDefault="00EB5477" w:rsidP="00EB5477">
      <w:pPr>
        <w:ind w:left="1100" w:right="2" w:hanging="666"/>
        <w:jc w:val="both"/>
        <w:rPr>
          <w:sz w:val="24"/>
          <w:szCs w:val="24"/>
        </w:rPr>
      </w:pPr>
      <w:r w:rsidRPr="007C525B">
        <w:rPr>
          <w:sz w:val="24"/>
          <w:szCs w:val="24"/>
        </w:rPr>
        <w:t>Kajola,</w:t>
      </w:r>
      <w:r w:rsidRPr="007C525B">
        <w:rPr>
          <w:spacing w:val="-7"/>
          <w:sz w:val="24"/>
          <w:szCs w:val="24"/>
        </w:rPr>
        <w:t xml:space="preserve"> </w:t>
      </w:r>
      <w:r w:rsidRPr="007C525B">
        <w:rPr>
          <w:sz w:val="24"/>
          <w:szCs w:val="24"/>
        </w:rPr>
        <w:t>S.</w:t>
      </w:r>
      <w:r w:rsidRPr="007C525B">
        <w:rPr>
          <w:spacing w:val="-9"/>
          <w:sz w:val="24"/>
          <w:szCs w:val="24"/>
        </w:rPr>
        <w:t xml:space="preserve"> </w:t>
      </w:r>
      <w:r w:rsidRPr="007C525B">
        <w:rPr>
          <w:sz w:val="24"/>
          <w:szCs w:val="24"/>
        </w:rPr>
        <w:t>O.,</w:t>
      </w:r>
      <w:r w:rsidRPr="007C525B">
        <w:rPr>
          <w:spacing w:val="-6"/>
          <w:sz w:val="24"/>
          <w:szCs w:val="24"/>
        </w:rPr>
        <w:t xml:space="preserve"> </w:t>
      </w:r>
      <w:r w:rsidRPr="007C525B">
        <w:rPr>
          <w:sz w:val="24"/>
          <w:szCs w:val="24"/>
        </w:rPr>
        <w:t>Adewumi,</w:t>
      </w:r>
      <w:r w:rsidRPr="007C525B">
        <w:rPr>
          <w:spacing w:val="-9"/>
          <w:sz w:val="24"/>
          <w:szCs w:val="24"/>
        </w:rPr>
        <w:t xml:space="preserve"> </w:t>
      </w:r>
      <w:r w:rsidRPr="007C525B">
        <w:rPr>
          <w:sz w:val="24"/>
          <w:szCs w:val="24"/>
        </w:rPr>
        <w:t>A.</w:t>
      </w:r>
      <w:r w:rsidRPr="007C525B">
        <w:rPr>
          <w:spacing w:val="-7"/>
          <w:sz w:val="24"/>
          <w:szCs w:val="24"/>
        </w:rPr>
        <w:t xml:space="preserve"> </w:t>
      </w:r>
      <w:r w:rsidRPr="007C525B">
        <w:rPr>
          <w:sz w:val="24"/>
          <w:szCs w:val="24"/>
        </w:rPr>
        <w:t>A.</w:t>
      </w:r>
      <w:r w:rsidRPr="007C525B">
        <w:rPr>
          <w:spacing w:val="-6"/>
          <w:sz w:val="24"/>
          <w:szCs w:val="24"/>
        </w:rPr>
        <w:t xml:space="preserve"> </w:t>
      </w:r>
      <w:r w:rsidRPr="007C525B">
        <w:rPr>
          <w:sz w:val="24"/>
          <w:szCs w:val="24"/>
        </w:rPr>
        <w:t>&amp;</w:t>
      </w:r>
      <w:r w:rsidRPr="007C525B">
        <w:rPr>
          <w:spacing w:val="-7"/>
          <w:sz w:val="24"/>
          <w:szCs w:val="24"/>
        </w:rPr>
        <w:t xml:space="preserve"> </w:t>
      </w:r>
      <w:r w:rsidRPr="007C525B">
        <w:rPr>
          <w:sz w:val="24"/>
          <w:szCs w:val="24"/>
        </w:rPr>
        <w:t>Oworu,</w:t>
      </w:r>
      <w:r w:rsidRPr="007C525B">
        <w:rPr>
          <w:spacing w:val="-6"/>
          <w:sz w:val="24"/>
          <w:szCs w:val="24"/>
        </w:rPr>
        <w:t xml:space="preserve"> </w:t>
      </w:r>
      <w:r w:rsidRPr="007C525B">
        <w:rPr>
          <w:sz w:val="24"/>
          <w:szCs w:val="24"/>
        </w:rPr>
        <w:t>O.</w:t>
      </w:r>
      <w:r w:rsidRPr="007C525B">
        <w:rPr>
          <w:spacing w:val="-9"/>
          <w:sz w:val="24"/>
          <w:szCs w:val="24"/>
        </w:rPr>
        <w:t xml:space="preserve"> </w:t>
      </w:r>
      <w:r w:rsidRPr="007C525B">
        <w:rPr>
          <w:sz w:val="24"/>
          <w:szCs w:val="24"/>
        </w:rPr>
        <w:t>O.</w:t>
      </w:r>
      <w:r w:rsidRPr="007C525B">
        <w:rPr>
          <w:spacing w:val="-7"/>
          <w:sz w:val="24"/>
          <w:szCs w:val="24"/>
        </w:rPr>
        <w:t xml:space="preserve"> </w:t>
      </w:r>
      <w:r w:rsidRPr="007C525B">
        <w:rPr>
          <w:sz w:val="24"/>
          <w:szCs w:val="24"/>
        </w:rPr>
        <w:t>(2015). Dividend pay-out policy and firm financial performance: evidence from Nigerian listed non-financial firms. International Journal of Economics, Commerce and Management, 3(4), 1-12.</w:t>
      </w:r>
    </w:p>
    <w:p w14:paraId="75335DDE" w14:textId="77777777" w:rsidR="00EB5477" w:rsidRPr="007C525B" w:rsidRDefault="00EB5477" w:rsidP="00EB5477">
      <w:pPr>
        <w:spacing w:before="1"/>
        <w:ind w:left="1100" w:hanging="721"/>
        <w:jc w:val="both"/>
        <w:rPr>
          <w:sz w:val="24"/>
          <w:szCs w:val="24"/>
        </w:rPr>
      </w:pPr>
      <w:r w:rsidRPr="007C525B">
        <w:rPr>
          <w:sz w:val="24"/>
          <w:szCs w:val="24"/>
        </w:rPr>
        <w:t xml:space="preserve">Kamar, P. (2019). The effect of dividend policy on the stock returns of Non-Islamic Banking institutions in Indonesia. An Empirical Investigation, </w:t>
      </w:r>
      <w:r w:rsidRPr="007C525B">
        <w:rPr>
          <w:i/>
          <w:sz w:val="24"/>
          <w:szCs w:val="24"/>
        </w:rPr>
        <w:t>Journal of Finance</w:t>
      </w:r>
      <w:r w:rsidRPr="007C525B">
        <w:rPr>
          <w:sz w:val="24"/>
          <w:szCs w:val="24"/>
        </w:rPr>
        <w:t>, 2, 128-287.</w:t>
      </w:r>
    </w:p>
    <w:p w14:paraId="4EA50AA1" w14:textId="77777777" w:rsidR="00EB5477" w:rsidRPr="007C525B" w:rsidRDefault="00EB5477" w:rsidP="00EB5477">
      <w:pPr>
        <w:ind w:left="1100" w:right="1" w:hanging="721"/>
        <w:jc w:val="both"/>
        <w:rPr>
          <w:i/>
          <w:sz w:val="24"/>
          <w:szCs w:val="24"/>
        </w:rPr>
      </w:pPr>
      <w:r w:rsidRPr="007C525B">
        <w:rPr>
          <w:sz w:val="24"/>
          <w:szCs w:val="24"/>
        </w:rPr>
        <w:t>Kamau, C. (2019). The effect of dividend announcements on quoted companies’</w:t>
      </w:r>
      <w:r w:rsidRPr="007C525B">
        <w:rPr>
          <w:spacing w:val="-26"/>
          <w:sz w:val="24"/>
          <w:szCs w:val="24"/>
        </w:rPr>
        <w:t xml:space="preserve"> </w:t>
      </w:r>
      <w:r w:rsidRPr="007C525B">
        <w:rPr>
          <w:sz w:val="24"/>
          <w:szCs w:val="24"/>
        </w:rPr>
        <w:t xml:space="preserve">financial performance at the NSE. </w:t>
      </w:r>
      <w:r w:rsidRPr="007C525B">
        <w:rPr>
          <w:i/>
          <w:sz w:val="24"/>
          <w:szCs w:val="24"/>
        </w:rPr>
        <w:t>Unpublished MBA Thesis of the University of</w:t>
      </w:r>
      <w:r w:rsidRPr="007C525B">
        <w:rPr>
          <w:i/>
          <w:spacing w:val="-4"/>
          <w:sz w:val="24"/>
          <w:szCs w:val="24"/>
        </w:rPr>
        <w:t xml:space="preserve"> </w:t>
      </w:r>
      <w:r w:rsidRPr="007C525B">
        <w:rPr>
          <w:i/>
          <w:sz w:val="24"/>
          <w:szCs w:val="24"/>
        </w:rPr>
        <w:t>Nairobi.</w:t>
      </w:r>
    </w:p>
    <w:p w14:paraId="2C959B6E" w14:textId="77777777" w:rsidR="00EB5477" w:rsidRPr="007C525B" w:rsidRDefault="00EB5477" w:rsidP="00EB5477">
      <w:pPr>
        <w:ind w:left="1100" w:hanging="721"/>
        <w:jc w:val="both"/>
        <w:rPr>
          <w:sz w:val="24"/>
          <w:szCs w:val="24"/>
        </w:rPr>
      </w:pPr>
      <w:r w:rsidRPr="007C525B">
        <w:rPr>
          <w:sz w:val="24"/>
          <w:szCs w:val="24"/>
        </w:rPr>
        <w:t xml:space="preserve">Kashyap, A., Rajan, R. and Stein, J. (2002), Banks as Providers of Liquidity: An Explanation for the Co-Existence of Lending and Deposit -Taking, </w:t>
      </w:r>
      <w:r w:rsidRPr="007C525B">
        <w:rPr>
          <w:i/>
          <w:sz w:val="24"/>
          <w:szCs w:val="24"/>
        </w:rPr>
        <w:t xml:space="preserve">Journal of Finance </w:t>
      </w:r>
      <w:r w:rsidRPr="007C525B">
        <w:rPr>
          <w:sz w:val="24"/>
          <w:szCs w:val="24"/>
        </w:rPr>
        <w:t>, Vol. 57, No. 1 , pp : 33 - 73.</w:t>
      </w:r>
    </w:p>
    <w:p w14:paraId="027895BE" w14:textId="77777777" w:rsidR="00EB5477" w:rsidRPr="007C525B" w:rsidRDefault="00EB5477" w:rsidP="00EB5477">
      <w:pPr>
        <w:ind w:left="1100" w:right="3" w:hanging="721"/>
        <w:jc w:val="both"/>
        <w:rPr>
          <w:sz w:val="24"/>
          <w:szCs w:val="24"/>
        </w:rPr>
      </w:pPr>
      <w:r w:rsidRPr="007C525B">
        <w:rPr>
          <w:sz w:val="24"/>
          <w:szCs w:val="24"/>
        </w:rPr>
        <w:t>Kehinde, J. S. &amp; Abiola, J. O. (2001). Foundation of Financial Management, Life Spring House publisher Agege, Lagos (Nigeria).</w:t>
      </w:r>
    </w:p>
    <w:p w14:paraId="67155823" w14:textId="77777777" w:rsidR="00EB5477" w:rsidRPr="007C525B" w:rsidRDefault="00EB5477" w:rsidP="00EB5477">
      <w:pPr>
        <w:ind w:left="1100" w:hanging="666"/>
        <w:jc w:val="both"/>
        <w:rPr>
          <w:sz w:val="24"/>
          <w:szCs w:val="24"/>
        </w:rPr>
      </w:pPr>
      <w:r w:rsidRPr="007C525B">
        <w:rPr>
          <w:sz w:val="24"/>
          <w:szCs w:val="24"/>
        </w:rPr>
        <w:t>Kibet,</w:t>
      </w:r>
      <w:r w:rsidRPr="007C525B">
        <w:rPr>
          <w:spacing w:val="-9"/>
          <w:sz w:val="24"/>
          <w:szCs w:val="24"/>
        </w:rPr>
        <w:t xml:space="preserve"> </w:t>
      </w:r>
      <w:r w:rsidRPr="007C525B">
        <w:rPr>
          <w:sz w:val="24"/>
          <w:szCs w:val="24"/>
        </w:rPr>
        <w:t>W.</w:t>
      </w:r>
      <w:r w:rsidRPr="007C525B">
        <w:rPr>
          <w:spacing w:val="-2"/>
          <w:sz w:val="24"/>
          <w:szCs w:val="24"/>
        </w:rPr>
        <w:t xml:space="preserve"> </w:t>
      </w:r>
      <w:r w:rsidRPr="007C525B">
        <w:rPr>
          <w:sz w:val="24"/>
          <w:szCs w:val="24"/>
        </w:rPr>
        <w:t>T.,</w:t>
      </w:r>
      <w:r w:rsidRPr="007C525B">
        <w:rPr>
          <w:spacing w:val="-6"/>
          <w:sz w:val="24"/>
          <w:szCs w:val="24"/>
        </w:rPr>
        <w:t xml:space="preserve"> </w:t>
      </w:r>
      <w:r w:rsidRPr="007C525B">
        <w:rPr>
          <w:sz w:val="24"/>
          <w:szCs w:val="24"/>
        </w:rPr>
        <w:t>Jagongo,</w:t>
      </w:r>
      <w:r w:rsidRPr="007C525B">
        <w:rPr>
          <w:spacing w:val="-5"/>
          <w:sz w:val="24"/>
          <w:szCs w:val="24"/>
        </w:rPr>
        <w:t xml:space="preserve"> </w:t>
      </w:r>
      <w:r w:rsidRPr="007C525B">
        <w:rPr>
          <w:sz w:val="24"/>
          <w:szCs w:val="24"/>
        </w:rPr>
        <w:t>A.</w:t>
      </w:r>
      <w:r w:rsidRPr="007C525B">
        <w:rPr>
          <w:spacing w:val="-5"/>
          <w:sz w:val="24"/>
          <w:szCs w:val="24"/>
        </w:rPr>
        <w:t xml:space="preserve"> </w:t>
      </w:r>
      <w:r w:rsidRPr="007C525B">
        <w:rPr>
          <w:sz w:val="24"/>
          <w:szCs w:val="24"/>
        </w:rPr>
        <w:t>O.</w:t>
      </w:r>
      <w:r w:rsidRPr="007C525B">
        <w:rPr>
          <w:spacing w:val="-3"/>
          <w:sz w:val="24"/>
          <w:szCs w:val="24"/>
        </w:rPr>
        <w:t xml:space="preserve"> </w:t>
      </w:r>
      <w:r w:rsidRPr="007C525B">
        <w:rPr>
          <w:sz w:val="24"/>
          <w:szCs w:val="24"/>
        </w:rPr>
        <w:t>&amp;</w:t>
      </w:r>
      <w:r w:rsidRPr="007C525B">
        <w:rPr>
          <w:spacing w:val="-4"/>
          <w:sz w:val="24"/>
          <w:szCs w:val="24"/>
        </w:rPr>
        <w:t xml:space="preserve"> </w:t>
      </w:r>
      <w:r w:rsidRPr="007C525B">
        <w:rPr>
          <w:sz w:val="24"/>
          <w:szCs w:val="24"/>
        </w:rPr>
        <w:t>Ndede,</w:t>
      </w:r>
      <w:r w:rsidRPr="007C525B">
        <w:rPr>
          <w:spacing w:val="-5"/>
          <w:sz w:val="24"/>
          <w:szCs w:val="24"/>
        </w:rPr>
        <w:t xml:space="preserve"> </w:t>
      </w:r>
      <w:r w:rsidRPr="007C525B">
        <w:rPr>
          <w:sz w:val="24"/>
          <w:szCs w:val="24"/>
        </w:rPr>
        <w:t>F.W.</w:t>
      </w:r>
      <w:r w:rsidRPr="007C525B">
        <w:rPr>
          <w:spacing w:val="-3"/>
          <w:sz w:val="24"/>
          <w:szCs w:val="24"/>
        </w:rPr>
        <w:t xml:space="preserve"> </w:t>
      </w:r>
      <w:r w:rsidRPr="007C525B">
        <w:rPr>
          <w:sz w:val="24"/>
          <w:szCs w:val="24"/>
        </w:rPr>
        <w:t>S.</w:t>
      </w:r>
      <w:r w:rsidRPr="007C525B">
        <w:rPr>
          <w:spacing w:val="-6"/>
          <w:sz w:val="24"/>
          <w:szCs w:val="24"/>
        </w:rPr>
        <w:t xml:space="preserve"> </w:t>
      </w:r>
      <w:r w:rsidRPr="007C525B">
        <w:rPr>
          <w:sz w:val="24"/>
          <w:szCs w:val="24"/>
        </w:rPr>
        <w:t>(2016). Effects of dividend policy on share price of firms listed at the Nairobi Securities Exchange, Kenya. Research Journal of Finance and Accounting, 8(7),</w:t>
      </w:r>
      <w:r w:rsidRPr="007C525B">
        <w:rPr>
          <w:spacing w:val="-4"/>
          <w:sz w:val="24"/>
          <w:szCs w:val="24"/>
        </w:rPr>
        <w:t xml:space="preserve"> </w:t>
      </w:r>
      <w:r w:rsidRPr="007C525B">
        <w:rPr>
          <w:sz w:val="24"/>
          <w:szCs w:val="24"/>
        </w:rPr>
        <w:t>220-230.</w:t>
      </w:r>
    </w:p>
    <w:p w14:paraId="38E326D0" w14:textId="77777777" w:rsidR="00EB5477" w:rsidRPr="007C525B" w:rsidRDefault="00EB5477" w:rsidP="00EB5477">
      <w:pPr>
        <w:ind w:left="1100" w:right="1" w:hanging="721"/>
        <w:jc w:val="both"/>
        <w:rPr>
          <w:i/>
          <w:sz w:val="24"/>
          <w:szCs w:val="24"/>
        </w:rPr>
      </w:pPr>
      <w:r w:rsidRPr="007C525B">
        <w:rPr>
          <w:sz w:val="24"/>
          <w:szCs w:val="24"/>
        </w:rPr>
        <w:t xml:space="preserve">Kioko (2017). The influence of dividend policies affect financial performance for companies at the NSE. </w:t>
      </w:r>
      <w:r w:rsidRPr="007C525B">
        <w:rPr>
          <w:i/>
          <w:sz w:val="24"/>
          <w:szCs w:val="24"/>
        </w:rPr>
        <w:t>Unpublished MBA Thesis of the University of Nairobi.</w:t>
      </w:r>
    </w:p>
    <w:p w14:paraId="7D54B9D9" w14:textId="77777777" w:rsidR="00EB5477" w:rsidRPr="007C525B" w:rsidRDefault="00EB5477" w:rsidP="00EB5477">
      <w:pPr>
        <w:ind w:left="1100" w:right="2" w:hanging="721"/>
        <w:jc w:val="both"/>
        <w:rPr>
          <w:sz w:val="24"/>
          <w:szCs w:val="24"/>
        </w:rPr>
      </w:pPr>
      <w:r w:rsidRPr="007C525B">
        <w:rPr>
          <w:sz w:val="24"/>
          <w:szCs w:val="24"/>
        </w:rPr>
        <w:t>Klapper, L. &amp; Love. I. (2002). Corporate governance, investor protection, and performance in emerging markets. Washington, DC. United States: World Bank. Mimeographed document.</w:t>
      </w:r>
    </w:p>
    <w:p w14:paraId="366AB431" w14:textId="77777777" w:rsidR="00EB5477" w:rsidRPr="007C525B" w:rsidRDefault="00EB5477" w:rsidP="00EB5477">
      <w:pPr>
        <w:spacing w:before="1"/>
        <w:ind w:left="1100" w:hanging="721"/>
        <w:jc w:val="both"/>
        <w:rPr>
          <w:sz w:val="24"/>
          <w:szCs w:val="24"/>
        </w:rPr>
      </w:pPr>
      <w:r w:rsidRPr="007C525B">
        <w:rPr>
          <w:sz w:val="24"/>
          <w:szCs w:val="24"/>
        </w:rPr>
        <w:t xml:space="preserve">Knight, M. (2004), </w:t>
      </w:r>
      <w:r w:rsidRPr="007C525B">
        <w:rPr>
          <w:i/>
          <w:sz w:val="24"/>
          <w:szCs w:val="24"/>
        </w:rPr>
        <w:t>Markets and Institutions:</w:t>
      </w:r>
      <w:r w:rsidRPr="007C525B">
        <w:rPr>
          <w:i/>
          <w:spacing w:val="-30"/>
          <w:sz w:val="24"/>
          <w:szCs w:val="24"/>
        </w:rPr>
        <w:t xml:space="preserve"> </w:t>
      </w:r>
      <w:r w:rsidRPr="007C525B">
        <w:rPr>
          <w:i/>
          <w:sz w:val="24"/>
          <w:szCs w:val="24"/>
        </w:rPr>
        <w:t>Managing the Evolving Financial Risk</w:t>
      </w:r>
      <w:r w:rsidRPr="007C525B">
        <w:rPr>
          <w:sz w:val="24"/>
          <w:szCs w:val="24"/>
        </w:rPr>
        <w:t>, Paper presented</w:t>
      </w:r>
      <w:r w:rsidRPr="007C525B">
        <w:rPr>
          <w:spacing w:val="-19"/>
          <w:sz w:val="24"/>
          <w:szCs w:val="24"/>
        </w:rPr>
        <w:t xml:space="preserve"> </w:t>
      </w:r>
      <w:r w:rsidRPr="007C525B">
        <w:rPr>
          <w:sz w:val="24"/>
          <w:szCs w:val="24"/>
        </w:rPr>
        <w:t>in 25th SUERF Colloquium, October 14th, Madrid.</w:t>
      </w:r>
    </w:p>
    <w:p w14:paraId="368F871B" w14:textId="77777777" w:rsidR="00EB5477" w:rsidRPr="007C525B" w:rsidRDefault="00EB5477" w:rsidP="00EB5477">
      <w:pPr>
        <w:ind w:left="1100" w:right="1" w:hanging="721"/>
        <w:jc w:val="both"/>
        <w:rPr>
          <w:sz w:val="24"/>
          <w:szCs w:val="24"/>
        </w:rPr>
      </w:pPr>
      <w:r w:rsidRPr="007C525B">
        <w:rPr>
          <w:sz w:val="24"/>
          <w:szCs w:val="24"/>
        </w:rPr>
        <w:t>Kombo,</w:t>
      </w:r>
      <w:r w:rsidRPr="007C525B">
        <w:rPr>
          <w:spacing w:val="-9"/>
          <w:sz w:val="24"/>
          <w:szCs w:val="24"/>
        </w:rPr>
        <w:t xml:space="preserve"> </w:t>
      </w:r>
      <w:r w:rsidRPr="007C525B">
        <w:rPr>
          <w:sz w:val="24"/>
          <w:szCs w:val="24"/>
        </w:rPr>
        <w:t>D.</w:t>
      </w:r>
      <w:r w:rsidRPr="007C525B">
        <w:rPr>
          <w:spacing w:val="-9"/>
          <w:sz w:val="24"/>
          <w:szCs w:val="24"/>
        </w:rPr>
        <w:t xml:space="preserve"> </w:t>
      </w:r>
      <w:r w:rsidRPr="007C525B">
        <w:rPr>
          <w:sz w:val="24"/>
          <w:szCs w:val="24"/>
        </w:rPr>
        <w:t>K.,</w:t>
      </w:r>
      <w:r w:rsidRPr="007C525B">
        <w:rPr>
          <w:spacing w:val="-11"/>
          <w:sz w:val="24"/>
          <w:szCs w:val="24"/>
        </w:rPr>
        <w:t xml:space="preserve"> </w:t>
      </w:r>
      <w:r w:rsidRPr="007C525B">
        <w:rPr>
          <w:sz w:val="24"/>
          <w:szCs w:val="24"/>
        </w:rPr>
        <w:t>&amp;</w:t>
      </w:r>
      <w:r w:rsidRPr="007C525B">
        <w:rPr>
          <w:spacing w:val="-7"/>
          <w:sz w:val="24"/>
          <w:szCs w:val="24"/>
        </w:rPr>
        <w:t xml:space="preserve"> </w:t>
      </w:r>
      <w:r w:rsidRPr="007C525B">
        <w:rPr>
          <w:sz w:val="24"/>
          <w:szCs w:val="24"/>
        </w:rPr>
        <w:t>Trump,</w:t>
      </w:r>
      <w:r w:rsidRPr="007C525B">
        <w:rPr>
          <w:spacing w:val="-11"/>
          <w:sz w:val="24"/>
          <w:szCs w:val="24"/>
        </w:rPr>
        <w:t xml:space="preserve"> </w:t>
      </w:r>
      <w:r w:rsidRPr="007C525B">
        <w:rPr>
          <w:sz w:val="24"/>
          <w:szCs w:val="24"/>
        </w:rPr>
        <w:t>D.</w:t>
      </w:r>
      <w:r w:rsidRPr="007C525B">
        <w:rPr>
          <w:spacing w:val="-9"/>
          <w:sz w:val="24"/>
          <w:szCs w:val="24"/>
        </w:rPr>
        <w:t xml:space="preserve"> </w:t>
      </w:r>
      <w:r w:rsidRPr="007C525B">
        <w:rPr>
          <w:sz w:val="24"/>
          <w:szCs w:val="24"/>
        </w:rPr>
        <w:t>L.</w:t>
      </w:r>
      <w:r w:rsidRPr="007C525B">
        <w:rPr>
          <w:spacing w:val="-8"/>
          <w:sz w:val="24"/>
          <w:szCs w:val="24"/>
        </w:rPr>
        <w:t xml:space="preserve"> </w:t>
      </w:r>
      <w:r w:rsidRPr="007C525B">
        <w:rPr>
          <w:sz w:val="24"/>
          <w:szCs w:val="24"/>
        </w:rPr>
        <w:t>A.</w:t>
      </w:r>
      <w:r w:rsidRPr="007C525B">
        <w:rPr>
          <w:spacing w:val="-9"/>
          <w:sz w:val="24"/>
          <w:szCs w:val="24"/>
        </w:rPr>
        <w:t xml:space="preserve"> </w:t>
      </w:r>
      <w:r w:rsidRPr="007C525B">
        <w:rPr>
          <w:sz w:val="24"/>
          <w:szCs w:val="24"/>
        </w:rPr>
        <w:t>(2006).</w:t>
      </w:r>
      <w:r w:rsidRPr="007C525B">
        <w:rPr>
          <w:spacing w:val="-6"/>
          <w:sz w:val="24"/>
          <w:szCs w:val="24"/>
        </w:rPr>
        <w:t xml:space="preserve"> </w:t>
      </w:r>
      <w:r w:rsidRPr="007C525B">
        <w:rPr>
          <w:i/>
          <w:sz w:val="24"/>
          <w:szCs w:val="24"/>
        </w:rPr>
        <w:t>Proposal</w:t>
      </w:r>
      <w:r w:rsidRPr="007C525B">
        <w:rPr>
          <w:i/>
          <w:spacing w:val="-7"/>
          <w:sz w:val="24"/>
          <w:szCs w:val="24"/>
        </w:rPr>
        <w:t xml:space="preserve"> </w:t>
      </w:r>
      <w:r w:rsidRPr="007C525B">
        <w:rPr>
          <w:i/>
          <w:sz w:val="24"/>
          <w:szCs w:val="24"/>
        </w:rPr>
        <w:t xml:space="preserve">and Thesis Writing.( </w:t>
      </w:r>
      <w:r w:rsidRPr="007C525B">
        <w:rPr>
          <w:sz w:val="24"/>
          <w:szCs w:val="24"/>
        </w:rPr>
        <w:t>1). Nairobi: Paulines Publications</w:t>
      </w:r>
      <w:r w:rsidRPr="007C525B">
        <w:rPr>
          <w:spacing w:val="-1"/>
          <w:sz w:val="24"/>
          <w:szCs w:val="24"/>
        </w:rPr>
        <w:t xml:space="preserve"> </w:t>
      </w:r>
      <w:r w:rsidRPr="007C525B">
        <w:rPr>
          <w:sz w:val="24"/>
          <w:szCs w:val="24"/>
        </w:rPr>
        <w:t>Africa.</w:t>
      </w:r>
    </w:p>
    <w:p w14:paraId="3B3EDF57" w14:textId="49CACADE" w:rsidR="00EB5477" w:rsidRPr="007C525B" w:rsidRDefault="00EB5477" w:rsidP="00EB5477">
      <w:pPr>
        <w:ind w:left="1100" w:right="1" w:hanging="721"/>
        <w:jc w:val="both"/>
        <w:rPr>
          <w:sz w:val="24"/>
          <w:szCs w:val="24"/>
        </w:rPr>
      </w:pPr>
      <w:r w:rsidRPr="007C525B">
        <w:rPr>
          <w:sz w:val="24"/>
          <w:szCs w:val="24"/>
        </w:rPr>
        <w:t>Kroszner, R. and Strahan, P. E. (1999), What Drives Deregulation? Economics and Politics of the Relaxation</w:t>
      </w:r>
      <w:r w:rsidRPr="007C525B">
        <w:rPr>
          <w:spacing w:val="-14"/>
          <w:sz w:val="24"/>
          <w:szCs w:val="24"/>
        </w:rPr>
        <w:t xml:space="preserve"> </w:t>
      </w:r>
      <w:r w:rsidRPr="007C525B">
        <w:rPr>
          <w:sz w:val="24"/>
          <w:szCs w:val="24"/>
        </w:rPr>
        <w:t>of</w:t>
      </w:r>
      <w:r w:rsidRPr="007C525B">
        <w:rPr>
          <w:spacing w:val="-12"/>
          <w:sz w:val="24"/>
          <w:szCs w:val="24"/>
        </w:rPr>
        <w:t xml:space="preserve"> </w:t>
      </w:r>
      <w:r w:rsidRPr="007C525B">
        <w:rPr>
          <w:sz w:val="24"/>
          <w:szCs w:val="24"/>
        </w:rPr>
        <w:t>Bank</w:t>
      </w:r>
      <w:r w:rsidRPr="007C525B">
        <w:rPr>
          <w:spacing w:val="-13"/>
          <w:sz w:val="24"/>
          <w:szCs w:val="24"/>
        </w:rPr>
        <w:t xml:space="preserve"> </w:t>
      </w:r>
      <w:r w:rsidRPr="007C525B">
        <w:rPr>
          <w:sz w:val="24"/>
          <w:szCs w:val="24"/>
        </w:rPr>
        <w:t>Branching</w:t>
      </w:r>
      <w:r w:rsidRPr="007C525B">
        <w:rPr>
          <w:spacing w:val="-14"/>
          <w:sz w:val="24"/>
          <w:szCs w:val="24"/>
        </w:rPr>
        <w:t xml:space="preserve"> </w:t>
      </w:r>
      <w:r w:rsidRPr="007C525B">
        <w:rPr>
          <w:sz w:val="24"/>
          <w:szCs w:val="24"/>
        </w:rPr>
        <w:t>Restrictions,</w:t>
      </w:r>
      <w:r w:rsidRPr="007C525B">
        <w:rPr>
          <w:spacing w:val="-10"/>
          <w:sz w:val="24"/>
          <w:szCs w:val="24"/>
        </w:rPr>
        <w:t xml:space="preserve"> </w:t>
      </w:r>
      <w:r w:rsidRPr="007C525B">
        <w:rPr>
          <w:i/>
          <w:sz w:val="24"/>
          <w:szCs w:val="24"/>
        </w:rPr>
        <w:t>The Quarterly Journal of Economics</w:t>
      </w:r>
      <w:r w:rsidRPr="007C525B">
        <w:rPr>
          <w:sz w:val="24"/>
          <w:szCs w:val="24"/>
        </w:rPr>
        <w:t>, 114(4), pp: 1437-67. 45.</w:t>
      </w:r>
    </w:p>
    <w:p w14:paraId="30810F27" w14:textId="77777777" w:rsidR="007C525B" w:rsidRPr="007C525B" w:rsidRDefault="007C525B" w:rsidP="007C525B">
      <w:pPr>
        <w:spacing w:before="1"/>
        <w:ind w:left="964" w:right="154" w:hanging="721"/>
        <w:jc w:val="both"/>
        <w:rPr>
          <w:sz w:val="24"/>
          <w:szCs w:val="24"/>
        </w:rPr>
      </w:pPr>
      <w:r w:rsidRPr="007C525B">
        <w:rPr>
          <w:sz w:val="24"/>
          <w:szCs w:val="24"/>
        </w:rPr>
        <w:t xml:space="preserve">Kumar, R. (2009). </w:t>
      </w:r>
      <w:r w:rsidRPr="007C525B">
        <w:rPr>
          <w:i/>
          <w:sz w:val="24"/>
          <w:szCs w:val="24"/>
        </w:rPr>
        <w:t>Research Methodology: A Step-by- Step Guide for Beginners</w:t>
      </w:r>
      <w:r w:rsidRPr="007C525B">
        <w:rPr>
          <w:sz w:val="24"/>
          <w:szCs w:val="24"/>
        </w:rPr>
        <w:t>. London: Sage</w:t>
      </w:r>
    </w:p>
    <w:p w14:paraId="622F19C4" w14:textId="77777777" w:rsidR="007C525B" w:rsidRPr="007C525B" w:rsidRDefault="007C525B" w:rsidP="007C525B">
      <w:pPr>
        <w:ind w:left="964" w:right="153" w:hanging="721"/>
        <w:jc w:val="both"/>
        <w:rPr>
          <w:sz w:val="24"/>
          <w:szCs w:val="24"/>
        </w:rPr>
      </w:pPr>
      <w:r w:rsidRPr="007C525B">
        <w:rPr>
          <w:sz w:val="24"/>
          <w:szCs w:val="24"/>
        </w:rPr>
        <w:t xml:space="preserve">Lamont, O. A. &amp; Thaler, R. H. (2017), Can the Market Add and Subtract? Mispricing in Tech Stock Carve-outs, </w:t>
      </w:r>
      <w:r w:rsidRPr="007C525B">
        <w:rPr>
          <w:i/>
          <w:sz w:val="24"/>
          <w:szCs w:val="24"/>
        </w:rPr>
        <w:t>The Journal of Political Economy</w:t>
      </w:r>
      <w:r w:rsidRPr="007C525B">
        <w:rPr>
          <w:sz w:val="24"/>
          <w:szCs w:val="24"/>
        </w:rPr>
        <w:t>, Vol. 111, No. 2, pp: 227- 268.</w:t>
      </w:r>
    </w:p>
    <w:p w14:paraId="43FC62CC" w14:textId="77777777" w:rsidR="007C525B" w:rsidRPr="007C525B" w:rsidRDefault="007C525B" w:rsidP="007C525B">
      <w:pPr>
        <w:ind w:left="964" w:right="153" w:hanging="721"/>
        <w:jc w:val="both"/>
        <w:rPr>
          <w:sz w:val="24"/>
          <w:szCs w:val="24"/>
        </w:rPr>
      </w:pPr>
      <w:r w:rsidRPr="007C525B">
        <w:rPr>
          <w:sz w:val="24"/>
          <w:szCs w:val="24"/>
        </w:rPr>
        <w:t>Lane, P. R. &amp; Milesi-Ferretti, G. (2005), A Global Perspective on External Positions,</w:t>
      </w:r>
      <w:r w:rsidRPr="007C525B">
        <w:rPr>
          <w:i/>
          <w:sz w:val="24"/>
          <w:szCs w:val="24"/>
        </w:rPr>
        <w:t>CEPR Discussion Paper No</w:t>
      </w:r>
      <w:r w:rsidRPr="007C525B">
        <w:rPr>
          <w:sz w:val="24"/>
          <w:szCs w:val="24"/>
        </w:rPr>
        <w:t>. 5234.</w:t>
      </w:r>
    </w:p>
    <w:p w14:paraId="446709D8" w14:textId="77777777" w:rsidR="007C525B" w:rsidRPr="007C525B" w:rsidRDefault="007C525B" w:rsidP="007C525B">
      <w:pPr>
        <w:ind w:left="964" w:right="155" w:hanging="721"/>
        <w:jc w:val="both"/>
        <w:rPr>
          <w:sz w:val="24"/>
          <w:szCs w:val="24"/>
        </w:rPr>
      </w:pPr>
      <w:r w:rsidRPr="007C525B">
        <w:rPr>
          <w:sz w:val="24"/>
          <w:szCs w:val="24"/>
        </w:rPr>
        <w:t>Leah, M. (2008). Interest rate forecasts, financial markets group, London School of Economics and Political Science, 42(3), 201-231.</w:t>
      </w:r>
    </w:p>
    <w:p w14:paraId="3FF18639" w14:textId="77777777" w:rsidR="007C525B" w:rsidRPr="007C525B" w:rsidRDefault="007C525B" w:rsidP="007C525B">
      <w:pPr>
        <w:spacing w:before="1"/>
        <w:ind w:left="964" w:right="154" w:hanging="721"/>
        <w:jc w:val="both"/>
        <w:rPr>
          <w:sz w:val="24"/>
          <w:szCs w:val="24"/>
        </w:rPr>
      </w:pPr>
      <w:r w:rsidRPr="007C525B">
        <w:rPr>
          <w:sz w:val="24"/>
          <w:szCs w:val="24"/>
        </w:rPr>
        <w:t>Lintner, J. (1956). Distribution of incomes of corporations among dividends, retained earnings and taxes, American Economic Review, 46(2), 97– 113.</w:t>
      </w:r>
    </w:p>
    <w:p w14:paraId="2FB721FC" w14:textId="77777777" w:rsidR="007C525B" w:rsidRPr="007C525B" w:rsidRDefault="007C525B" w:rsidP="007C525B">
      <w:pPr>
        <w:ind w:left="964" w:right="155" w:hanging="721"/>
        <w:jc w:val="both"/>
        <w:rPr>
          <w:sz w:val="24"/>
          <w:szCs w:val="24"/>
        </w:rPr>
      </w:pPr>
      <w:r w:rsidRPr="007C525B">
        <w:rPr>
          <w:sz w:val="24"/>
          <w:szCs w:val="24"/>
        </w:rPr>
        <w:t xml:space="preserve">Litzenberger, R. H. &amp; Ramaswamy, K. (1980). The influence of personal taxes and dividends on capital asset prices: Theory and empirical evidence. </w:t>
      </w:r>
      <w:r w:rsidRPr="007C525B">
        <w:rPr>
          <w:i/>
          <w:sz w:val="24"/>
          <w:szCs w:val="24"/>
        </w:rPr>
        <w:t xml:space="preserve">Journal of Financial Economics, </w:t>
      </w:r>
      <w:r w:rsidRPr="007C525B">
        <w:rPr>
          <w:sz w:val="24"/>
          <w:szCs w:val="24"/>
        </w:rPr>
        <w:t>8(3), 145-174.</w:t>
      </w:r>
    </w:p>
    <w:p w14:paraId="1F9F7BE4" w14:textId="77777777" w:rsidR="007C525B" w:rsidRPr="007C525B" w:rsidRDefault="007C525B" w:rsidP="007C525B">
      <w:pPr>
        <w:ind w:left="964" w:right="153" w:hanging="721"/>
        <w:jc w:val="both"/>
        <w:rPr>
          <w:sz w:val="24"/>
          <w:szCs w:val="24"/>
        </w:rPr>
      </w:pPr>
      <w:r w:rsidRPr="007C525B">
        <w:rPr>
          <w:sz w:val="24"/>
          <w:szCs w:val="24"/>
        </w:rPr>
        <w:t>Litzenberger, R. H., &amp;Ramaswamy, K. (1979). The Effects of Personal Taxes and Dividends on Capital Asset Prices: Theory and Empirical Evidence,</w:t>
      </w:r>
      <w:r w:rsidRPr="007C525B">
        <w:rPr>
          <w:spacing w:val="-9"/>
          <w:sz w:val="24"/>
          <w:szCs w:val="24"/>
        </w:rPr>
        <w:t xml:space="preserve"> </w:t>
      </w:r>
      <w:r w:rsidRPr="007C525B">
        <w:rPr>
          <w:i/>
          <w:sz w:val="24"/>
          <w:szCs w:val="24"/>
        </w:rPr>
        <w:t>Journal</w:t>
      </w:r>
      <w:r w:rsidRPr="007C525B">
        <w:rPr>
          <w:i/>
          <w:spacing w:val="-8"/>
          <w:sz w:val="24"/>
          <w:szCs w:val="24"/>
        </w:rPr>
        <w:t xml:space="preserve"> </w:t>
      </w:r>
      <w:r w:rsidRPr="007C525B">
        <w:rPr>
          <w:i/>
          <w:sz w:val="24"/>
          <w:szCs w:val="24"/>
        </w:rPr>
        <w:t>of</w:t>
      </w:r>
      <w:r w:rsidRPr="007C525B">
        <w:rPr>
          <w:i/>
          <w:spacing w:val="-8"/>
          <w:sz w:val="24"/>
          <w:szCs w:val="24"/>
        </w:rPr>
        <w:t xml:space="preserve"> </w:t>
      </w:r>
      <w:r w:rsidRPr="007C525B">
        <w:rPr>
          <w:i/>
          <w:sz w:val="24"/>
          <w:szCs w:val="24"/>
        </w:rPr>
        <w:t>Financial</w:t>
      </w:r>
      <w:r w:rsidRPr="007C525B">
        <w:rPr>
          <w:i/>
          <w:spacing w:val="-8"/>
          <w:sz w:val="24"/>
          <w:szCs w:val="24"/>
        </w:rPr>
        <w:t xml:space="preserve"> </w:t>
      </w:r>
      <w:r w:rsidRPr="007C525B">
        <w:rPr>
          <w:i/>
          <w:sz w:val="24"/>
          <w:szCs w:val="24"/>
        </w:rPr>
        <w:t>Economics</w:t>
      </w:r>
      <w:r w:rsidRPr="007C525B">
        <w:rPr>
          <w:sz w:val="24"/>
          <w:szCs w:val="24"/>
        </w:rPr>
        <w:t>,</w:t>
      </w:r>
      <w:r w:rsidRPr="007C525B">
        <w:rPr>
          <w:spacing w:val="-9"/>
          <w:sz w:val="24"/>
          <w:szCs w:val="24"/>
        </w:rPr>
        <w:t xml:space="preserve"> </w:t>
      </w:r>
      <w:r w:rsidRPr="007C525B">
        <w:rPr>
          <w:sz w:val="24"/>
          <w:szCs w:val="24"/>
        </w:rPr>
        <w:t>163</w:t>
      </w:r>
    </w:p>
    <w:p w14:paraId="4460AE46" w14:textId="77777777" w:rsidR="007C525B" w:rsidRPr="007C525B" w:rsidRDefault="007C525B" w:rsidP="007C525B">
      <w:pPr>
        <w:spacing w:line="253" w:lineRule="exact"/>
        <w:ind w:left="964"/>
        <w:jc w:val="both"/>
        <w:rPr>
          <w:sz w:val="24"/>
          <w:szCs w:val="24"/>
        </w:rPr>
      </w:pPr>
      <w:r w:rsidRPr="007C525B">
        <w:rPr>
          <w:sz w:val="24"/>
          <w:szCs w:val="24"/>
        </w:rPr>
        <w:t>– 195.</w:t>
      </w:r>
    </w:p>
    <w:p w14:paraId="4C0A821B" w14:textId="77777777" w:rsidR="007C525B" w:rsidRPr="007C525B" w:rsidRDefault="007C525B" w:rsidP="007C525B">
      <w:pPr>
        <w:ind w:left="964" w:right="155" w:hanging="721"/>
        <w:jc w:val="both"/>
        <w:rPr>
          <w:sz w:val="24"/>
          <w:szCs w:val="24"/>
        </w:rPr>
      </w:pPr>
      <w:r w:rsidRPr="007C525B">
        <w:rPr>
          <w:sz w:val="24"/>
          <w:szCs w:val="24"/>
        </w:rPr>
        <w:t xml:space="preserve">Lloyd, J. F. (2016), </w:t>
      </w:r>
      <w:r w:rsidRPr="007C525B">
        <w:rPr>
          <w:i/>
          <w:sz w:val="24"/>
          <w:szCs w:val="24"/>
        </w:rPr>
        <w:t>Fundamentals of Financial Management, Concise Third Edition</w:t>
      </w:r>
      <w:r w:rsidRPr="007C525B">
        <w:rPr>
          <w:sz w:val="24"/>
          <w:szCs w:val="24"/>
        </w:rPr>
        <w:t>, Harcourt Publishers.</w:t>
      </w:r>
    </w:p>
    <w:p w14:paraId="4A2E1502" w14:textId="77777777" w:rsidR="007C525B" w:rsidRPr="007C525B" w:rsidRDefault="007C525B" w:rsidP="007C525B">
      <w:pPr>
        <w:ind w:left="964" w:right="153" w:hanging="721"/>
        <w:jc w:val="both"/>
        <w:rPr>
          <w:sz w:val="24"/>
          <w:szCs w:val="24"/>
        </w:rPr>
      </w:pPr>
      <w:r w:rsidRPr="007C525B">
        <w:rPr>
          <w:sz w:val="24"/>
          <w:szCs w:val="24"/>
        </w:rPr>
        <w:t xml:space="preserve">Loof, W., &amp; Heshmat, M., (2018). Do persistent large cash reserves hinder performance? </w:t>
      </w:r>
      <w:r w:rsidRPr="007C525B">
        <w:rPr>
          <w:i/>
          <w:sz w:val="24"/>
          <w:szCs w:val="24"/>
        </w:rPr>
        <w:t>Journal of Financial</w:t>
      </w:r>
      <w:r w:rsidRPr="007C525B">
        <w:rPr>
          <w:i/>
          <w:spacing w:val="-10"/>
          <w:sz w:val="24"/>
          <w:szCs w:val="24"/>
        </w:rPr>
        <w:t xml:space="preserve"> </w:t>
      </w:r>
      <w:r w:rsidRPr="007C525B">
        <w:rPr>
          <w:i/>
          <w:sz w:val="24"/>
          <w:szCs w:val="24"/>
        </w:rPr>
        <w:t>and</w:t>
      </w:r>
      <w:r w:rsidRPr="007C525B">
        <w:rPr>
          <w:i/>
          <w:spacing w:val="-11"/>
          <w:sz w:val="24"/>
          <w:szCs w:val="24"/>
        </w:rPr>
        <w:t xml:space="preserve"> </w:t>
      </w:r>
      <w:r w:rsidRPr="007C525B">
        <w:rPr>
          <w:i/>
          <w:sz w:val="24"/>
          <w:szCs w:val="24"/>
        </w:rPr>
        <w:t>Quantitative</w:t>
      </w:r>
      <w:r w:rsidRPr="007C525B">
        <w:rPr>
          <w:i/>
          <w:spacing w:val="-13"/>
          <w:sz w:val="24"/>
          <w:szCs w:val="24"/>
        </w:rPr>
        <w:t xml:space="preserve"> </w:t>
      </w:r>
      <w:r w:rsidRPr="007C525B">
        <w:rPr>
          <w:i/>
          <w:sz w:val="24"/>
          <w:szCs w:val="24"/>
        </w:rPr>
        <w:t>Analysis</w:t>
      </w:r>
      <w:r w:rsidRPr="007C525B">
        <w:rPr>
          <w:sz w:val="24"/>
          <w:szCs w:val="24"/>
        </w:rPr>
        <w:t>,</w:t>
      </w:r>
      <w:r w:rsidRPr="007C525B">
        <w:rPr>
          <w:spacing w:val="-13"/>
          <w:sz w:val="24"/>
          <w:szCs w:val="24"/>
        </w:rPr>
        <w:t xml:space="preserve"> </w:t>
      </w:r>
      <w:r w:rsidRPr="007C525B">
        <w:rPr>
          <w:sz w:val="24"/>
          <w:szCs w:val="24"/>
        </w:rPr>
        <w:t>3(8),</w:t>
      </w:r>
      <w:r w:rsidRPr="007C525B">
        <w:rPr>
          <w:spacing w:val="-11"/>
          <w:sz w:val="24"/>
          <w:szCs w:val="24"/>
        </w:rPr>
        <w:t xml:space="preserve"> </w:t>
      </w:r>
      <w:r w:rsidRPr="007C525B">
        <w:rPr>
          <w:sz w:val="24"/>
          <w:szCs w:val="24"/>
        </w:rPr>
        <w:t>275–</w:t>
      </w:r>
    </w:p>
    <w:p w14:paraId="64E8C757" w14:textId="77777777" w:rsidR="007C525B" w:rsidRPr="007C525B" w:rsidRDefault="007C525B" w:rsidP="007C525B">
      <w:pPr>
        <w:spacing w:before="1" w:line="252" w:lineRule="exact"/>
        <w:ind w:left="964"/>
        <w:rPr>
          <w:sz w:val="24"/>
          <w:szCs w:val="24"/>
        </w:rPr>
      </w:pPr>
      <w:r w:rsidRPr="007C525B">
        <w:rPr>
          <w:sz w:val="24"/>
          <w:szCs w:val="24"/>
        </w:rPr>
        <w:lastRenderedPageBreak/>
        <w:t>294.</w:t>
      </w:r>
    </w:p>
    <w:p w14:paraId="513437BC" w14:textId="77777777" w:rsidR="007C525B" w:rsidRPr="007C525B" w:rsidRDefault="007C525B" w:rsidP="007C525B">
      <w:pPr>
        <w:ind w:left="964" w:right="155" w:hanging="721"/>
        <w:jc w:val="both"/>
        <w:rPr>
          <w:sz w:val="24"/>
          <w:szCs w:val="24"/>
        </w:rPr>
      </w:pPr>
      <w:r w:rsidRPr="007C525B">
        <w:rPr>
          <w:sz w:val="24"/>
          <w:szCs w:val="24"/>
        </w:rPr>
        <w:t xml:space="preserve">Lumpkin, G. and Dess, G. (1999). Linking to Dimensions of Entrepreneurial orientation of firm performance. The moderating role of environment, firm age and industry life cycle; </w:t>
      </w:r>
      <w:r w:rsidRPr="007C525B">
        <w:rPr>
          <w:i/>
          <w:sz w:val="24"/>
          <w:szCs w:val="24"/>
        </w:rPr>
        <w:t>Journal of Business Venturing</w:t>
      </w:r>
      <w:r w:rsidRPr="007C525B">
        <w:rPr>
          <w:sz w:val="24"/>
          <w:szCs w:val="24"/>
        </w:rPr>
        <w:t>.</w:t>
      </w:r>
    </w:p>
    <w:p w14:paraId="5B4B0D0C" w14:textId="77777777" w:rsidR="007C525B" w:rsidRPr="007C525B" w:rsidRDefault="007C525B" w:rsidP="007C525B">
      <w:pPr>
        <w:ind w:left="964" w:right="154" w:hanging="721"/>
        <w:jc w:val="both"/>
        <w:rPr>
          <w:sz w:val="24"/>
          <w:szCs w:val="24"/>
        </w:rPr>
      </w:pPr>
      <w:r w:rsidRPr="007C525B">
        <w:rPr>
          <w:sz w:val="24"/>
          <w:szCs w:val="24"/>
        </w:rPr>
        <w:t xml:space="preserve">M. Umer Chapra (2008), The Islamic Vision of Development in the Light of the Maq id alShar ah, Jeddah, Kingdom of Saudi Arabia: </w:t>
      </w:r>
      <w:r w:rsidRPr="007C525B">
        <w:rPr>
          <w:i/>
          <w:sz w:val="24"/>
          <w:szCs w:val="24"/>
        </w:rPr>
        <w:t xml:space="preserve">Islamic Research and Training Institute, Islamic Development Bank. </w:t>
      </w:r>
      <w:r w:rsidRPr="007C525B">
        <w:rPr>
          <w:sz w:val="24"/>
          <w:szCs w:val="24"/>
        </w:rPr>
        <w:t>79 pages.</w:t>
      </w:r>
    </w:p>
    <w:p w14:paraId="694078D2" w14:textId="77777777" w:rsidR="007C525B" w:rsidRPr="007C525B" w:rsidRDefault="007C525B" w:rsidP="007C525B">
      <w:pPr>
        <w:ind w:left="964" w:right="156" w:hanging="721"/>
        <w:jc w:val="both"/>
        <w:rPr>
          <w:sz w:val="24"/>
          <w:szCs w:val="24"/>
        </w:rPr>
      </w:pPr>
      <w:r w:rsidRPr="007C525B">
        <w:rPr>
          <w:sz w:val="24"/>
          <w:szCs w:val="24"/>
        </w:rPr>
        <w:t xml:space="preserve">Maladjian, C. &amp; El Khoury, R. (2014). Determinants of the dividend policy: An empirical study on the Lebanese listed banks. </w:t>
      </w:r>
      <w:r w:rsidRPr="007C525B">
        <w:rPr>
          <w:i/>
          <w:sz w:val="24"/>
          <w:szCs w:val="24"/>
        </w:rPr>
        <w:t xml:space="preserve">International Journal of Economics &amp; Finance, </w:t>
      </w:r>
      <w:r w:rsidRPr="007C525B">
        <w:rPr>
          <w:sz w:val="24"/>
          <w:szCs w:val="24"/>
        </w:rPr>
        <w:t>4(6), 240- 252.</w:t>
      </w:r>
    </w:p>
    <w:p w14:paraId="69680CF8" w14:textId="72AEC291" w:rsidR="007C525B" w:rsidRPr="007C525B" w:rsidRDefault="007C525B" w:rsidP="007C525B">
      <w:pPr>
        <w:ind w:left="964" w:right="156" w:hanging="721"/>
        <w:jc w:val="both"/>
        <w:rPr>
          <w:sz w:val="24"/>
          <w:szCs w:val="24"/>
        </w:rPr>
      </w:pPr>
      <w:r w:rsidRPr="007C525B">
        <w:rPr>
          <w:sz w:val="24"/>
          <w:szCs w:val="24"/>
        </w:rPr>
        <w:t>Maniagi,</w:t>
      </w:r>
      <w:r w:rsidRPr="007C525B">
        <w:rPr>
          <w:spacing w:val="-6"/>
          <w:sz w:val="24"/>
          <w:szCs w:val="24"/>
        </w:rPr>
        <w:t xml:space="preserve"> </w:t>
      </w:r>
      <w:r w:rsidRPr="007C525B">
        <w:rPr>
          <w:sz w:val="24"/>
          <w:szCs w:val="24"/>
        </w:rPr>
        <w:t>G.</w:t>
      </w:r>
      <w:r w:rsidRPr="007C525B">
        <w:rPr>
          <w:spacing w:val="-9"/>
          <w:sz w:val="24"/>
          <w:szCs w:val="24"/>
        </w:rPr>
        <w:t xml:space="preserve"> </w:t>
      </w:r>
      <w:r w:rsidRPr="007C525B">
        <w:rPr>
          <w:sz w:val="24"/>
          <w:szCs w:val="24"/>
        </w:rPr>
        <w:t>M.,</w:t>
      </w:r>
      <w:r w:rsidRPr="007C525B">
        <w:rPr>
          <w:spacing w:val="-5"/>
          <w:sz w:val="24"/>
          <w:szCs w:val="24"/>
        </w:rPr>
        <w:t xml:space="preserve"> </w:t>
      </w:r>
      <w:r w:rsidRPr="007C525B">
        <w:rPr>
          <w:sz w:val="24"/>
          <w:szCs w:val="24"/>
        </w:rPr>
        <w:t>Denco,</w:t>
      </w:r>
      <w:r w:rsidRPr="007C525B">
        <w:rPr>
          <w:spacing w:val="-8"/>
          <w:sz w:val="24"/>
          <w:szCs w:val="24"/>
        </w:rPr>
        <w:t xml:space="preserve"> </w:t>
      </w:r>
      <w:r w:rsidRPr="007C525B">
        <w:rPr>
          <w:sz w:val="24"/>
          <w:szCs w:val="24"/>
        </w:rPr>
        <w:t>M.</w:t>
      </w:r>
      <w:r w:rsidRPr="007C525B">
        <w:rPr>
          <w:spacing w:val="-8"/>
          <w:sz w:val="24"/>
          <w:szCs w:val="24"/>
        </w:rPr>
        <w:t xml:space="preserve"> </w:t>
      </w:r>
      <w:r w:rsidRPr="007C525B">
        <w:rPr>
          <w:sz w:val="24"/>
          <w:szCs w:val="24"/>
        </w:rPr>
        <w:t>J.,</w:t>
      </w:r>
      <w:r w:rsidRPr="007C525B">
        <w:rPr>
          <w:spacing w:val="-5"/>
          <w:sz w:val="24"/>
          <w:szCs w:val="24"/>
        </w:rPr>
        <w:t xml:space="preserve"> </w:t>
      </w:r>
      <w:r w:rsidRPr="007C525B">
        <w:rPr>
          <w:sz w:val="24"/>
          <w:szCs w:val="24"/>
        </w:rPr>
        <w:t>Ondiek,</w:t>
      </w:r>
      <w:r w:rsidRPr="007C525B">
        <w:rPr>
          <w:spacing w:val="-6"/>
          <w:sz w:val="24"/>
          <w:szCs w:val="24"/>
        </w:rPr>
        <w:t xml:space="preserve"> </w:t>
      </w:r>
      <w:r w:rsidRPr="007C525B">
        <w:rPr>
          <w:sz w:val="24"/>
          <w:szCs w:val="24"/>
        </w:rPr>
        <w:t>B.</w:t>
      </w:r>
      <w:r w:rsidRPr="007C525B">
        <w:rPr>
          <w:spacing w:val="-9"/>
          <w:sz w:val="24"/>
          <w:szCs w:val="24"/>
        </w:rPr>
        <w:t xml:space="preserve"> </w:t>
      </w:r>
      <w:r w:rsidRPr="007C525B">
        <w:rPr>
          <w:sz w:val="24"/>
          <w:szCs w:val="24"/>
        </w:rPr>
        <w:t>A.,</w:t>
      </w:r>
      <w:r w:rsidRPr="007C525B">
        <w:rPr>
          <w:spacing w:val="-6"/>
          <w:sz w:val="24"/>
          <w:szCs w:val="24"/>
        </w:rPr>
        <w:t xml:space="preserve"> </w:t>
      </w:r>
      <w:r w:rsidRPr="007C525B">
        <w:rPr>
          <w:sz w:val="24"/>
          <w:szCs w:val="24"/>
        </w:rPr>
        <w:t>Okaka,</w:t>
      </w:r>
      <w:r w:rsidRPr="007C525B">
        <w:rPr>
          <w:spacing w:val="-6"/>
          <w:sz w:val="24"/>
          <w:szCs w:val="24"/>
        </w:rPr>
        <w:t xml:space="preserve"> </w:t>
      </w:r>
      <w:r w:rsidRPr="007C525B">
        <w:rPr>
          <w:sz w:val="24"/>
          <w:szCs w:val="24"/>
        </w:rPr>
        <w:t xml:space="preserve">D. &amp; Musiega, D. (2013). Corporate governance, dividend policy and performance. Special reference to banks listed on Nairobi security exchange Kenya. </w:t>
      </w:r>
      <w:r w:rsidRPr="007C525B">
        <w:rPr>
          <w:i/>
          <w:sz w:val="24"/>
          <w:szCs w:val="24"/>
        </w:rPr>
        <w:t>International Journal</w:t>
      </w:r>
      <w:r w:rsidRPr="007C525B">
        <w:rPr>
          <w:i/>
          <w:spacing w:val="29"/>
          <w:sz w:val="24"/>
          <w:szCs w:val="24"/>
        </w:rPr>
        <w:t xml:space="preserve"> </w:t>
      </w:r>
      <w:r w:rsidRPr="007C525B">
        <w:rPr>
          <w:i/>
          <w:sz w:val="24"/>
          <w:szCs w:val="24"/>
        </w:rPr>
        <w:t xml:space="preserve">of Innovative Research &amp; Development, </w:t>
      </w:r>
      <w:r w:rsidRPr="007C525B">
        <w:rPr>
          <w:sz w:val="24"/>
          <w:szCs w:val="24"/>
        </w:rPr>
        <w:t>5(2), 56-69.</w:t>
      </w:r>
    </w:p>
    <w:p w14:paraId="6BC759B2" w14:textId="77777777" w:rsidR="007C525B" w:rsidRPr="007C525B" w:rsidRDefault="007C525B" w:rsidP="007C525B">
      <w:pPr>
        <w:spacing w:before="2"/>
        <w:ind w:left="1100" w:right="182" w:hanging="721"/>
        <w:jc w:val="both"/>
        <w:rPr>
          <w:sz w:val="24"/>
          <w:szCs w:val="24"/>
        </w:rPr>
      </w:pPr>
      <w:r w:rsidRPr="007C525B">
        <w:rPr>
          <w:sz w:val="24"/>
          <w:szCs w:val="24"/>
        </w:rPr>
        <w:t xml:space="preserve">Millet-Reyes, B. &amp; Zhao, R. (2010). A comparison between one-tier and two-tier board structures in France. </w:t>
      </w:r>
      <w:r w:rsidRPr="007C525B">
        <w:rPr>
          <w:i/>
          <w:iCs/>
          <w:sz w:val="24"/>
          <w:szCs w:val="24"/>
        </w:rPr>
        <w:t>Journal of International Financial Management and Accounting, 21</w:t>
      </w:r>
      <w:r w:rsidRPr="007C525B">
        <w:rPr>
          <w:sz w:val="24"/>
          <w:szCs w:val="24"/>
        </w:rPr>
        <w:t>(3), 279–310.</w:t>
      </w:r>
    </w:p>
    <w:p w14:paraId="59C8E2EB" w14:textId="77777777" w:rsidR="007C525B" w:rsidRPr="007C525B" w:rsidRDefault="007C525B" w:rsidP="007C525B">
      <w:pPr>
        <w:ind w:left="1100" w:right="184" w:hanging="721"/>
        <w:jc w:val="both"/>
        <w:rPr>
          <w:sz w:val="24"/>
          <w:szCs w:val="24"/>
        </w:rPr>
      </w:pPr>
      <w:r w:rsidRPr="007C525B">
        <w:rPr>
          <w:sz w:val="24"/>
          <w:szCs w:val="24"/>
        </w:rPr>
        <w:t xml:space="preserve">Modigliani, F. &amp; Miller, M. (1961). Dividend policy, growth and the valuation of shares. </w:t>
      </w:r>
      <w:r w:rsidRPr="007C525B">
        <w:rPr>
          <w:i/>
          <w:iCs/>
          <w:sz w:val="24"/>
          <w:szCs w:val="24"/>
        </w:rPr>
        <w:t>The</w:t>
      </w:r>
      <w:r w:rsidRPr="007C525B">
        <w:rPr>
          <w:i/>
          <w:iCs/>
          <w:spacing w:val="-27"/>
          <w:sz w:val="24"/>
          <w:szCs w:val="24"/>
        </w:rPr>
        <w:t xml:space="preserve"> </w:t>
      </w:r>
      <w:r w:rsidRPr="007C525B">
        <w:rPr>
          <w:i/>
          <w:iCs/>
          <w:sz w:val="24"/>
          <w:szCs w:val="24"/>
        </w:rPr>
        <w:t>Journal of Business, 34</w:t>
      </w:r>
      <w:r w:rsidRPr="007C525B">
        <w:rPr>
          <w:sz w:val="24"/>
          <w:szCs w:val="24"/>
        </w:rPr>
        <w:t>(4),</w:t>
      </w:r>
      <w:r w:rsidRPr="007C525B">
        <w:rPr>
          <w:spacing w:val="-3"/>
          <w:sz w:val="24"/>
          <w:szCs w:val="24"/>
        </w:rPr>
        <w:t xml:space="preserve"> </w:t>
      </w:r>
      <w:r w:rsidRPr="007C525B">
        <w:rPr>
          <w:sz w:val="24"/>
          <w:szCs w:val="24"/>
        </w:rPr>
        <w:t>411-428</w:t>
      </w:r>
    </w:p>
    <w:p w14:paraId="0AB648E3" w14:textId="77777777" w:rsidR="007C525B" w:rsidRPr="007C525B" w:rsidRDefault="007C525B" w:rsidP="007C525B">
      <w:pPr>
        <w:ind w:left="1100" w:right="180" w:hanging="721"/>
        <w:jc w:val="both"/>
        <w:rPr>
          <w:sz w:val="24"/>
          <w:szCs w:val="24"/>
        </w:rPr>
      </w:pPr>
      <w:r w:rsidRPr="007C525B">
        <w:rPr>
          <w:sz w:val="24"/>
          <w:szCs w:val="24"/>
        </w:rPr>
        <w:t xml:space="preserve">Modigliani, F., &amp; Miller, M. (1961). Dividend policy, growth and the valuation of shares. </w:t>
      </w:r>
      <w:r w:rsidRPr="007C525B">
        <w:rPr>
          <w:i/>
          <w:sz w:val="24"/>
          <w:szCs w:val="24"/>
        </w:rPr>
        <w:t xml:space="preserve">Journal of Business, </w:t>
      </w:r>
      <w:r w:rsidRPr="007C525B">
        <w:rPr>
          <w:sz w:val="24"/>
          <w:szCs w:val="24"/>
        </w:rPr>
        <w:t>34, 411-33.</w:t>
      </w:r>
    </w:p>
    <w:p w14:paraId="0E16D514" w14:textId="77777777" w:rsidR="007C525B" w:rsidRPr="007C525B" w:rsidRDefault="007C525B" w:rsidP="007C525B">
      <w:pPr>
        <w:tabs>
          <w:tab w:val="left" w:pos="4848"/>
        </w:tabs>
        <w:ind w:left="1100" w:right="180" w:hanging="721"/>
        <w:jc w:val="both"/>
        <w:rPr>
          <w:sz w:val="24"/>
          <w:szCs w:val="24"/>
        </w:rPr>
      </w:pPr>
      <w:r w:rsidRPr="007C525B">
        <w:rPr>
          <w:sz w:val="24"/>
          <w:szCs w:val="24"/>
        </w:rPr>
        <w:t>Modigliani, F., &amp; Miller, M. H. (1956). The Cost of Capital, Corporation Finance and the Theory</w:t>
      </w:r>
      <w:r w:rsidRPr="007C525B">
        <w:rPr>
          <w:spacing w:val="-19"/>
          <w:sz w:val="24"/>
          <w:szCs w:val="24"/>
        </w:rPr>
        <w:t xml:space="preserve"> </w:t>
      </w:r>
      <w:r w:rsidRPr="007C525B">
        <w:rPr>
          <w:sz w:val="24"/>
          <w:szCs w:val="24"/>
        </w:rPr>
        <w:t>of Investment,</w:t>
      </w:r>
      <w:r w:rsidRPr="007C525B">
        <w:rPr>
          <w:spacing w:val="-11"/>
          <w:sz w:val="24"/>
          <w:szCs w:val="24"/>
        </w:rPr>
        <w:t xml:space="preserve"> </w:t>
      </w:r>
      <w:r w:rsidRPr="007C525B">
        <w:rPr>
          <w:i/>
          <w:sz w:val="24"/>
          <w:szCs w:val="24"/>
        </w:rPr>
        <w:t>American</w:t>
      </w:r>
      <w:r w:rsidRPr="007C525B">
        <w:rPr>
          <w:i/>
          <w:spacing w:val="-10"/>
          <w:sz w:val="24"/>
          <w:szCs w:val="24"/>
        </w:rPr>
        <w:t xml:space="preserve"> </w:t>
      </w:r>
      <w:r w:rsidRPr="007C525B">
        <w:rPr>
          <w:i/>
          <w:sz w:val="24"/>
          <w:szCs w:val="24"/>
        </w:rPr>
        <w:t>Economic</w:t>
      </w:r>
      <w:r w:rsidRPr="007C525B">
        <w:rPr>
          <w:i/>
          <w:spacing w:val="-11"/>
          <w:sz w:val="24"/>
          <w:szCs w:val="24"/>
        </w:rPr>
        <w:t xml:space="preserve"> </w:t>
      </w:r>
      <w:r w:rsidRPr="007C525B">
        <w:rPr>
          <w:i/>
          <w:sz w:val="24"/>
          <w:szCs w:val="24"/>
        </w:rPr>
        <w:t>Review</w:t>
      </w:r>
      <w:r w:rsidRPr="007C525B">
        <w:rPr>
          <w:sz w:val="24"/>
          <w:szCs w:val="24"/>
        </w:rPr>
        <w:t>,</w:t>
      </w:r>
      <w:r w:rsidRPr="007C525B">
        <w:rPr>
          <w:spacing w:val="-11"/>
          <w:sz w:val="24"/>
          <w:szCs w:val="24"/>
        </w:rPr>
        <w:t xml:space="preserve"> </w:t>
      </w:r>
      <w:r w:rsidRPr="007C525B">
        <w:rPr>
          <w:sz w:val="24"/>
          <w:szCs w:val="24"/>
        </w:rPr>
        <w:t>48(3), 261-297-Retrieved</w:t>
      </w:r>
      <w:r w:rsidRPr="007C525B">
        <w:rPr>
          <w:sz w:val="24"/>
          <w:szCs w:val="24"/>
        </w:rPr>
        <w:tab/>
      </w:r>
      <w:r w:rsidRPr="007C525B">
        <w:rPr>
          <w:spacing w:val="-5"/>
          <w:sz w:val="24"/>
          <w:szCs w:val="24"/>
        </w:rPr>
        <w:t>from</w:t>
      </w:r>
      <w:hyperlink r:id="rId21">
        <w:r w:rsidRPr="007C525B">
          <w:rPr>
            <w:spacing w:val="-5"/>
            <w:sz w:val="24"/>
            <w:szCs w:val="24"/>
          </w:rPr>
          <w:t xml:space="preserve"> </w:t>
        </w:r>
        <w:r w:rsidRPr="007C525B">
          <w:rPr>
            <w:sz w:val="24"/>
            <w:szCs w:val="24"/>
          </w:rPr>
          <w:t>http://www.his.se/PageFiles/17648/Modigliani</w:t>
        </w:r>
      </w:hyperlink>
      <w:r w:rsidRPr="007C525B">
        <w:rPr>
          <w:sz w:val="24"/>
          <w:szCs w:val="24"/>
        </w:rPr>
        <w:t xml:space="preserve"> </w:t>
      </w:r>
      <w:hyperlink r:id="rId22">
        <w:r w:rsidRPr="007C525B">
          <w:rPr>
            <w:sz w:val="24"/>
            <w:szCs w:val="24"/>
          </w:rPr>
          <w:t>andmiller1958.pdf</w:t>
        </w:r>
      </w:hyperlink>
    </w:p>
    <w:p w14:paraId="1CF924FA" w14:textId="77777777" w:rsidR="007C525B" w:rsidRPr="007C525B" w:rsidRDefault="007C525B" w:rsidP="007C525B">
      <w:pPr>
        <w:ind w:left="1100" w:right="183" w:hanging="721"/>
        <w:jc w:val="both"/>
        <w:rPr>
          <w:sz w:val="24"/>
          <w:szCs w:val="24"/>
        </w:rPr>
      </w:pPr>
      <w:r w:rsidRPr="007C525B">
        <w:rPr>
          <w:sz w:val="24"/>
          <w:szCs w:val="24"/>
        </w:rPr>
        <w:t xml:space="preserve">Modigliani, F., &amp; Miller, M. H. (1961). Dividend Policy, Growth, and the Valuation of Shares, </w:t>
      </w:r>
      <w:r w:rsidRPr="007C525B">
        <w:rPr>
          <w:i/>
          <w:sz w:val="24"/>
          <w:szCs w:val="24"/>
        </w:rPr>
        <w:t>Journal of Business</w:t>
      </w:r>
      <w:r w:rsidRPr="007C525B">
        <w:rPr>
          <w:sz w:val="24"/>
          <w:szCs w:val="24"/>
        </w:rPr>
        <w:t>, 411-433.</w:t>
      </w:r>
    </w:p>
    <w:p w14:paraId="1D0C53F4" w14:textId="77777777" w:rsidR="007C525B" w:rsidRPr="007C525B" w:rsidRDefault="007C525B" w:rsidP="007C525B">
      <w:pPr>
        <w:spacing w:before="1"/>
        <w:ind w:left="1100" w:right="182" w:hanging="721"/>
        <w:jc w:val="both"/>
        <w:rPr>
          <w:sz w:val="24"/>
          <w:szCs w:val="24"/>
        </w:rPr>
      </w:pPr>
      <w:r w:rsidRPr="007C525B">
        <w:rPr>
          <w:sz w:val="24"/>
          <w:szCs w:val="24"/>
        </w:rPr>
        <w:t xml:space="preserve">Mugenda, O. M., &amp;Mugenda, A. G. (2003). </w:t>
      </w:r>
      <w:r w:rsidRPr="007C525B">
        <w:rPr>
          <w:i/>
          <w:sz w:val="24"/>
          <w:szCs w:val="24"/>
        </w:rPr>
        <w:t xml:space="preserve">Research methods: quantitative and qualitative approaches. </w:t>
      </w:r>
      <w:r w:rsidRPr="007C525B">
        <w:rPr>
          <w:sz w:val="24"/>
          <w:szCs w:val="24"/>
        </w:rPr>
        <w:t>Nairobi. Acts Press.</w:t>
      </w:r>
    </w:p>
    <w:p w14:paraId="7CFD75E7" w14:textId="77777777" w:rsidR="007C525B" w:rsidRPr="007C525B" w:rsidRDefault="007C525B" w:rsidP="007C525B">
      <w:pPr>
        <w:ind w:left="1100" w:right="180" w:hanging="721"/>
        <w:jc w:val="both"/>
        <w:rPr>
          <w:sz w:val="24"/>
          <w:szCs w:val="24"/>
        </w:rPr>
      </w:pPr>
      <w:r w:rsidRPr="007C525B">
        <w:rPr>
          <w:sz w:val="24"/>
          <w:szCs w:val="24"/>
        </w:rPr>
        <w:t>Murekefu, T. M. &amp; Ouma, O. P. (2012). The relationship between dividend payout and firm performance: A study of listed companies in Kenya, European Scientific Journal, 8(9), 199-</w:t>
      </w:r>
    </w:p>
    <w:p w14:paraId="22A11CF3" w14:textId="77777777" w:rsidR="007C525B" w:rsidRPr="007C525B" w:rsidRDefault="007C525B" w:rsidP="007C525B">
      <w:pPr>
        <w:spacing w:line="251" w:lineRule="exact"/>
        <w:ind w:left="1100"/>
        <w:rPr>
          <w:sz w:val="24"/>
          <w:szCs w:val="24"/>
        </w:rPr>
      </w:pPr>
      <w:r w:rsidRPr="007C525B">
        <w:rPr>
          <w:sz w:val="24"/>
          <w:szCs w:val="24"/>
        </w:rPr>
        <w:t>215.</w:t>
      </w:r>
    </w:p>
    <w:p w14:paraId="19E05DD6" w14:textId="77777777" w:rsidR="007C525B" w:rsidRPr="007C525B" w:rsidRDefault="007C525B" w:rsidP="007C525B">
      <w:pPr>
        <w:spacing w:before="1"/>
        <w:ind w:left="1100" w:right="185" w:hanging="721"/>
        <w:jc w:val="both"/>
        <w:rPr>
          <w:sz w:val="24"/>
          <w:szCs w:val="24"/>
        </w:rPr>
      </w:pPr>
      <w:r w:rsidRPr="007C525B">
        <w:rPr>
          <w:sz w:val="24"/>
          <w:szCs w:val="24"/>
        </w:rPr>
        <w:t>Myers, S. C. (1984). The capital structure puzzle. The Journal of Finance. 39(3), 574-592.</w:t>
      </w:r>
    </w:p>
    <w:p w14:paraId="4F7CA020" w14:textId="77777777" w:rsidR="007C525B" w:rsidRPr="007C525B" w:rsidRDefault="007C525B" w:rsidP="007C525B">
      <w:pPr>
        <w:spacing w:before="1"/>
        <w:ind w:left="1100" w:right="182" w:hanging="721"/>
        <w:jc w:val="both"/>
        <w:rPr>
          <w:sz w:val="24"/>
          <w:szCs w:val="24"/>
        </w:rPr>
      </w:pPr>
      <w:r w:rsidRPr="007C525B">
        <w:rPr>
          <w:sz w:val="24"/>
          <w:szCs w:val="24"/>
        </w:rPr>
        <w:t>Nagaoka,</w:t>
      </w:r>
      <w:r w:rsidRPr="007C525B">
        <w:rPr>
          <w:spacing w:val="-10"/>
          <w:sz w:val="24"/>
          <w:szCs w:val="24"/>
        </w:rPr>
        <w:t xml:space="preserve"> </w:t>
      </w:r>
      <w:r w:rsidRPr="007C525B">
        <w:rPr>
          <w:sz w:val="24"/>
          <w:szCs w:val="24"/>
        </w:rPr>
        <w:t>S.</w:t>
      </w:r>
      <w:r w:rsidRPr="007C525B">
        <w:rPr>
          <w:spacing w:val="-11"/>
          <w:sz w:val="24"/>
          <w:szCs w:val="24"/>
        </w:rPr>
        <w:t xml:space="preserve"> </w:t>
      </w:r>
      <w:r w:rsidRPr="007C525B">
        <w:rPr>
          <w:sz w:val="24"/>
          <w:szCs w:val="24"/>
        </w:rPr>
        <w:t>(2007),</w:t>
      </w:r>
      <w:r w:rsidRPr="007C525B">
        <w:rPr>
          <w:spacing w:val="-7"/>
          <w:sz w:val="24"/>
          <w:szCs w:val="24"/>
        </w:rPr>
        <w:t xml:space="preserve"> </w:t>
      </w:r>
      <w:r w:rsidRPr="007C525B">
        <w:rPr>
          <w:sz w:val="24"/>
          <w:szCs w:val="24"/>
        </w:rPr>
        <w:t>Beyond</w:t>
      </w:r>
      <w:r w:rsidRPr="007C525B">
        <w:rPr>
          <w:spacing w:val="-8"/>
          <w:sz w:val="24"/>
          <w:szCs w:val="24"/>
        </w:rPr>
        <w:t xml:space="preserve"> </w:t>
      </w:r>
      <w:r w:rsidRPr="007C525B">
        <w:rPr>
          <w:sz w:val="24"/>
          <w:szCs w:val="24"/>
        </w:rPr>
        <w:t>the</w:t>
      </w:r>
      <w:r w:rsidRPr="007C525B">
        <w:rPr>
          <w:spacing w:val="-8"/>
          <w:sz w:val="24"/>
          <w:szCs w:val="24"/>
        </w:rPr>
        <w:t xml:space="preserve"> </w:t>
      </w:r>
      <w:r w:rsidRPr="007C525B">
        <w:rPr>
          <w:sz w:val="24"/>
          <w:szCs w:val="24"/>
        </w:rPr>
        <w:t>Theoretical</w:t>
      </w:r>
      <w:r w:rsidRPr="007C525B">
        <w:rPr>
          <w:spacing w:val="-7"/>
          <w:sz w:val="24"/>
          <w:szCs w:val="24"/>
        </w:rPr>
        <w:t xml:space="preserve"> </w:t>
      </w:r>
      <w:r w:rsidRPr="007C525B">
        <w:rPr>
          <w:sz w:val="24"/>
          <w:szCs w:val="24"/>
        </w:rPr>
        <w:t xml:space="preserve">Dichotomy in Islamic Finance: Analytical Reflections on Murabaḥ ah Contracts and Islamic </w:t>
      </w:r>
      <w:r w:rsidRPr="007C525B">
        <w:rPr>
          <w:spacing w:val="-11"/>
          <w:sz w:val="24"/>
          <w:szCs w:val="24"/>
        </w:rPr>
        <w:t xml:space="preserve">Debt </w:t>
      </w:r>
      <w:r w:rsidRPr="007C525B">
        <w:rPr>
          <w:sz w:val="24"/>
          <w:szCs w:val="24"/>
        </w:rPr>
        <w:t xml:space="preserve">Securities, </w:t>
      </w:r>
      <w:r w:rsidRPr="007C525B">
        <w:rPr>
          <w:i/>
          <w:sz w:val="24"/>
          <w:szCs w:val="24"/>
        </w:rPr>
        <w:t xml:space="preserve">Kyoto Bulletin of Islamic Area Studies, </w:t>
      </w:r>
      <w:r w:rsidRPr="007C525B">
        <w:rPr>
          <w:sz w:val="24"/>
          <w:szCs w:val="24"/>
        </w:rPr>
        <w:t>Volume: 1, Issue: 2, pp:</w:t>
      </w:r>
      <w:r w:rsidRPr="007C525B">
        <w:rPr>
          <w:spacing w:val="-4"/>
          <w:sz w:val="24"/>
          <w:szCs w:val="24"/>
        </w:rPr>
        <w:t xml:space="preserve"> </w:t>
      </w:r>
      <w:r w:rsidRPr="007C525B">
        <w:rPr>
          <w:sz w:val="24"/>
          <w:szCs w:val="24"/>
        </w:rPr>
        <w:t>72-91.</w:t>
      </w:r>
    </w:p>
    <w:p w14:paraId="7B17CD1A" w14:textId="77777777" w:rsidR="007C525B" w:rsidRPr="007C525B" w:rsidRDefault="007C525B" w:rsidP="007C525B">
      <w:pPr>
        <w:ind w:left="1100" w:right="184" w:hanging="721"/>
        <w:jc w:val="both"/>
        <w:rPr>
          <w:sz w:val="24"/>
          <w:szCs w:val="24"/>
        </w:rPr>
      </w:pPr>
      <w:r w:rsidRPr="007C525B">
        <w:rPr>
          <w:sz w:val="24"/>
          <w:szCs w:val="24"/>
        </w:rPr>
        <w:t>Nash, B. (2015). The effect of dividend policy on the share prices in Indian firms. An Empirical Analysis</w:t>
      </w:r>
      <w:r w:rsidRPr="007C525B">
        <w:rPr>
          <w:i/>
          <w:sz w:val="24"/>
          <w:szCs w:val="24"/>
        </w:rPr>
        <w:t xml:space="preserve">, Journal of the Finance, </w:t>
      </w:r>
      <w:r w:rsidRPr="007C525B">
        <w:rPr>
          <w:sz w:val="24"/>
          <w:szCs w:val="24"/>
        </w:rPr>
        <w:t>15-161.</w:t>
      </w:r>
    </w:p>
    <w:p w14:paraId="5B246AB6" w14:textId="77777777" w:rsidR="007C525B" w:rsidRPr="007C525B" w:rsidRDefault="007C525B" w:rsidP="007C525B">
      <w:pPr>
        <w:ind w:left="1100" w:right="181" w:hanging="721"/>
        <w:jc w:val="both"/>
        <w:rPr>
          <w:i/>
          <w:sz w:val="24"/>
          <w:szCs w:val="24"/>
        </w:rPr>
      </w:pPr>
      <w:r w:rsidRPr="007C525B">
        <w:rPr>
          <w:sz w:val="24"/>
          <w:szCs w:val="24"/>
        </w:rPr>
        <w:t>Nestor, Amahalu &amp; Okoye, Emmanuel &amp; Leonard, Nweze &amp; Chinyere, Obi &amp; Elochukwu Christian</w:t>
      </w:r>
      <w:r w:rsidRPr="007C525B">
        <w:rPr>
          <w:spacing w:val="-14"/>
          <w:sz w:val="24"/>
          <w:szCs w:val="24"/>
        </w:rPr>
        <w:t xml:space="preserve"> </w:t>
      </w:r>
      <w:r w:rsidRPr="007C525B">
        <w:rPr>
          <w:sz w:val="24"/>
          <w:szCs w:val="24"/>
        </w:rPr>
        <w:t>Muo,</w:t>
      </w:r>
      <w:r w:rsidRPr="007C525B">
        <w:rPr>
          <w:spacing w:val="-11"/>
          <w:sz w:val="24"/>
          <w:szCs w:val="24"/>
        </w:rPr>
        <w:t xml:space="preserve"> </w:t>
      </w:r>
      <w:r w:rsidRPr="007C525B">
        <w:rPr>
          <w:sz w:val="24"/>
          <w:szCs w:val="24"/>
        </w:rPr>
        <w:t>Okika.</w:t>
      </w:r>
      <w:r w:rsidRPr="007C525B">
        <w:rPr>
          <w:spacing w:val="-14"/>
          <w:sz w:val="24"/>
          <w:szCs w:val="24"/>
        </w:rPr>
        <w:t xml:space="preserve"> </w:t>
      </w:r>
      <w:r w:rsidRPr="007C525B">
        <w:rPr>
          <w:sz w:val="24"/>
          <w:szCs w:val="24"/>
        </w:rPr>
        <w:t>(2017).</w:t>
      </w:r>
      <w:r w:rsidRPr="007C525B">
        <w:rPr>
          <w:spacing w:val="-11"/>
          <w:sz w:val="24"/>
          <w:szCs w:val="24"/>
        </w:rPr>
        <w:t xml:space="preserve"> </w:t>
      </w:r>
      <w:r w:rsidRPr="007C525B">
        <w:rPr>
          <w:i/>
          <w:sz w:val="24"/>
          <w:szCs w:val="24"/>
        </w:rPr>
        <w:t>Effect</w:t>
      </w:r>
      <w:r w:rsidRPr="007C525B">
        <w:rPr>
          <w:i/>
          <w:spacing w:val="-11"/>
          <w:sz w:val="24"/>
          <w:szCs w:val="24"/>
        </w:rPr>
        <w:t xml:space="preserve"> </w:t>
      </w:r>
      <w:r w:rsidRPr="007C525B">
        <w:rPr>
          <w:i/>
          <w:sz w:val="24"/>
          <w:szCs w:val="24"/>
        </w:rPr>
        <w:t>Of</w:t>
      </w:r>
      <w:r w:rsidRPr="007C525B">
        <w:rPr>
          <w:i/>
          <w:spacing w:val="-11"/>
          <w:sz w:val="24"/>
          <w:szCs w:val="24"/>
        </w:rPr>
        <w:t xml:space="preserve"> </w:t>
      </w:r>
      <w:r w:rsidRPr="007C525B">
        <w:rPr>
          <w:i/>
          <w:sz w:val="24"/>
          <w:szCs w:val="24"/>
        </w:rPr>
        <w:t>Capital Adequacy on Financial Performance of</w:t>
      </w:r>
      <w:r w:rsidRPr="007C525B">
        <w:rPr>
          <w:i/>
          <w:spacing w:val="-17"/>
          <w:sz w:val="24"/>
          <w:szCs w:val="24"/>
        </w:rPr>
        <w:t xml:space="preserve"> </w:t>
      </w:r>
      <w:r w:rsidRPr="007C525B">
        <w:rPr>
          <w:i/>
          <w:sz w:val="24"/>
          <w:szCs w:val="24"/>
        </w:rPr>
        <w:t>Quoted Deposit Money Banks in</w:t>
      </w:r>
      <w:r w:rsidRPr="007C525B">
        <w:rPr>
          <w:i/>
          <w:spacing w:val="-5"/>
          <w:sz w:val="24"/>
          <w:szCs w:val="24"/>
        </w:rPr>
        <w:t xml:space="preserve"> </w:t>
      </w:r>
      <w:r w:rsidRPr="007C525B">
        <w:rPr>
          <w:i/>
          <w:sz w:val="24"/>
          <w:szCs w:val="24"/>
        </w:rPr>
        <w:t>Nigeria.</w:t>
      </w:r>
    </w:p>
    <w:p w14:paraId="1F1EA328" w14:textId="77777777" w:rsidR="007C525B" w:rsidRPr="007C525B" w:rsidRDefault="007C525B" w:rsidP="007C525B">
      <w:pPr>
        <w:ind w:left="1100" w:hanging="721"/>
        <w:jc w:val="both"/>
        <w:rPr>
          <w:sz w:val="24"/>
          <w:szCs w:val="24"/>
        </w:rPr>
      </w:pPr>
      <w:r w:rsidRPr="007C525B">
        <w:rPr>
          <w:sz w:val="24"/>
          <w:szCs w:val="24"/>
        </w:rPr>
        <w:t>Nguyen,</w:t>
      </w:r>
      <w:r w:rsidRPr="007C525B">
        <w:rPr>
          <w:spacing w:val="-15"/>
          <w:sz w:val="24"/>
          <w:szCs w:val="24"/>
        </w:rPr>
        <w:t xml:space="preserve"> </w:t>
      </w:r>
      <w:r w:rsidRPr="007C525B">
        <w:rPr>
          <w:sz w:val="24"/>
          <w:szCs w:val="24"/>
        </w:rPr>
        <w:t>A.H.;</w:t>
      </w:r>
      <w:r w:rsidRPr="007C525B">
        <w:rPr>
          <w:spacing w:val="-15"/>
          <w:sz w:val="24"/>
          <w:szCs w:val="24"/>
        </w:rPr>
        <w:t xml:space="preserve"> </w:t>
      </w:r>
      <w:r w:rsidRPr="007C525B">
        <w:rPr>
          <w:sz w:val="24"/>
          <w:szCs w:val="24"/>
        </w:rPr>
        <w:t>Pham,</w:t>
      </w:r>
      <w:r w:rsidRPr="007C525B">
        <w:rPr>
          <w:spacing w:val="-16"/>
          <w:sz w:val="24"/>
          <w:szCs w:val="24"/>
        </w:rPr>
        <w:t xml:space="preserve"> </w:t>
      </w:r>
      <w:r w:rsidRPr="007C525B">
        <w:rPr>
          <w:sz w:val="24"/>
          <w:szCs w:val="24"/>
        </w:rPr>
        <w:t>C.D.;</w:t>
      </w:r>
      <w:r w:rsidRPr="007C525B">
        <w:rPr>
          <w:spacing w:val="-16"/>
          <w:sz w:val="24"/>
          <w:szCs w:val="24"/>
        </w:rPr>
        <w:t xml:space="preserve"> </w:t>
      </w:r>
      <w:r w:rsidRPr="007C525B">
        <w:rPr>
          <w:sz w:val="24"/>
          <w:szCs w:val="24"/>
        </w:rPr>
        <w:t>Doan,</w:t>
      </w:r>
      <w:r w:rsidRPr="007C525B">
        <w:rPr>
          <w:spacing w:val="-15"/>
          <w:sz w:val="24"/>
          <w:szCs w:val="24"/>
        </w:rPr>
        <w:t xml:space="preserve"> </w:t>
      </w:r>
      <w:r w:rsidRPr="007C525B">
        <w:rPr>
          <w:sz w:val="24"/>
          <w:szCs w:val="24"/>
        </w:rPr>
        <w:t>N.T.;</w:t>
      </w:r>
      <w:r w:rsidRPr="007C525B">
        <w:rPr>
          <w:spacing w:val="-15"/>
          <w:sz w:val="24"/>
          <w:szCs w:val="24"/>
        </w:rPr>
        <w:t xml:space="preserve"> </w:t>
      </w:r>
      <w:r w:rsidRPr="007C525B">
        <w:rPr>
          <w:sz w:val="24"/>
          <w:szCs w:val="24"/>
        </w:rPr>
        <w:t>Ta,</w:t>
      </w:r>
      <w:r w:rsidRPr="007C525B">
        <w:rPr>
          <w:spacing w:val="-15"/>
          <w:sz w:val="24"/>
          <w:szCs w:val="24"/>
        </w:rPr>
        <w:t xml:space="preserve"> </w:t>
      </w:r>
      <w:r w:rsidRPr="007C525B">
        <w:rPr>
          <w:sz w:val="24"/>
          <w:szCs w:val="24"/>
        </w:rPr>
        <w:t>T.T.;</w:t>
      </w:r>
      <w:r w:rsidRPr="007C525B">
        <w:rPr>
          <w:spacing w:val="-15"/>
          <w:sz w:val="24"/>
          <w:szCs w:val="24"/>
        </w:rPr>
        <w:t xml:space="preserve"> </w:t>
      </w:r>
      <w:r w:rsidRPr="007C525B">
        <w:rPr>
          <w:sz w:val="24"/>
          <w:szCs w:val="24"/>
        </w:rPr>
        <w:t xml:space="preserve">Nguyen, H.T.; &amp; Truong, T.V. (2021). The Effect </w:t>
      </w:r>
      <w:r w:rsidRPr="007C525B">
        <w:rPr>
          <w:spacing w:val="-8"/>
          <w:sz w:val="24"/>
          <w:szCs w:val="24"/>
        </w:rPr>
        <w:t xml:space="preserve">of </w:t>
      </w:r>
      <w:r w:rsidRPr="007C525B">
        <w:rPr>
          <w:sz w:val="24"/>
          <w:szCs w:val="24"/>
        </w:rPr>
        <w:t>Dividend Payment on Firm’s Financial Performance: An Empirical Study of Vietnam</w:t>
      </w:r>
      <w:r w:rsidRPr="007C525B">
        <w:rPr>
          <w:i/>
          <w:sz w:val="24"/>
          <w:szCs w:val="24"/>
        </w:rPr>
        <w:t>. J. Risk Financial Management</w:t>
      </w:r>
      <w:r w:rsidRPr="007C525B">
        <w:rPr>
          <w:sz w:val="24"/>
          <w:szCs w:val="24"/>
        </w:rPr>
        <w:t xml:space="preserve">., 14, </w:t>
      </w:r>
      <w:r w:rsidRPr="007C525B">
        <w:rPr>
          <w:spacing w:val="-3"/>
          <w:sz w:val="24"/>
          <w:szCs w:val="24"/>
        </w:rPr>
        <w:t xml:space="preserve">353. </w:t>
      </w:r>
      <w:r w:rsidRPr="007C525B">
        <w:rPr>
          <w:sz w:val="24"/>
          <w:szCs w:val="24"/>
        </w:rPr>
        <w:t>https://doi.org/10.3390/jrfm14080353</w:t>
      </w:r>
    </w:p>
    <w:p w14:paraId="7566039B" w14:textId="77777777" w:rsidR="007C525B" w:rsidRPr="007C525B" w:rsidRDefault="007C525B" w:rsidP="007C525B">
      <w:pPr>
        <w:ind w:left="1100" w:right="180" w:hanging="721"/>
        <w:jc w:val="both"/>
        <w:rPr>
          <w:sz w:val="24"/>
          <w:szCs w:val="24"/>
        </w:rPr>
      </w:pPr>
      <w:r w:rsidRPr="007C525B">
        <w:rPr>
          <w:sz w:val="24"/>
          <w:szCs w:val="24"/>
        </w:rPr>
        <w:t>Nissim, D. &amp; Ziv, A. (2001). Dividend changes and future profitability. The Journal of Finance, 56(6), 2111-2133.</w:t>
      </w:r>
    </w:p>
    <w:p w14:paraId="0EF744EA" w14:textId="1E771AA1" w:rsidR="007C525B" w:rsidRPr="007C525B" w:rsidRDefault="007C525B" w:rsidP="00E90003">
      <w:pPr>
        <w:spacing w:before="1"/>
        <w:ind w:left="1100" w:right="181" w:hanging="721"/>
        <w:jc w:val="both"/>
        <w:rPr>
          <w:sz w:val="24"/>
          <w:szCs w:val="24"/>
        </w:rPr>
      </w:pPr>
      <w:r w:rsidRPr="007C525B">
        <w:rPr>
          <w:sz w:val="24"/>
          <w:szCs w:val="24"/>
        </w:rPr>
        <w:t xml:space="preserve">Obaidullah, Mohammed (2005), </w:t>
      </w:r>
      <w:r w:rsidRPr="007C525B">
        <w:rPr>
          <w:i/>
          <w:sz w:val="24"/>
          <w:szCs w:val="24"/>
        </w:rPr>
        <w:t>Islamic Financial Services, Jeddah: Scientific Publishing Centre, King Abdulaziz University</w:t>
      </w:r>
      <w:r w:rsidRPr="007C525B">
        <w:rPr>
          <w:sz w:val="24"/>
          <w:szCs w:val="24"/>
        </w:rPr>
        <w:t>,. 58 Islamic Financial Services capital provider.</w:t>
      </w:r>
    </w:p>
    <w:p w14:paraId="3F1B8B37" w14:textId="77777777" w:rsidR="007C525B" w:rsidRPr="007C525B" w:rsidRDefault="007C525B" w:rsidP="007C525B">
      <w:pPr>
        <w:ind w:left="783" w:right="154" w:hanging="721"/>
        <w:jc w:val="both"/>
        <w:rPr>
          <w:i/>
          <w:sz w:val="24"/>
          <w:szCs w:val="24"/>
        </w:rPr>
      </w:pPr>
      <w:r w:rsidRPr="007C525B">
        <w:rPr>
          <w:sz w:val="24"/>
          <w:szCs w:val="24"/>
        </w:rPr>
        <w:t xml:space="preserve">Ochieng (2016). The effect of dividend payout ratio on the financial performance of Islamic Banking institutions in Kenya. </w:t>
      </w:r>
      <w:r w:rsidRPr="007C525B">
        <w:rPr>
          <w:i/>
          <w:sz w:val="24"/>
          <w:szCs w:val="24"/>
        </w:rPr>
        <w:t>Unpublished MBA</w:t>
      </w:r>
      <w:r w:rsidRPr="007C525B">
        <w:rPr>
          <w:i/>
          <w:spacing w:val="-31"/>
          <w:sz w:val="24"/>
          <w:szCs w:val="24"/>
        </w:rPr>
        <w:t xml:space="preserve"> </w:t>
      </w:r>
      <w:r w:rsidRPr="007C525B">
        <w:rPr>
          <w:i/>
          <w:sz w:val="24"/>
          <w:szCs w:val="24"/>
        </w:rPr>
        <w:t>Thesis of the University of Nairobi.</w:t>
      </w:r>
    </w:p>
    <w:p w14:paraId="1EB89E64" w14:textId="77777777" w:rsidR="007C525B" w:rsidRPr="007C525B" w:rsidRDefault="007C525B" w:rsidP="007C525B">
      <w:pPr>
        <w:spacing w:before="1"/>
        <w:ind w:left="783" w:right="156" w:hanging="721"/>
        <w:jc w:val="both"/>
        <w:rPr>
          <w:sz w:val="24"/>
          <w:szCs w:val="24"/>
        </w:rPr>
      </w:pPr>
      <w:r w:rsidRPr="007C525B">
        <w:rPr>
          <w:sz w:val="24"/>
          <w:szCs w:val="24"/>
        </w:rPr>
        <w:t xml:space="preserve">Omran, M. &amp; Pointon, J. (2004). Dividend policy, trading characteristics and share prices: Empirical </w:t>
      </w:r>
      <w:r w:rsidRPr="007C525B">
        <w:rPr>
          <w:sz w:val="24"/>
          <w:szCs w:val="24"/>
        </w:rPr>
        <w:lastRenderedPageBreak/>
        <w:t>evidence from Egyptian firms, International Journal of Theoretical and Applied Finance, 7(2), 121–33.</w:t>
      </w:r>
    </w:p>
    <w:p w14:paraId="2BA11AE7" w14:textId="77777777" w:rsidR="007C525B" w:rsidRPr="007C525B" w:rsidRDefault="007C525B" w:rsidP="007C525B">
      <w:pPr>
        <w:ind w:left="783" w:right="155" w:hanging="721"/>
        <w:jc w:val="both"/>
        <w:rPr>
          <w:sz w:val="24"/>
          <w:szCs w:val="24"/>
        </w:rPr>
      </w:pPr>
      <w:r w:rsidRPr="007C525B">
        <w:rPr>
          <w:sz w:val="24"/>
          <w:szCs w:val="24"/>
        </w:rPr>
        <w:t xml:space="preserve">Qian, J. &amp; Strahan, P.E. (2005), How Law and Institutions Shape Financial Contracts: The Case of Bank Loans, </w:t>
      </w:r>
      <w:r w:rsidRPr="007C525B">
        <w:rPr>
          <w:i/>
          <w:sz w:val="24"/>
          <w:szCs w:val="24"/>
        </w:rPr>
        <w:t xml:space="preserve">NBER Working Paper </w:t>
      </w:r>
      <w:r w:rsidRPr="007C525B">
        <w:rPr>
          <w:sz w:val="24"/>
          <w:szCs w:val="24"/>
        </w:rPr>
        <w:t>11052.</w:t>
      </w:r>
    </w:p>
    <w:p w14:paraId="5E91C8B6" w14:textId="77777777" w:rsidR="007C525B" w:rsidRPr="007C525B" w:rsidRDefault="007C525B" w:rsidP="007C525B">
      <w:pPr>
        <w:spacing w:before="1"/>
        <w:ind w:left="783" w:right="154" w:hanging="721"/>
        <w:jc w:val="both"/>
        <w:rPr>
          <w:sz w:val="24"/>
          <w:szCs w:val="24"/>
        </w:rPr>
      </w:pPr>
      <w:r w:rsidRPr="007C525B">
        <w:rPr>
          <w:sz w:val="24"/>
          <w:szCs w:val="24"/>
        </w:rPr>
        <w:t>Ross, S.A, Westerfield R. W., &amp; Jordan B. D. (1995).</w:t>
      </w:r>
      <w:r w:rsidRPr="007C525B">
        <w:rPr>
          <w:i/>
          <w:sz w:val="24"/>
          <w:szCs w:val="24"/>
        </w:rPr>
        <w:t xml:space="preserve">Fundamentals of corporate finance, </w:t>
      </w:r>
      <w:r w:rsidRPr="007C525B">
        <w:rPr>
          <w:sz w:val="24"/>
          <w:szCs w:val="24"/>
        </w:rPr>
        <w:t>Tata McGraw Hill, Eighth Edition.</w:t>
      </w:r>
    </w:p>
    <w:p w14:paraId="19CDE22F" w14:textId="77777777" w:rsidR="007C525B" w:rsidRPr="007C525B" w:rsidRDefault="007C525B" w:rsidP="007C525B">
      <w:pPr>
        <w:ind w:left="783" w:right="156" w:hanging="721"/>
        <w:jc w:val="both"/>
        <w:rPr>
          <w:sz w:val="24"/>
          <w:szCs w:val="24"/>
        </w:rPr>
      </w:pPr>
      <w:r w:rsidRPr="007C525B">
        <w:rPr>
          <w:sz w:val="24"/>
          <w:szCs w:val="24"/>
        </w:rPr>
        <w:t xml:space="preserve">Rozeff, M. (2012). Growth, Beta and Agency Costs as Determinants of Dividend Payout Ratios, </w:t>
      </w:r>
      <w:r w:rsidRPr="007C525B">
        <w:rPr>
          <w:i/>
          <w:sz w:val="24"/>
          <w:szCs w:val="24"/>
        </w:rPr>
        <w:t xml:space="preserve">Journal of Financial Research, </w:t>
      </w:r>
      <w:r w:rsidRPr="007C525B">
        <w:rPr>
          <w:sz w:val="24"/>
          <w:szCs w:val="24"/>
        </w:rPr>
        <w:t>249-259.</w:t>
      </w:r>
    </w:p>
    <w:p w14:paraId="0A6AE66A" w14:textId="77777777" w:rsidR="007C525B" w:rsidRPr="007C525B" w:rsidRDefault="007C525B" w:rsidP="007C525B">
      <w:pPr>
        <w:ind w:left="783" w:right="154" w:hanging="721"/>
        <w:jc w:val="both"/>
        <w:rPr>
          <w:sz w:val="24"/>
          <w:szCs w:val="24"/>
        </w:rPr>
      </w:pPr>
      <w:r w:rsidRPr="007C525B">
        <w:rPr>
          <w:sz w:val="24"/>
          <w:szCs w:val="24"/>
        </w:rPr>
        <w:t xml:space="preserve">Savven, D., Yeung, Y. W., &amp;Linet, K. N. (2019). The effect of dividend announcement on the share prices of selected companies on the India securities market. An Empirical Investigation, </w:t>
      </w:r>
      <w:r w:rsidRPr="007C525B">
        <w:rPr>
          <w:i/>
          <w:sz w:val="24"/>
          <w:szCs w:val="24"/>
        </w:rPr>
        <w:t>Journal of Finance</w:t>
      </w:r>
      <w:r w:rsidRPr="007C525B">
        <w:rPr>
          <w:sz w:val="24"/>
          <w:szCs w:val="24"/>
        </w:rPr>
        <w:t>, 3, 165-276.</w:t>
      </w:r>
    </w:p>
    <w:p w14:paraId="421632F8" w14:textId="77777777" w:rsidR="007C525B" w:rsidRPr="007C525B" w:rsidRDefault="007C525B" w:rsidP="007C525B">
      <w:pPr>
        <w:ind w:left="783" w:right="152" w:hanging="721"/>
        <w:jc w:val="both"/>
        <w:rPr>
          <w:sz w:val="24"/>
          <w:szCs w:val="24"/>
        </w:rPr>
      </w:pPr>
      <w:r w:rsidRPr="007C525B">
        <w:rPr>
          <w:sz w:val="24"/>
          <w:szCs w:val="24"/>
        </w:rPr>
        <w:t xml:space="preserve">Sorensen, A., Mukaila, A. and Stuart, T. (1999): “Corporate Governance Mechanisms and Firm Financial Performance in Nigeria”, </w:t>
      </w:r>
      <w:r w:rsidRPr="007C525B">
        <w:rPr>
          <w:i/>
          <w:sz w:val="24"/>
          <w:szCs w:val="24"/>
        </w:rPr>
        <w:t>AERC Research Paper</w:t>
      </w:r>
      <w:r w:rsidRPr="007C525B">
        <w:rPr>
          <w:sz w:val="24"/>
          <w:szCs w:val="24"/>
        </w:rPr>
        <w:t>, No. 149.</w:t>
      </w:r>
    </w:p>
    <w:p w14:paraId="68AE325A" w14:textId="77777777" w:rsidR="007C525B" w:rsidRPr="007C525B" w:rsidRDefault="007C525B" w:rsidP="007C525B">
      <w:pPr>
        <w:ind w:left="783" w:right="156" w:hanging="721"/>
        <w:jc w:val="both"/>
        <w:rPr>
          <w:i/>
          <w:sz w:val="24"/>
          <w:szCs w:val="24"/>
        </w:rPr>
      </w:pPr>
      <w:r w:rsidRPr="007C525B">
        <w:rPr>
          <w:sz w:val="24"/>
          <w:szCs w:val="24"/>
        </w:rPr>
        <w:t xml:space="preserve">Tarus, W. (2015). The effect of policy on dividend on financial performance for organizations at the NSE. </w:t>
      </w:r>
      <w:r w:rsidRPr="007C525B">
        <w:rPr>
          <w:i/>
          <w:sz w:val="24"/>
          <w:szCs w:val="24"/>
        </w:rPr>
        <w:t>Unpublished MBA Thesis of the University of Nairobi.</w:t>
      </w:r>
    </w:p>
    <w:p w14:paraId="7DCE93DD" w14:textId="77777777" w:rsidR="007C525B" w:rsidRPr="007C525B" w:rsidRDefault="007C525B" w:rsidP="007C525B">
      <w:pPr>
        <w:ind w:left="783" w:right="156" w:hanging="721"/>
        <w:jc w:val="both"/>
        <w:rPr>
          <w:sz w:val="24"/>
          <w:szCs w:val="24"/>
        </w:rPr>
      </w:pPr>
      <w:r w:rsidRPr="007C525B">
        <w:rPr>
          <w:sz w:val="24"/>
          <w:szCs w:val="24"/>
        </w:rPr>
        <w:t>Uwuigbe, O. R. (2013). An Examination of the effects of Ownership structure and financial leverage on the dividend policies of listed firms in Nigeria, Journal of Economics, Business and Accountancy Ventura, 2(16), 251 – 258.</w:t>
      </w:r>
    </w:p>
    <w:p w14:paraId="790B7812" w14:textId="77777777" w:rsidR="007C525B" w:rsidRPr="007C525B" w:rsidRDefault="007C525B" w:rsidP="007C525B">
      <w:pPr>
        <w:ind w:left="783" w:right="152" w:hanging="721"/>
        <w:jc w:val="both"/>
        <w:rPr>
          <w:sz w:val="24"/>
          <w:szCs w:val="24"/>
        </w:rPr>
      </w:pPr>
      <w:r w:rsidRPr="007C525B">
        <w:rPr>
          <w:sz w:val="24"/>
          <w:szCs w:val="24"/>
        </w:rPr>
        <w:t xml:space="preserve">Vanacker T.R. and Manigart S. (2010). Pecking order and debt capacity considerations for high- growth companies seeking financing, </w:t>
      </w:r>
      <w:r w:rsidRPr="007C525B">
        <w:rPr>
          <w:i/>
          <w:sz w:val="24"/>
          <w:szCs w:val="24"/>
        </w:rPr>
        <w:t>Small Business Economics</w:t>
      </w:r>
      <w:r w:rsidRPr="007C525B">
        <w:rPr>
          <w:sz w:val="24"/>
          <w:szCs w:val="24"/>
        </w:rPr>
        <w:t>, 35, 53-69.</w:t>
      </w:r>
    </w:p>
    <w:p w14:paraId="480A553B" w14:textId="77777777" w:rsidR="007C525B" w:rsidRPr="007C525B" w:rsidRDefault="007C525B" w:rsidP="007C525B">
      <w:pPr>
        <w:ind w:left="783" w:right="158" w:hanging="721"/>
        <w:jc w:val="both"/>
        <w:rPr>
          <w:i/>
          <w:sz w:val="24"/>
          <w:szCs w:val="24"/>
        </w:rPr>
      </w:pPr>
      <w:r w:rsidRPr="007C525B">
        <w:rPr>
          <w:sz w:val="24"/>
          <w:szCs w:val="24"/>
        </w:rPr>
        <w:t xml:space="preserve">Wafula, K. (2016). The effect of dividend policy on financial performance on firms at the NSE. </w:t>
      </w:r>
      <w:r w:rsidRPr="007C525B">
        <w:rPr>
          <w:i/>
          <w:sz w:val="24"/>
          <w:szCs w:val="24"/>
        </w:rPr>
        <w:t>Unpublished MBA Thesis of the University of Nairobi.</w:t>
      </w:r>
    </w:p>
    <w:p w14:paraId="4F749AAA" w14:textId="77777777" w:rsidR="007C525B" w:rsidRPr="007C525B" w:rsidRDefault="007C525B" w:rsidP="007C525B">
      <w:pPr>
        <w:spacing w:before="1"/>
        <w:ind w:left="783" w:right="154" w:hanging="721"/>
        <w:jc w:val="both"/>
        <w:rPr>
          <w:sz w:val="24"/>
          <w:szCs w:val="24"/>
        </w:rPr>
      </w:pPr>
      <w:r w:rsidRPr="007C525B">
        <w:rPr>
          <w:sz w:val="24"/>
          <w:szCs w:val="24"/>
        </w:rPr>
        <w:t xml:space="preserve">Waggoner, D., Neely, A. &amp; Kennerley, M. (1999). The forces that shape organizational performance measurement systems. An interdisciplinary review. </w:t>
      </w:r>
      <w:r w:rsidRPr="007C525B">
        <w:rPr>
          <w:i/>
          <w:sz w:val="24"/>
          <w:szCs w:val="24"/>
        </w:rPr>
        <w:t xml:space="preserve">International Journal of Production Economics, </w:t>
      </w:r>
      <w:r w:rsidRPr="007C525B">
        <w:rPr>
          <w:sz w:val="24"/>
          <w:szCs w:val="24"/>
        </w:rPr>
        <w:t>60(61), 53–60.</w:t>
      </w:r>
    </w:p>
    <w:p w14:paraId="58678E5B" w14:textId="6DDBDF21" w:rsidR="001F3DFF" w:rsidRPr="00E90003" w:rsidRDefault="007C525B" w:rsidP="00E90003">
      <w:pPr>
        <w:ind w:left="783" w:right="155" w:hanging="721"/>
        <w:jc w:val="both"/>
        <w:rPr>
          <w:sz w:val="24"/>
          <w:szCs w:val="24"/>
        </w:rPr>
      </w:pPr>
      <w:r w:rsidRPr="007C525B">
        <w:rPr>
          <w:sz w:val="24"/>
          <w:szCs w:val="24"/>
        </w:rPr>
        <w:t xml:space="preserve">Zaher T.S. &amp; Hassan K.M. (2001). A Comparative Literature Survey of Islamic Finance and Banking, </w:t>
      </w:r>
      <w:r w:rsidRPr="007C525B">
        <w:rPr>
          <w:i/>
          <w:sz w:val="24"/>
          <w:szCs w:val="24"/>
        </w:rPr>
        <w:t>International Journal of Banking and Finance</w:t>
      </w:r>
      <w:r w:rsidRPr="007C525B">
        <w:rPr>
          <w:sz w:val="24"/>
          <w:szCs w:val="24"/>
        </w:rPr>
        <w:t>, Volume 7 | Issue 1, Article 1.</w:t>
      </w:r>
    </w:p>
    <w:sectPr w:rsidR="001F3DFF" w:rsidRPr="00E90003" w:rsidSect="007C525B">
      <w:headerReference w:type="default" r:id="rId23"/>
      <w:footerReference w:type="default" r:id="rId24"/>
      <w:pgSz w:w="12240" w:h="15840"/>
      <w:pgMar w:top="1440" w:right="1080" w:bottom="1440" w:left="1080" w:header="309" w:footer="698" w:gutter="0"/>
      <w:cols w:space="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2C5F1" w14:textId="77777777" w:rsidR="00BC20A4" w:rsidRDefault="00BC20A4">
      <w:r>
        <w:separator/>
      </w:r>
    </w:p>
  </w:endnote>
  <w:endnote w:type="continuationSeparator" w:id="0">
    <w:p w14:paraId="3DA96DED" w14:textId="77777777" w:rsidR="00BC20A4" w:rsidRDefault="00BC2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150841"/>
      <w:docPartObj>
        <w:docPartGallery w:val="Page Numbers (Bottom of Page)"/>
        <w:docPartUnique/>
      </w:docPartObj>
    </w:sdtPr>
    <w:sdtEndPr>
      <w:rPr>
        <w:b/>
        <w:bCs/>
        <w:noProof/>
        <w:sz w:val="24"/>
        <w:szCs w:val="24"/>
      </w:rPr>
    </w:sdtEndPr>
    <w:sdtContent>
      <w:p w14:paraId="76E6E8C3" w14:textId="229AF4B0" w:rsidR="00860D87" w:rsidRPr="00860D87" w:rsidRDefault="00860D87">
        <w:pPr>
          <w:pStyle w:val="Footer"/>
          <w:jc w:val="center"/>
          <w:rPr>
            <w:b/>
            <w:bCs/>
            <w:sz w:val="24"/>
            <w:szCs w:val="24"/>
          </w:rPr>
        </w:pPr>
        <w:r w:rsidRPr="00860D87">
          <w:rPr>
            <w:b/>
            <w:bCs/>
            <w:sz w:val="24"/>
            <w:szCs w:val="24"/>
          </w:rPr>
          <w:fldChar w:fldCharType="begin"/>
        </w:r>
        <w:r w:rsidRPr="00860D87">
          <w:rPr>
            <w:b/>
            <w:bCs/>
            <w:sz w:val="24"/>
            <w:szCs w:val="24"/>
          </w:rPr>
          <w:instrText xml:space="preserve"> PAGE   \* MERGEFORMAT </w:instrText>
        </w:r>
        <w:r w:rsidRPr="00860D87">
          <w:rPr>
            <w:b/>
            <w:bCs/>
            <w:sz w:val="24"/>
            <w:szCs w:val="24"/>
          </w:rPr>
          <w:fldChar w:fldCharType="separate"/>
        </w:r>
        <w:r w:rsidRPr="00860D87">
          <w:rPr>
            <w:b/>
            <w:bCs/>
            <w:noProof/>
            <w:sz w:val="24"/>
            <w:szCs w:val="24"/>
          </w:rPr>
          <w:t>2</w:t>
        </w:r>
        <w:r w:rsidRPr="00860D87">
          <w:rPr>
            <w:b/>
            <w:bCs/>
            <w:noProof/>
            <w:sz w:val="24"/>
            <w:szCs w:val="24"/>
          </w:rPr>
          <w:fldChar w:fldCharType="end"/>
        </w:r>
      </w:p>
    </w:sdtContent>
  </w:sdt>
  <w:p w14:paraId="7432FAD2" w14:textId="2D417B6B" w:rsidR="001F3DFF" w:rsidRDefault="001F3DFF">
    <w:pPr>
      <w:pStyle w:val="BodyText"/>
      <w:spacing w:before="0" w:line="14" w:lineRule="auto"/>
      <w:ind w:left="0"/>
      <w:jc w:val="lef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970DD" w14:textId="77777777" w:rsidR="00BC20A4" w:rsidRDefault="00BC20A4">
      <w:r>
        <w:separator/>
      </w:r>
    </w:p>
  </w:footnote>
  <w:footnote w:type="continuationSeparator" w:id="0">
    <w:p w14:paraId="7514112D" w14:textId="77777777" w:rsidR="00BC20A4" w:rsidRDefault="00BC2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41AA" w14:textId="182E8E21" w:rsidR="001F3DFF" w:rsidRDefault="001F3DFF">
    <w:pPr>
      <w:pStyle w:val="BodyText"/>
      <w:spacing w:before="0"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4774"/>
    <w:multiLevelType w:val="hybridMultilevel"/>
    <w:tmpl w:val="FBA0B0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B7931"/>
    <w:multiLevelType w:val="multilevel"/>
    <w:tmpl w:val="3EE691B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630EAE"/>
    <w:multiLevelType w:val="hybridMultilevel"/>
    <w:tmpl w:val="A40C096E"/>
    <w:lvl w:ilvl="0" w:tplc="11880932">
      <w:numFmt w:val="bullet"/>
      <w:lvlText w:val=""/>
      <w:lvlJc w:val="left"/>
      <w:pPr>
        <w:ind w:left="414" w:hanging="272"/>
      </w:pPr>
      <w:rPr>
        <w:rFonts w:ascii="Symbol" w:eastAsia="Symbol" w:hAnsi="Symbol" w:cs="Symbol" w:hint="default"/>
        <w:w w:val="100"/>
        <w:sz w:val="24"/>
        <w:szCs w:val="24"/>
        <w:lang w:val="en-US" w:eastAsia="en-US" w:bidi="ar-SA"/>
      </w:rPr>
    </w:lvl>
    <w:lvl w:ilvl="1" w:tplc="046E6258">
      <w:numFmt w:val="bullet"/>
      <w:lvlText w:val="•"/>
      <w:lvlJc w:val="left"/>
      <w:pPr>
        <w:ind w:left="592" w:hanging="272"/>
      </w:pPr>
      <w:rPr>
        <w:rFonts w:hint="default"/>
        <w:lang w:val="en-US" w:eastAsia="en-US" w:bidi="ar-SA"/>
      </w:rPr>
    </w:lvl>
    <w:lvl w:ilvl="2" w:tplc="6486D458">
      <w:numFmt w:val="bullet"/>
      <w:lvlText w:val="•"/>
      <w:lvlJc w:val="left"/>
      <w:pPr>
        <w:ind w:left="765" w:hanging="272"/>
      </w:pPr>
      <w:rPr>
        <w:rFonts w:hint="default"/>
        <w:lang w:val="en-US" w:eastAsia="en-US" w:bidi="ar-SA"/>
      </w:rPr>
    </w:lvl>
    <w:lvl w:ilvl="3" w:tplc="AF1C5268">
      <w:numFmt w:val="bullet"/>
      <w:lvlText w:val="•"/>
      <w:lvlJc w:val="left"/>
      <w:pPr>
        <w:ind w:left="938" w:hanging="272"/>
      </w:pPr>
      <w:rPr>
        <w:rFonts w:hint="default"/>
        <w:lang w:val="en-US" w:eastAsia="en-US" w:bidi="ar-SA"/>
      </w:rPr>
    </w:lvl>
    <w:lvl w:ilvl="4" w:tplc="EEA4CCDC">
      <w:numFmt w:val="bullet"/>
      <w:lvlText w:val="•"/>
      <w:lvlJc w:val="left"/>
      <w:pPr>
        <w:ind w:left="1111" w:hanging="272"/>
      </w:pPr>
      <w:rPr>
        <w:rFonts w:hint="default"/>
        <w:lang w:val="en-US" w:eastAsia="en-US" w:bidi="ar-SA"/>
      </w:rPr>
    </w:lvl>
    <w:lvl w:ilvl="5" w:tplc="AC26AC5A">
      <w:numFmt w:val="bullet"/>
      <w:lvlText w:val="•"/>
      <w:lvlJc w:val="left"/>
      <w:pPr>
        <w:ind w:left="1284" w:hanging="272"/>
      </w:pPr>
      <w:rPr>
        <w:rFonts w:hint="default"/>
        <w:lang w:val="en-US" w:eastAsia="en-US" w:bidi="ar-SA"/>
      </w:rPr>
    </w:lvl>
    <w:lvl w:ilvl="6" w:tplc="7A2097E6">
      <w:numFmt w:val="bullet"/>
      <w:lvlText w:val="•"/>
      <w:lvlJc w:val="left"/>
      <w:pPr>
        <w:ind w:left="1457" w:hanging="272"/>
      </w:pPr>
      <w:rPr>
        <w:rFonts w:hint="default"/>
        <w:lang w:val="en-US" w:eastAsia="en-US" w:bidi="ar-SA"/>
      </w:rPr>
    </w:lvl>
    <w:lvl w:ilvl="7" w:tplc="EB08271C">
      <w:numFmt w:val="bullet"/>
      <w:lvlText w:val="•"/>
      <w:lvlJc w:val="left"/>
      <w:pPr>
        <w:ind w:left="1630" w:hanging="272"/>
      </w:pPr>
      <w:rPr>
        <w:rFonts w:hint="default"/>
        <w:lang w:val="en-US" w:eastAsia="en-US" w:bidi="ar-SA"/>
      </w:rPr>
    </w:lvl>
    <w:lvl w:ilvl="8" w:tplc="CC12718E">
      <w:numFmt w:val="bullet"/>
      <w:lvlText w:val="•"/>
      <w:lvlJc w:val="left"/>
      <w:pPr>
        <w:ind w:left="1803" w:hanging="272"/>
      </w:pPr>
      <w:rPr>
        <w:rFonts w:hint="default"/>
        <w:lang w:val="en-US" w:eastAsia="en-US" w:bidi="ar-SA"/>
      </w:rPr>
    </w:lvl>
  </w:abstractNum>
  <w:abstractNum w:abstractNumId="3" w15:restartNumberingAfterBreak="0">
    <w:nsid w:val="2D5267AA"/>
    <w:multiLevelType w:val="hybridMultilevel"/>
    <w:tmpl w:val="58CE4672"/>
    <w:lvl w:ilvl="0" w:tplc="FB3A72D8">
      <w:numFmt w:val="bullet"/>
      <w:lvlText w:val=""/>
      <w:lvlJc w:val="left"/>
      <w:pPr>
        <w:ind w:left="271" w:hanging="272"/>
      </w:pPr>
      <w:rPr>
        <w:rFonts w:ascii="Symbol" w:eastAsia="Symbol" w:hAnsi="Symbol" w:cs="Symbol" w:hint="default"/>
        <w:w w:val="100"/>
        <w:sz w:val="24"/>
        <w:szCs w:val="24"/>
        <w:lang w:val="en-US" w:eastAsia="en-US" w:bidi="ar-SA"/>
      </w:rPr>
    </w:lvl>
    <w:lvl w:ilvl="1" w:tplc="6C628272">
      <w:numFmt w:val="bullet"/>
      <w:lvlText w:val="•"/>
      <w:lvlJc w:val="left"/>
      <w:pPr>
        <w:ind w:left="435" w:hanging="272"/>
      </w:pPr>
      <w:rPr>
        <w:rFonts w:hint="default"/>
        <w:lang w:val="en-US" w:eastAsia="en-US" w:bidi="ar-SA"/>
      </w:rPr>
    </w:lvl>
    <w:lvl w:ilvl="2" w:tplc="C6727522">
      <w:numFmt w:val="bullet"/>
      <w:lvlText w:val="•"/>
      <w:lvlJc w:val="left"/>
      <w:pPr>
        <w:ind w:left="591" w:hanging="272"/>
      </w:pPr>
      <w:rPr>
        <w:rFonts w:hint="default"/>
        <w:lang w:val="en-US" w:eastAsia="en-US" w:bidi="ar-SA"/>
      </w:rPr>
    </w:lvl>
    <w:lvl w:ilvl="3" w:tplc="313C37FA">
      <w:numFmt w:val="bullet"/>
      <w:lvlText w:val="•"/>
      <w:lvlJc w:val="left"/>
      <w:pPr>
        <w:ind w:left="746" w:hanging="272"/>
      </w:pPr>
      <w:rPr>
        <w:rFonts w:hint="default"/>
        <w:lang w:val="en-US" w:eastAsia="en-US" w:bidi="ar-SA"/>
      </w:rPr>
    </w:lvl>
    <w:lvl w:ilvl="4" w:tplc="C032BB34">
      <w:numFmt w:val="bullet"/>
      <w:lvlText w:val="•"/>
      <w:lvlJc w:val="left"/>
      <w:pPr>
        <w:ind w:left="902" w:hanging="272"/>
      </w:pPr>
      <w:rPr>
        <w:rFonts w:hint="default"/>
        <w:lang w:val="en-US" w:eastAsia="en-US" w:bidi="ar-SA"/>
      </w:rPr>
    </w:lvl>
    <w:lvl w:ilvl="5" w:tplc="6AB4E66A">
      <w:numFmt w:val="bullet"/>
      <w:lvlText w:val="•"/>
      <w:lvlJc w:val="left"/>
      <w:pPr>
        <w:ind w:left="1058" w:hanging="272"/>
      </w:pPr>
      <w:rPr>
        <w:rFonts w:hint="default"/>
        <w:lang w:val="en-US" w:eastAsia="en-US" w:bidi="ar-SA"/>
      </w:rPr>
    </w:lvl>
    <w:lvl w:ilvl="6" w:tplc="03BC8CA0">
      <w:numFmt w:val="bullet"/>
      <w:lvlText w:val="•"/>
      <w:lvlJc w:val="left"/>
      <w:pPr>
        <w:ind w:left="1213" w:hanging="272"/>
      </w:pPr>
      <w:rPr>
        <w:rFonts w:hint="default"/>
        <w:lang w:val="en-US" w:eastAsia="en-US" w:bidi="ar-SA"/>
      </w:rPr>
    </w:lvl>
    <w:lvl w:ilvl="7" w:tplc="5E08F66C">
      <w:numFmt w:val="bullet"/>
      <w:lvlText w:val="•"/>
      <w:lvlJc w:val="left"/>
      <w:pPr>
        <w:ind w:left="1369" w:hanging="272"/>
      </w:pPr>
      <w:rPr>
        <w:rFonts w:hint="default"/>
        <w:lang w:val="en-US" w:eastAsia="en-US" w:bidi="ar-SA"/>
      </w:rPr>
    </w:lvl>
    <w:lvl w:ilvl="8" w:tplc="2B3C17FC">
      <w:numFmt w:val="bullet"/>
      <w:lvlText w:val="•"/>
      <w:lvlJc w:val="left"/>
      <w:pPr>
        <w:ind w:left="1525" w:hanging="272"/>
      </w:pPr>
      <w:rPr>
        <w:rFonts w:hint="default"/>
        <w:lang w:val="en-US" w:eastAsia="en-US" w:bidi="ar-SA"/>
      </w:rPr>
    </w:lvl>
  </w:abstractNum>
  <w:abstractNum w:abstractNumId="4" w15:restartNumberingAfterBreak="0">
    <w:nsid w:val="2E0A6A93"/>
    <w:multiLevelType w:val="hybridMultilevel"/>
    <w:tmpl w:val="9664DE4A"/>
    <w:lvl w:ilvl="0" w:tplc="38C42CA2">
      <w:numFmt w:val="bullet"/>
      <w:lvlText w:val=""/>
      <w:lvlJc w:val="left"/>
      <w:pPr>
        <w:ind w:left="646" w:hanging="360"/>
      </w:pPr>
      <w:rPr>
        <w:rFonts w:ascii="Symbol" w:eastAsia="Symbol" w:hAnsi="Symbol" w:cs="Symbol" w:hint="default"/>
        <w:w w:val="100"/>
        <w:sz w:val="24"/>
        <w:szCs w:val="24"/>
        <w:lang w:val="en-US" w:eastAsia="en-US" w:bidi="ar-SA"/>
      </w:rPr>
    </w:lvl>
    <w:lvl w:ilvl="1" w:tplc="CD34040A">
      <w:numFmt w:val="bullet"/>
      <w:lvlText w:val="•"/>
      <w:lvlJc w:val="left"/>
      <w:pPr>
        <w:ind w:left="790" w:hanging="360"/>
      </w:pPr>
      <w:rPr>
        <w:rFonts w:hint="default"/>
        <w:lang w:val="en-US" w:eastAsia="en-US" w:bidi="ar-SA"/>
      </w:rPr>
    </w:lvl>
    <w:lvl w:ilvl="2" w:tplc="765C4164">
      <w:numFmt w:val="bullet"/>
      <w:lvlText w:val="•"/>
      <w:lvlJc w:val="left"/>
      <w:pPr>
        <w:ind w:left="941" w:hanging="360"/>
      </w:pPr>
      <w:rPr>
        <w:rFonts w:hint="default"/>
        <w:lang w:val="en-US" w:eastAsia="en-US" w:bidi="ar-SA"/>
      </w:rPr>
    </w:lvl>
    <w:lvl w:ilvl="3" w:tplc="29E480F8">
      <w:numFmt w:val="bullet"/>
      <w:lvlText w:val="•"/>
      <w:lvlJc w:val="left"/>
      <w:pPr>
        <w:ind w:left="1092" w:hanging="360"/>
      </w:pPr>
      <w:rPr>
        <w:rFonts w:hint="default"/>
        <w:lang w:val="en-US" w:eastAsia="en-US" w:bidi="ar-SA"/>
      </w:rPr>
    </w:lvl>
    <w:lvl w:ilvl="4" w:tplc="18943878">
      <w:numFmt w:val="bullet"/>
      <w:lvlText w:val="•"/>
      <w:lvlJc w:val="left"/>
      <w:pPr>
        <w:ind w:left="1243" w:hanging="360"/>
      </w:pPr>
      <w:rPr>
        <w:rFonts w:hint="default"/>
        <w:lang w:val="en-US" w:eastAsia="en-US" w:bidi="ar-SA"/>
      </w:rPr>
    </w:lvl>
    <w:lvl w:ilvl="5" w:tplc="D36EB5E8">
      <w:numFmt w:val="bullet"/>
      <w:lvlText w:val="•"/>
      <w:lvlJc w:val="left"/>
      <w:pPr>
        <w:ind w:left="1394" w:hanging="360"/>
      </w:pPr>
      <w:rPr>
        <w:rFonts w:hint="default"/>
        <w:lang w:val="en-US" w:eastAsia="en-US" w:bidi="ar-SA"/>
      </w:rPr>
    </w:lvl>
    <w:lvl w:ilvl="6" w:tplc="FB1616DA">
      <w:numFmt w:val="bullet"/>
      <w:lvlText w:val="•"/>
      <w:lvlJc w:val="left"/>
      <w:pPr>
        <w:ind w:left="1545" w:hanging="360"/>
      </w:pPr>
      <w:rPr>
        <w:rFonts w:hint="default"/>
        <w:lang w:val="en-US" w:eastAsia="en-US" w:bidi="ar-SA"/>
      </w:rPr>
    </w:lvl>
    <w:lvl w:ilvl="7" w:tplc="0A1ACBDA">
      <w:numFmt w:val="bullet"/>
      <w:lvlText w:val="•"/>
      <w:lvlJc w:val="left"/>
      <w:pPr>
        <w:ind w:left="1696" w:hanging="360"/>
      </w:pPr>
      <w:rPr>
        <w:rFonts w:hint="default"/>
        <w:lang w:val="en-US" w:eastAsia="en-US" w:bidi="ar-SA"/>
      </w:rPr>
    </w:lvl>
    <w:lvl w:ilvl="8" w:tplc="F1D069EA">
      <w:numFmt w:val="bullet"/>
      <w:lvlText w:val="•"/>
      <w:lvlJc w:val="left"/>
      <w:pPr>
        <w:ind w:left="1847" w:hanging="360"/>
      </w:pPr>
      <w:rPr>
        <w:rFonts w:hint="default"/>
        <w:lang w:val="en-US" w:eastAsia="en-US" w:bidi="ar-SA"/>
      </w:rPr>
    </w:lvl>
  </w:abstractNum>
  <w:abstractNum w:abstractNumId="5" w15:restartNumberingAfterBreak="0">
    <w:nsid w:val="410B1734"/>
    <w:multiLevelType w:val="hybridMultilevel"/>
    <w:tmpl w:val="899494E6"/>
    <w:lvl w:ilvl="0" w:tplc="98BE33B8">
      <w:start w:val="1"/>
      <w:numFmt w:val="lowerLetter"/>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6" w15:restartNumberingAfterBreak="0">
    <w:nsid w:val="4208738E"/>
    <w:multiLevelType w:val="hybridMultilevel"/>
    <w:tmpl w:val="A9CEE2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1A278B"/>
    <w:multiLevelType w:val="hybridMultilevel"/>
    <w:tmpl w:val="A9CEE2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1B731B"/>
    <w:multiLevelType w:val="multilevel"/>
    <w:tmpl w:val="14AEB0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3E6760B"/>
    <w:multiLevelType w:val="multilevel"/>
    <w:tmpl w:val="93BE432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FA0198E"/>
    <w:multiLevelType w:val="hybridMultilevel"/>
    <w:tmpl w:val="360CC412"/>
    <w:lvl w:ilvl="0" w:tplc="7E145822">
      <w:start w:val="1"/>
      <w:numFmt w:val="lowerRoman"/>
      <w:lvlText w:val="%1."/>
      <w:lvlJc w:val="left"/>
      <w:pPr>
        <w:ind w:left="967" w:hanging="488"/>
        <w:jc w:val="right"/>
      </w:pPr>
      <w:rPr>
        <w:rFonts w:ascii="Times New Roman" w:eastAsia="Times New Roman" w:hAnsi="Times New Roman" w:cs="Times New Roman" w:hint="default"/>
        <w:spacing w:val="-6"/>
        <w:w w:val="99"/>
        <w:sz w:val="24"/>
        <w:szCs w:val="24"/>
        <w:lang w:val="en-US" w:eastAsia="en-US" w:bidi="ar-SA"/>
      </w:rPr>
    </w:lvl>
    <w:lvl w:ilvl="1" w:tplc="8C72832E">
      <w:numFmt w:val="bullet"/>
      <w:lvlText w:val="•"/>
      <w:lvlJc w:val="left"/>
      <w:pPr>
        <w:ind w:left="1394" w:hanging="488"/>
      </w:pPr>
      <w:rPr>
        <w:rFonts w:hint="default"/>
        <w:lang w:val="en-US" w:eastAsia="en-US" w:bidi="ar-SA"/>
      </w:rPr>
    </w:lvl>
    <w:lvl w:ilvl="2" w:tplc="06DEF344">
      <w:numFmt w:val="bullet"/>
      <w:lvlText w:val="•"/>
      <w:lvlJc w:val="left"/>
      <w:pPr>
        <w:ind w:left="1828" w:hanging="488"/>
      </w:pPr>
      <w:rPr>
        <w:rFonts w:hint="default"/>
        <w:lang w:val="en-US" w:eastAsia="en-US" w:bidi="ar-SA"/>
      </w:rPr>
    </w:lvl>
    <w:lvl w:ilvl="3" w:tplc="22D6CCF0">
      <w:numFmt w:val="bullet"/>
      <w:lvlText w:val="•"/>
      <w:lvlJc w:val="left"/>
      <w:pPr>
        <w:ind w:left="2262" w:hanging="488"/>
      </w:pPr>
      <w:rPr>
        <w:rFonts w:hint="default"/>
        <w:lang w:val="en-US" w:eastAsia="en-US" w:bidi="ar-SA"/>
      </w:rPr>
    </w:lvl>
    <w:lvl w:ilvl="4" w:tplc="BB1E00FC">
      <w:numFmt w:val="bullet"/>
      <w:lvlText w:val="•"/>
      <w:lvlJc w:val="left"/>
      <w:pPr>
        <w:ind w:left="2696" w:hanging="488"/>
      </w:pPr>
      <w:rPr>
        <w:rFonts w:hint="default"/>
        <w:lang w:val="en-US" w:eastAsia="en-US" w:bidi="ar-SA"/>
      </w:rPr>
    </w:lvl>
    <w:lvl w:ilvl="5" w:tplc="04BA8ED6">
      <w:numFmt w:val="bullet"/>
      <w:lvlText w:val="•"/>
      <w:lvlJc w:val="left"/>
      <w:pPr>
        <w:ind w:left="3131" w:hanging="488"/>
      </w:pPr>
      <w:rPr>
        <w:rFonts w:hint="default"/>
        <w:lang w:val="en-US" w:eastAsia="en-US" w:bidi="ar-SA"/>
      </w:rPr>
    </w:lvl>
    <w:lvl w:ilvl="6" w:tplc="36DACDBC">
      <w:numFmt w:val="bullet"/>
      <w:lvlText w:val="•"/>
      <w:lvlJc w:val="left"/>
      <w:pPr>
        <w:ind w:left="3565" w:hanging="488"/>
      </w:pPr>
      <w:rPr>
        <w:rFonts w:hint="default"/>
        <w:lang w:val="en-US" w:eastAsia="en-US" w:bidi="ar-SA"/>
      </w:rPr>
    </w:lvl>
    <w:lvl w:ilvl="7" w:tplc="5C64CBEC">
      <w:numFmt w:val="bullet"/>
      <w:lvlText w:val="•"/>
      <w:lvlJc w:val="left"/>
      <w:pPr>
        <w:ind w:left="3999" w:hanging="488"/>
      </w:pPr>
      <w:rPr>
        <w:rFonts w:hint="default"/>
        <w:lang w:val="en-US" w:eastAsia="en-US" w:bidi="ar-SA"/>
      </w:rPr>
    </w:lvl>
    <w:lvl w:ilvl="8" w:tplc="D3C6CB82">
      <w:numFmt w:val="bullet"/>
      <w:lvlText w:val="•"/>
      <w:lvlJc w:val="left"/>
      <w:pPr>
        <w:ind w:left="4433" w:hanging="488"/>
      </w:pPr>
      <w:rPr>
        <w:rFonts w:hint="default"/>
        <w:lang w:val="en-US" w:eastAsia="en-US" w:bidi="ar-SA"/>
      </w:rPr>
    </w:lvl>
  </w:abstractNum>
  <w:abstractNum w:abstractNumId="11" w15:restartNumberingAfterBreak="0">
    <w:nsid w:val="7F692300"/>
    <w:multiLevelType w:val="hybridMultilevel"/>
    <w:tmpl w:val="4192E4E2"/>
    <w:lvl w:ilvl="0" w:tplc="4B1CC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3781487">
    <w:abstractNumId w:val="2"/>
  </w:num>
  <w:num w:numId="2" w16cid:durableId="891160587">
    <w:abstractNumId w:val="4"/>
  </w:num>
  <w:num w:numId="3" w16cid:durableId="763184633">
    <w:abstractNumId w:val="3"/>
  </w:num>
  <w:num w:numId="4" w16cid:durableId="1375276830">
    <w:abstractNumId w:val="10"/>
  </w:num>
  <w:num w:numId="5" w16cid:durableId="1689478584">
    <w:abstractNumId w:val="0"/>
  </w:num>
  <w:num w:numId="6" w16cid:durableId="217791650">
    <w:abstractNumId w:val="5"/>
  </w:num>
  <w:num w:numId="7" w16cid:durableId="1939290441">
    <w:abstractNumId w:val="6"/>
  </w:num>
  <w:num w:numId="8" w16cid:durableId="1969241703">
    <w:abstractNumId w:val="11"/>
  </w:num>
  <w:num w:numId="9" w16cid:durableId="941379406">
    <w:abstractNumId w:val="7"/>
  </w:num>
  <w:num w:numId="10" w16cid:durableId="1155798952">
    <w:abstractNumId w:val="9"/>
  </w:num>
  <w:num w:numId="11" w16cid:durableId="696540337">
    <w:abstractNumId w:val="8"/>
  </w:num>
  <w:num w:numId="12" w16cid:durableId="1950115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FF"/>
    <w:rsid w:val="000141E9"/>
    <w:rsid w:val="0001486E"/>
    <w:rsid w:val="00016B74"/>
    <w:rsid w:val="00021A73"/>
    <w:rsid w:val="000271BA"/>
    <w:rsid w:val="00027E9A"/>
    <w:rsid w:val="000320DF"/>
    <w:rsid w:val="00044F3B"/>
    <w:rsid w:val="0004769E"/>
    <w:rsid w:val="0005039F"/>
    <w:rsid w:val="00050D63"/>
    <w:rsid w:val="0006155B"/>
    <w:rsid w:val="000709EB"/>
    <w:rsid w:val="00071901"/>
    <w:rsid w:val="00085686"/>
    <w:rsid w:val="00087BBF"/>
    <w:rsid w:val="00092C14"/>
    <w:rsid w:val="00097537"/>
    <w:rsid w:val="000A316B"/>
    <w:rsid w:val="000A5851"/>
    <w:rsid w:val="000B55B4"/>
    <w:rsid w:val="000C5FA5"/>
    <w:rsid w:val="000D1203"/>
    <w:rsid w:val="000D1375"/>
    <w:rsid w:val="000D148E"/>
    <w:rsid w:val="000D3E3B"/>
    <w:rsid w:val="000E0EDD"/>
    <w:rsid w:val="000E7ABB"/>
    <w:rsid w:val="000F0BD5"/>
    <w:rsid w:val="000F3E27"/>
    <w:rsid w:val="000F41F6"/>
    <w:rsid w:val="000F49D5"/>
    <w:rsid w:val="000F71FC"/>
    <w:rsid w:val="000F7298"/>
    <w:rsid w:val="0010035E"/>
    <w:rsid w:val="001130BD"/>
    <w:rsid w:val="00123CF2"/>
    <w:rsid w:val="00136082"/>
    <w:rsid w:val="00136B04"/>
    <w:rsid w:val="00136FE5"/>
    <w:rsid w:val="00145BB7"/>
    <w:rsid w:val="00153B50"/>
    <w:rsid w:val="001541B4"/>
    <w:rsid w:val="001617FC"/>
    <w:rsid w:val="00162190"/>
    <w:rsid w:val="001676EB"/>
    <w:rsid w:val="00184640"/>
    <w:rsid w:val="001A51D1"/>
    <w:rsid w:val="001C7418"/>
    <w:rsid w:val="001D261D"/>
    <w:rsid w:val="001D276C"/>
    <w:rsid w:val="001D7CA6"/>
    <w:rsid w:val="001F3DFF"/>
    <w:rsid w:val="002021B4"/>
    <w:rsid w:val="00202D41"/>
    <w:rsid w:val="00207D0A"/>
    <w:rsid w:val="00214D51"/>
    <w:rsid w:val="00217754"/>
    <w:rsid w:val="00222A6A"/>
    <w:rsid w:val="00222DA9"/>
    <w:rsid w:val="002231FD"/>
    <w:rsid w:val="00224054"/>
    <w:rsid w:val="00231686"/>
    <w:rsid w:val="00241337"/>
    <w:rsid w:val="00241F2B"/>
    <w:rsid w:val="00267FFE"/>
    <w:rsid w:val="00270A42"/>
    <w:rsid w:val="00273DF1"/>
    <w:rsid w:val="00274661"/>
    <w:rsid w:val="002778FE"/>
    <w:rsid w:val="002901A7"/>
    <w:rsid w:val="002C5863"/>
    <w:rsid w:val="002C62E6"/>
    <w:rsid w:val="002C7A5E"/>
    <w:rsid w:val="002C7AFA"/>
    <w:rsid w:val="002D36A3"/>
    <w:rsid w:val="002D579D"/>
    <w:rsid w:val="002E7664"/>
    <w:rsid w:val="003139B5"/>
    <w:rsid w:val="00315448"/>
    <w:rsid w:val="00317AE1"/>
    <w:rsid w:val="00317BC8"/>
    <w:rsid w:val="00323F0D"/>
    <w:rsid w:val="003444E5"/>
    <w:rsid w:val="00347381"/>
    <w:rsid w:val="003517C2"/>
    <w:rsid w:val="0036215D"/>
    <w:rsid w:val="003629B5"/>
    <w:rsid w:val="0038187F"/>
    <w:rsid w:val="00386D75"/>
    <w:rsid w:val="003B2AD2"/>
    <w:rsid w:val="003B5310"/>
    <w:rsid w:val="003D348D"/>
    <w:rsid w:val="003E6F58"/>
    <w:rsid w:val="004003C3"/>
    <w:rsid w:val="0040259C"/>
    <w:rsid w:val="004106C7"/>
    <w:rsid w:val="00410AA1"/>
    <w:rsid w:val="00411501"/>
    <w:rsid w:val="00421125"/>
    <w:rsid w:val="00425F1B"/>
    <w:rsid w:val="00427213"/>
    <w:rsid w:val="00437FFD"/>
    <w:rsid w:val="00442722"/>
    <w:rsid w:val="0045264F"/>
    <w:rsid w:val="00454CE5"/>
    <w:rsid w:val="00461115"/>
    <w:rsid w:val="00470B1F"/>
    <w:rsid w:val="004711B2"/>
    <w:rsid w:val="004744E6"/>
    <w:rsid w:val="0047525D"/>
    <w:rsid w:val="00477145"/>
    <w:rsid w:val="00483C0C"/>
    <w:rsid w:val="00496D4A"/>
    <w:rsid w:val="004A4F67"/>
    <w:rsid w:val="004C0476"/>
    <w:rsid w:val="004C1E7F"/>
    <w:rsid w:val="004C4776"/>
    <w:rsid w:val="004C6B85"/>
    <w:rsid w:val="004D7EBA"/>
    <w:rsid w:val="004E40F2"/>
    <w:rsid w:val="004E46C1"/>
    <w:rsid w:val="004E57B9"/>
    <w:rsid w:val="004E7D5E"/>
    <w:rsid w:val="004F0553"/>
    <w:rsid w:val="004F245B"/>
    <w:rsid w:val="004F5340"/>
    <w:rsid w:val="00500AAA"/>
    <w:rsid w:val="0052174C"/>
    <w:rsid w:val="00523E41"/>
    <w:rsid w:val="00524411"/>
    <w:rsid w:val="005269AD"/>
    <w:rsid w:val="005277D9"/>
    <w:rsid w:val="00530FA2"/>
    <w:rsid w:val="00533933"/>
    <w:rsid w:val="005415ED"/>
    <w:rsid w:val="005443DE"/>
    <w:rsid w:val="0054596C"/>
    <w:rsid w:val="005706AF"/>
    <w:rsid w:val="00571CAE"/>
    <w:rsid w:val="005776AC"/>
    <w:rsid w:val="00595B00"/>
    <w:rsid w:val="005A0D82"/>
    <w:rsid w:val="005A2665"/>
    <w:rsid w:val="005A59C8"/>
    <w:rsid w:val="005A6E1C"/>
    <w:rsid w:val="005B1B31"/>
    <w:rsid w:val="005B438D"/>
    <w:rsid w:val="005B7725"/>
    <w:rsid w:val="005C19B7"/>
    <w:rsid w:val="005C60B9"/>
    <w:rsid w:val="005C71CA"/>
    <w:rsid w:val="005D08A8"/>
    <w:rsid w:val="005D0B5B"/>
    <w:rsid w:val="005D3A97"/>
    <w:rsid w:val="005D3B62"/>
    <w:rsid w:val="005D7833"/>
    <w:rsid w:val="005E10BC"/>
    <w:rsid w:val="005E1CC9"/>
    <w:rsid w:val="005E2105"/>
    <w:rsid w:val="005E6096"/>
    <w:rsid w:val="00606185"/>
    <w:rsid w:val="006129F1"/>
    <w:rsid w:val="006200B6"/>
    <w:rsid w:val="00621F61"/>
    <w:rsid w:val="006324EE"/>
    <w:rsid w:val="0065023F"/>
    <w:rsid w:val="006513BC"/>
    <w:rsid w:val="00651C0E"/>
    <w:rsid w:val="00653DC1"/>
    <w:rsid w:val="00655CF7"/>
    <w:rsid w:val="00657C5F"/>
    <w:rsid w:val="00666150"/>
    <w:rsid w:val="00667F05"/>
    <w:rsid w:val="006740E0"/>
    <w:rsid w:val="006A4603"/>
    <w:rsid w:val="006A6587"/>
    <w:rsid w:val="006A7587"/>
    <w:rsid w:val="006A7AD5"/>
    <w:rsid w:val="006B3D77"/>
    <w:rsid w:val="006B5ACF"/>
    <w:rsid w:val="006E2444"/>
    <w:rsid w:val="006E3653"/>
    <w:rsid w:val="006E6104"/>
    <w:rsid w:val="006E7261"/>
    <w:rsid w:val="006F132A"/>
    <w:rsid w:val="006F663E"/>
    <w:rsid w:val="00721566"/>
    <w:rsid w:val="0072753A"/>
    <w:rsid w:val="00731AC3"/>
    <w:rsid w:val="00743063"/>
    <w:rsid w:val="007500FC"/>
    <w:rsid w:val="0075020E"/>
    <w:rsid w:val="00750447"/>
    <w:rsid w:val="00753846"/>
    <w:rsid w:val="0077326C"/>
    <w:rsid w:val="007864F9"/>
    <w:rsid w:val="00786D6A"/>
    <w:rsid w:val="007C525B"/>
    <w:rsid w:val="007D1007"/>
    <w:rsid w:val="007D2305"/>
    <w:rsid w:val="007D28A6"/>
    <w:rsid w:val="007E3882"/>
    <w:rsid w:val="007F74BD"/>
    <w:rsid w:val="00837F97"/>
    <w:rsid w:val="00842DBF"/>
    <w:rsid w:val="008465B2"/>
    <w:rsid w:val="0085281B"/>
    <w:rsid w:val="00860D87"/>
    <w:rsid w:val="00872DE8"/>
    <w:rsid w:val="0088129D"/>
    <w:rsid w:val="00881738"/>
    <w:rsid w:val="00882FAA"/>
    <w:rsid w:val="008847C5"/>
    <w:rsid w:val="008C078B"/>
    <w:rsid w:val="008C527D"/>
    <w:rsid w:val="008C70AE"/>
    <w:rsid w:val="008D15CE"/>
    <w:rsid w:val="008D5938"/>
    <w:rsid w:val="008E16C1"/>
    <w:rsid w:val="008E1AE7"/>
    <w:rsid w:val="008F11CD"/>
    <w:rsid w:val="00900AE0"/>
    <w:rsid w:val="00902097"/>
    <w:rsid w:val="009024C2"/>
    <w:rsid w:val="0090477B"/>
    <w:rsid w:val="00906649"/>
    <w:rsid w:val="00912821"/>
    <w:rsid w:val="00912E5E"/>
    <w:rsid w:val="0091443E"/>
    <w:rsid w:val="009223C0"/>
    <w:rsid w:val="00926442"/>
    <w:rsid w:val="009318B7"/>
    <w:rsid w:val="00932C05"/>
    <w:rsid w:val="0094716F"/>
    <w:rsid w:val="00952DDA"/>
    <w:rsid w:val="00960809"/>
    <w:rsid w:val="00961E81"/>
    <w:rsid w:val="00972644"/>
    <w:rsid w:val="0098605C"/>
    <w:rsid w:val="009911BF"/>
    <w:rsid w:val="00991A4D"/>
    <w:rsid w:val="009A3220"/>
    <w:rsid w:val="009B7A22"/>
    <w:rsid w:val="009C5362"/>
    <w:rsid w:val="009C7FC9"/>
    <w:rsid w:val="009D1E56"/>
    <w:rsid w:val="009D38A1"/>
    <w:rsid w:val="009D3BC6"/>
    <w:rsid w:val="009E1262"/>
    <w:rsid w:val="009E5E89"/>
    <w:rsid w:val="009F00A7"/>
    <w:rsid w:val="009F45D6"/>
    <w:rsid w:val="009F7C43"/>
    <w:rsid w:val="00A10CB8"/>
    <w:rsid w:val="00A10DEF"/>
    <w:rsid w:val="00A116DD"/>
    <w:rsid w:val="00A268E4"/>
    <w:rsid w:val="00A27F18"/>
    <w:rsid w:val="00A33339"/>
    <w:rsid w:val="00A35BB7"/>
    <w:rsid w:val="00A52967"/>
    <w:rsid w:val="00A539E0"/>
    <w:rsid w:val="00A550CF"/>
    <w:rsid w:val="00A628AA"/>
    <w:rsid w:val="00A82CD1"/>
    <w:rsid w:val="00A854E0"/>
    <w:rsid w:val="00A9215C"/>
    <w:rsid w:val="00A960D7"/>
    <w:rsid w:val="00AA1743"/>
    <w:rsid w:val="00AB581C"/>
    <w:rsid w:val="00AE0B04"/>
    <w:rsid w:val="00AE6F93"/>
    <w:rsid w:val="00AF0C17"/>
    <w:rsid w:val="00B00E8C"/>
    <w:rsid w:val="00B1182D"/>
    <w:rsid w:val="00B16284"/>
    <w:rsid w:val="00B27083"/>
    <w:rsid w:val="00B3466F"/>
    <w:rsid w:val="00B4535E"/>
    <w:rsid w:val="00B533D9"/>
    <w:rsid w:val="00B66C44"/>
    <w:rsid w:val="00B742E1"/>
    <w:rsid w:val="00B8349E"/>
    <w:rsid w:val="00B83A54"/>
    <w:rsid w:val="00B96F35"/>
    <w:rsid w:val="00B97595"/>
    <w:rsid w:val="00BA6D5E"/>
    <w:rsid w:val="00BB0BC9"/>
    <w:rsid w:val="00BB0E8E"/>
    <w:rsid w:val="00BB24E1"/>
    <w:rsid w:val="00BB59BE"/>
    <w:rsid w:val="00BC1C6D"/>
    <w:rsid w:val="00BC20A4"/>
    <w:rsid w:val="00BC5634"/>
    <w:rsid w:val="00BC696A"/>
    <w:rsid w:val="00BD016D"/>
    <w:rsid w:val="00BD475B"/>
    <w:rsid w:val="00BE029C"/>
    <w:rsid w:val="00BE2B90"/>
    <w:rsid w:val="00BE45FC"/>
    <w:rsid w:val="00BF1297"/>
    <w:rsid w:val="00BF41EB"/>
    <w:rsid w:val="00BF481B"/>
    <w:rsid w:val="00C25203"/>
    <w:rsid w:val="00C432E4"/>
    <w:rsid w:val="00C45C75"/>
    <w:rsid w:val="00C46B2E"/>
    <w:rsid w:val="00C520E5"/>
    <w:rsid w:val="00C52F4F"/>
    <w:rsid w:val="00C55BFC"/>
    <w:rsid w:val="00C6036B"/>
    <w:rsid w:val="00C6580E"/>
    <w:rsid w:val="00C76863"/>
    <w:rsid w:val="00C835A0"/>
    <w:rsid w:val="00C84A49"/>
    <w:rsid w:val="00C93ED8"/>
    <w:rsid w:val="00CA1A9F"/>
    <w:rsid w:val="00CB09FE"/>
    <w:rsid w:val="00CC0BE0"/>
    <w:rsid w:val="00CC18AB"/>
    <w:rsid w:val="00CD23F7"/>
    <w:rsid w:val="00CD2FF4"/>
    <w:rsid w:val="00CE05D9"/>
    <w:rsid w:val="00CF0A71"/>
    <w:rsid w:val="00CF66FD"/>
    <w:rsid w:val="00D0054C"/>
    <w:rsid w:val="00D02C8E"/>
    <w:rsid w:val="00D04B0A"/>
    <w:rsid w:val="00D1136C"/>
    <w:rsid w:val="00D15B71"/>
    <w:rsid w:val="00D20A5A"/>
    <w:rsid w:val="00D25563"/>
    <w:rsid w:val="00D354FD"/>
    <w:rsid w:val="00D41120"/>
    <w:rsid w:val="00D41927"/>
    <w:rsid w:val="00D45325"/>
    <w:rsid w:val="00D533F3"/>
    <w:rsid w:val="00D53486"/>
    <w:rsid w:val="00D81BAA"/>
    <w:rsid w:val="00D8213C"/>
    <w:rsid w:val="00D84CDC"/>
    <w:rsid w:val="00D878EE"/>
    <w:rsid w:val="00D87FE7"/>
    <w:rsid w:val="00DA0BCB"/>
    <w:rsid w:val="00DC3340"/>
    <w:rsid w:val="00DC7B77"/>
    <w:rsid w:val="00DD15EE"/>
    <w:rsid w:val="00DE1E98"/>
    <w:rsid w:val="00DF3D1C"/>
    <w:rsid w:val="00E127CC"/>
    <w:rsid w:val="00E129F2"/>
    <w:rsid w:val="00E151F8"/>
    <w:rsid w:val="00E210D4"/>
    <w:rsid w:val="00E41561"/>
    <w:rsid w:val="00E47BC8"/>
    <w:rsid w:val="00E56A8E"/>
    <w:rsid w:val="00E66DDC"/>
    <w:rsid w:val="00E72877"/>
    <w:rsid w:val="00E72D3A"/>
    <w:rsid w:val="00E827CE"/>
    <w:rsid w:val="00E82B32"/>
    <w:rsid w:val="00E83C14"/>
    <w:rsid w:val="00E84A90"/>
    <w:rsid w:val="00E86D85"/>
    <w:rsid w:val="00E90003"/>
    <w:rsid w:val="00E96F6F"/>
    <w:rsid w:val="00EA0811"/>
    <w:rsid w:val="00EA36F6"/>
    <w:rsid w:val="00EA74A3"/>
    <w:rsid w:val="00EA7E67"/>
    <w:rsid w:val="00EB4AB5"/>
    <w:rsid w:val="00EB5477"/>
    <w:rsid w:val="00EB6A2A"/>
    <w:rsid w:val="00ED1CEF"/>
    <w:rsid w:val="00ED3A7F"/>
    <w:rsid w:val="00EE4B05"/>
    <w:rsid w:val="00EF2F02"/>
    <w:rsid w:val="00F01E59"/>
    <w:rsid w:val="00F03551"/>
    <w:rsid w:val="00F04F7A"/>
    <w:rsid w:val="00F06859"/>
    <w:rsid w:val="00F078A8"/>
    <w:rsid w:val="00F123D3"/>
    <w:rsid w:val="00F17E80"/>
    <w:rsid w:val="00F20BA7"/>
    <w:rsid w:val="00F22607"/>
    <w:rsid w:val="00F30BBA"/>
    <w:rsid w:val="00F31929"/>
    <w:rsid w:val="00F5239E"/>
    <w:rsid w:val="00F52A8C"/>
    <w:rsid w:val="00F52DFC"/>
    <w:rsid w:val="00F63DBD"/>
    <w:rsid w:val="00F8055D"/>
    <w:rsid w:val="00F95951"/>
    <w:rsid w:val="00F9657F"/>
    <w:rsid w:val="00F97723"/>
    <w:rsid w:val="00FA7892"/>
    <w:rsid w:val="00FB3B9A"/>
    <w:rsid w:val="00FB51C1"/>
    <w:rsid w:val="00FC47EB"/>
    <w:rsid w:val="00FC70E9"/>
    <w:rsid w:val="00FD2B40"/>
    <w:rsid w:val="00FE392B"/>
    <w:rsid w:val="00FE4FCE"/>
    <w:rsid w:val="00FE667B"/>
    <w:rsid w:val="00FF1E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CDCB0"/>
  <w15:docId w15:val="{A3453200-43C8-49B4-A577-419AC7FA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21"/>
      <w:ind w:left="38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5"/>
      <w:ind w:left="251"/>
    </w:pPr>
    <w:rPr>
      <w:sz w:val="18"/>
      <w:szCs w:val="18"/>
    </w:rPr>
  </w:style>
  <w:style w:type="paragraph" w:styleId="TOC2">
    <w:name w:val="toc 2"/>
    <w:basedOn w:val="Normal"/>
    <w:uiPriority w:val="1"/>
    <w:qFormat/>
    <w:pPr>
      <w:spacing w:before="170"/>
      <w:ind w:left="440"/>
    </w:pPr>
    <w:rPr>
      <w:sz w:val="20"/>
      <w:szCs w:val="20"/>
    </w:rPr>
  </w:style>
  <w:style w:type="paragraph" w:styleId="TOC3">
    <w:name w:val="toc 3"/>
    <w:basedOn w:val="Normal"/>
    <w:uiPriority w:val="1"/>
    <w:qFormat/>
    <w:pPr>
      <w:ind w:left="440" w:right="-18"/>
    </w:pPr>
    <w:rPr>
      <w:sz w:val="18"/>
      <w:szCs w:val="18"/>
    </w:rPr>
  </w:style>
  <w:style w:type="paragraph" w:styleId="BodyText">
    <w:name w:val="Body Text"/>
    <w:basedOn w:val="Normal"/>
    <w:link w:val="BodyTextChar"/>
    <w:uiPriority w:val="1"/>
    <w:qFormat/>
    <w:pPr>
      <w:spacing w:before="120"/>
      <w:ind w:left="380"/>
      <w:jc w:val="both"/>
    </w:pPr>
    <w:rPr>
      <w:sz w:val="24"/>
      <w:szCs w:val="24"/>
    </w:rPr>
  </w:style>
  <w:style w:type="paragraph" w:styleId="ListParagraph">
    <w:name w:val="List Paragraph"/>
    <w:basedOn w:val="Normal"/>
    <w:uiPriority w:val="1"/>
    <w:qFormat/>
    <w:pPr>
      <w:ind w:left="967" w:right="157" w:hanging="555"/>
      <w:jc w:val="both"/>
    </w:pPr>
  </w:style>
  <w:style w:type="paragraph" w:customStyle="1" w:styleId="TableParagraph">
    <w:name w:val="Table Paragraph"/>
    <w:basedOn w:val="Normal"/>
    <w:uiPriority w:val="1"/>
    <w:qFormat/>
    <w:pPr>
      <w:spacing w:before="55"/>
    </w:pPr>
  </w:style>
  <w:style w:type="paragraph" w:styleId="Header">
    <w:name w:val="header"/>
    <w:basedOn w:val="Normal"/>
    <w:link w:val="HeaderChar"/>
    <w:uiPriority w:val="99"/>
    <w:unhideWhenUsed/>
    <w:rsid w:val="0065023F"/>
    <w:pPr>
      <w:tabs>
        <w:tab w:val="center" w:pos="4680"/>
        <w:tab w:val="right" w:pos="9360"/>
      </w:tabs>
    </w:pPr>
  </w:style>
  <w:style w:type="character" w:customStyle="1" w:styleId="HeaderChar">
    <w:name w:val="Header Char"/>
    <w:basedOn w:val="DefaultParagraphFont"/>
    <w:link w:val="Header"/>
    <w:uiPriority w:val="99"/>
    <w:rsid w:val="0065023F"/>
    <w:rPr>
      <w:rFonts w:ascii="Times New Roman" w:eastAsia="Times New Roman" w:hAnsi="Times New Roman" w:cs="Times New Roman"/>
    </w:rPr>
  </w:style>
  <w:style w:type="paragraph" w:styleId="Footer">
    <w:name w:val="footer"/>
    <w:basedOn w:val="Normal"/>
    <w:link w:val="FooterChar"/>
    <w:uiPriority w:val="99"/>
    <w:unhideWhenUsed/>
    <w:rsid w:val="0065023F"/>
    <w:pPr>
      <w:tabs>
        <w:tab w:val="center" w:pos="4680"/>
        <w:tab w:val="right" w:pos="9360"/>
      </w:tabs>
    </w:pPr>
  </w:style>
  <w:style w:type="character" w:customStyle="1" w:styleId="FooterChar">
    <w:name w:val="Footer Char"/>
    <w:basedOn w:val="DefaultParagraphFont"/>
    <w:link w:val="Footer"/>
    <w:uiPriority w:val="99"/>
    <w:rsid w:val="0065023F"/>
    <w:rPr>
      <w:rFonts w:ascii="Times New Roman" w:eastAsia="Times New Roman" w:hAnsi="Times New Roman" w:cs="Times New Roman"/>
    </w:rPr>
  </w:style>
  <w:style w:type="paragraph" w:customStyle="1" w:styleId="pb-2">
    <w:name w:val="pb-2"/>
    <w:basedOn w:val="Normal"/>
    <w:rsid w:val="00B00E8C"/>
    <w:pPr>
      <w:widowControl/>
      <w:autoSpaceDE/>
      <w:autoSpaceDN/>
      <w:spacing w:before="100" w:beforeAutospacing="1" w:after="100" w:afterAutospacing="1"/>
    </w:pPr>
    <w:rPr>
      <w:sz w:val="24"/>
      <w:szCs w:val="24"/>
    </w:rPr>
  </w:style>
  <w:style w:type="character" w:customStyle="1" w:styleId="BodyTextChar">
    <w:name w:val="Body Text Char"/>
    <w:basedOn w:val="DefaultParagraphFont"/>
    <w:link w:val="BodyText"/>
    <w:uiPriority w:val="1"/>
    <w:rsid w:val="00BC696A"/>
    <w:rPr>
      <w:rFonts w:ascii="Times New Roman" w:eastAsia="Times New Roman" w:hAnsi="Times New Roman" w:cs="Times New Roman"/>
      <w:sz w:val="24"/>
      <w:szCs w:val="24"/>
    </w:rPr>
  </w:style>
  <w:style w:type="table" w:styleId="TableGrid">
    <w:name w:val="Table Grid"/>
    <w:basedOn w:val="TableNormal"/>
    <w:uiPriority w:val="39"/>
    <w:rsid w:val="00BC6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ssue-underline">
    <w:name w:val="issue-underline"/>
    <w:basedOn w:val="DefaultParagraphFont"/>
    <w:rsid w:val="00E56A8E"/>
  </w:style>
  <w:style w:type="character" w:styleId="Hyperlink">
    <w:name w:val="Hyperlink"/>
    <w:basedOn w:val="DefaultParagraphFont"/>
    <w:uiPriority w:val="99"/>
    <w:unhideWhenUsed/>
    <w:rsid w:val="002D36A3"/>
    <w:rPr>
      <w:color w:val="0000FF" w:themeColor="hyperlink"/>
      <w:u w:val="single"/>
    </w:rPr>
  </w:style>
  <w:style w:type="character" w:styleId="Strong">
    <w:name w:val="Strong"/>
    <w:basedOn w:val="DefaultParagraphFont"/>
    <w:uiPriority w:val="22"/>
    <w:qFormat/>
    <w:rsid w:val="00FB51C1"/>
    <w:rPr>
      <w:b/>
      <w:bCs/>
    </w:rPr>
  </w:style>
  <w:style w:type="character" w:styleId="UnresolvedMention">
    <w:name w:val="Unresolved Mention"/>
    <w:basedOn w:val="DefaultParagraphFont"/>
    <w:uiPriority w:val="99"/>
    <w:semiHidden/>
    <w:unhideWhenUsed/>
    <w:rsid w:val="00570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29387">
      <w:bodyDiv w:val="1"/>
      <w:marLeft w:val="0"/>
      <w:marRight w:val="0"/>
      <w:marTop w:val="0"/>
      <w:marBottom w:val="0"/>
      <w:divBdr>
        <w:top w:val="none" w:sz="0" w:space="0" w:color="auto"/>
        <w:left w:val="none" w:sz="0" w:space="0" w:color="auto"/>
        <w:bottom w:val="none" w:sz="0" w:space="0" w:color="auto"/>
        <w:right w:val="none" w:sz="0" w:space="0" w:color="auto"/>
      </w:divBdr>
    </w:div>
    <w:div w:id="433744051">
      <w:bodyDiv w:val="1"/>
      <w:marLeft w:val="0"/>
      <w:marRight w:val="0"/>
      <w:marTop w:val="0"/>
      <w:marBottom w:val="0"/>
      <w:divBdr>
        <w:top w:val="none" w:sz="0" w:space="0" w:color="auto"/>
        <w:left w:val="none" w:sz="0" w:space="0" w:color="auto"/>
        <w:bottom w:val="none" w:sz="0" w:space="0" w:color="auto"/>
        <w:right w:val="none" w:sz="0" w:space="0" w:color="auto"/>
      </w:divBdr>
    </w:div>
    <w:div w:id="1038815413">
      <w:bodyDiv w:val="1"/>
      <w:marLeft w:val="0"/>
      <w:marRight w:val="0"/>
      <w:marTop w:val="0"/>
      <w:marBottom w:val="0"/>
      <w:divBdr>
        <w:top w:val="none" w:sz="0" w:space="0" w:color="auto"/>
        <w:left w:val="none" w:sz="0" w:space="0" w:color="auto"/>
        <w:bottom w:val="none" w:sz="0" w:space="0" w:color="auto"/>
        <w:right w:val="none" w:sz="0" w:space="0" w:color="auto"/>
      </w:divBdr>
    </w:div>
    <w:div w:id="1122456059">
      <w:bodyDiv w:val="1"/>
      <w:marLeft w:val="0"/>
      <w:marRight w:val="0"/>
      <w:marTop w:val="0"/>
      <w:marBottom w:val="0"/>
      <w:divBdr>
        <w:top w:val="none" w:sz="0" w:space="0" w:color="auto"/>
        <w:left w:val="none" w:sz="0" w:space="0" w:color="auto"/>
        <w:bottom w:val="none" w:sz="0" w:space="0" w:color="auto"/>
        <w:right w:val="none" w:sz="0" w:space="0" w:color="auto"/>
      </w:divBdr>
    </w:div>
    <w:div w:id="1232623508">
      <w:bodyDiv w:val="1"/>
      <w:marLeft w:val="0"/>
      <w:marRight w:val="0"/>
      <w:marTop w:val="0"/>
      <w:marBottom w:val="0"/>
      <w:divBdr>
        <w:top w:val="none" w:sz="0" w:space="0" w:color="auto"/>
        <w:left w:val="none" w:sz="0" w:space="0" w:color="auto"/>
        <w:bottom w:val="none" w:sz="0" w:space="0" w:color="auto"/>
        <w:right w:val="none" w:sz="0" w:space="0" w:color="auto"/>
      </w:divBdr>
    </w:div>
    <w:div w:id="1625888993">
      <w:bodyDiv w:val="1"/>
      <w:marLeft w:val="0"/>
      <w:marRight w:val="0"/>
      <w:marTop w:val="0"/>
      <w:marBottom w:val="0"/>
      <w:divBdr>
        <w:top w:val="none" w:sz="0" w:space="0" w:color="auto"/>
        <w:left w:val="none" w:sz="0" w:space="0" w:color="auto"/>
        <w:bottom w:val="none" w:sz="0" w:space="0" w:color="auto"/>
        <w:right w:val="none" w:sz="0" w:space="0" w:color="auto"/>
      </w:divBdr>
    </w:div>
    <w:div w:id="1651980919">
      <w:bodyDiv w:val="1"/>
      <w:marLeft w:val="0"/>
      <w:marRight w:val="0"/>
      <w:marTop w:val="0"/>
      <w:marBottom w:val="0"/>
      <w:divBdr>
        <w:top w:val="none" w:sz="0" w:space="0" w:color="auto"/>
        <w:left w:val="none" w:sz="0" w:space="0" w:color="auto"/>
        <w:bottom w:val="none" w:sz="0" w:space="0" w:color="auto"/>
        <w:right w:val="none" w:sz="0" w:space="0" w:color="auto"/>
      </w:divBdr>
    </w:div>
    <w:div w:id="1667049236">
      <w:bodyDiv w:val="1"/>
      <w:marLeft w:val="0"/>
      <w:marRight w:val="0"/>
      <w:marTop w:val="0"/>
      <w:marBottom w:val="0"/>
      <w:divBdr>
        <w:top w:val="none" w:sz="0" w:space="0" w:color="auto"/>
        <w:left w:val="none" w:sz="0" w:space="0" w:color="auto"/>
        <w:bottom w:val="none" w:sz="0" w:space="0" w:color="auto"/>
        <w:right w:val="none" w:sz="0" w:space="0" w:color="auto"/>
      </w:divBdr>
    </w:div>
    <w:div w:id="1667705995">
      <w:bodyDiv w:val="1"/>
      <w:marLeft w:val="0"/>
      <w:marRight w:val="0"/>
      <w:marTop w:val="0"/>
      <w:marBottom w:val="0"/>
      <w:divBdr>
        <w:top w:val="none" w:sz="0" w:space="0" w:color="auto"/>
        <w:left w:val="none" w:sz="0" w:space="0" w:color="auto"/>
        <w:bottom w:val="none" w:sz="0" w:space="0" w:color="auto"/>
        <w:right w:val="none" w:sz="0" w:space="0" w:color="auto"/>
      </w:divBdr>
    </w:div>
    <w:div w:id="1794322858">
      <w:bodyDiv w:val="1"/>
      <w:marLeft w:val="0"/>
      <w:marRight w:val="0"/>
      <w:marTop w:val="0"/>
      <w:marBottom w:val="0"/>
      <w:divBdr>
        <w:top w:val="none" w:sz="0" w:space="0" w:color="auto"/>
        <w:left w:val="none" w:sz="0" w:space="0" w:color="auto"/>
        <w:bottom w:val="none" w:sz="0" w:space="0" w:color="auto"/>
        <w:right w:val="none" w:sz="0" w:space="0" w:color="auto"/>
      </w:divBdr>
    </w:div>
    <w:div w:id="1814787924">
      <w:bodyDiv w:val="1"/>
      <w:marLeft w:val="0"/>
      <w:marRight w:val="0"/>
      <w:marTop w:val="0"/>
      <w:marBottom w:val="0"/>
      <w:divBdr>
        <w:top w:val="none" w:sz="0" w:space="0" w:color="auto"/>
        <w:left w:val="none" w:sz="0" w:space="0" w:color="auto"/>
        <w:bottom w:val="none" w:sz="0" w:space="0" w:color="auto"/>
        <w:right w:val="none" w:sz="0" w:space="0" w:color="auto"/>
      </w:divBdr>
    </w:div>
    <w:div w:id="1868252102">
      <w:bodyDiv w:val="1"/>
      <w:marLeft w:val="0"/>
      <w:marRight w:val="0"/>
      <w:marTop w:val="0"/>
      <w:marBottom w:val="0"/>
      <w:divBdr>
        <w:top w:val="none" w:sz="0" w:space="0" w:color="auto"/>
        <w:left w:val="none" w:sz="0" w:space="0" w:color="auto"/>
        <w:bottom w:val="none" w:sz="0" w:space="0" w:color="auto"/>
        <w:right w:val="none" w:sz="0" w:space="0" w:color="auto"/>
      </w:divBdr>
    </w:div>
    <w:div w:id="1941595840">
      <w:bodyDiv w:val="1"/>
      <w:marLeft w:val="0"/>
      <w:marRight w:val="0"/>
      <w:marTop w:val="0"/>
      <w:marBottom w:val="0"/>
      <w:divBdr>
        <w:top w:val="none" w:sz="0" w:space="0" w:color="auto"/>
        <w:left w:val="none" w:sz="0" w:space="0" w:color="auto"/>
        <w:bottom w:val="none" w:sz="0" w:space="0" w:color="auto"/>
        <w:right w:val="none" w:sz="0" w:space="0" w:color="auto"/>
      </w:divBdr>
    </w:div>
    <w:div w:id="2130465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doi.org/10.34260/jaebs.735" TargetMode="External"/><Relationship Id="rId18" Type="http://schemas.openxmlformats.org/officeDocument/2006/relationships/hyperlink" Target="https://journals.iub.edu.pk/index.php/jcbif/article/view/213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his.se/PageFiles/17648/Modiglianiandmiller1958.pdf"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doi.org/10.52461/sabas.v4i2.151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2350/ibfr.101.03" TargetMode="External"/><Relationship Id="rId20" Type="http://schemas.openxmlformats.org/officeDocument/2006/relationships/hyperlink" Target="https://journals.iub.edu.pk/index.php/pjes/article/view/23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56536/ijmres.v13i3.509" TargetMode="External"/><Relationship Id="rId23"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hyperlink" Target="https://doi.org/10.34260/jaebs.73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doi.org/10.56536/ijmres.v13i3.509" TargetMode="External"/><Relationship Id="rId22" Type="http://schemas.openxmlformats.org/officeDocument/2006/relationships/hyperlink" Target="http://www.his.se/PageFiles/17648/Modiglianiandmiller1958.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AAED74-AA9B-4461-A753-24A0B9A8ACEE}"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en-US"/>
        </a:p>
      </dgm:t>
    </dgm:pt>
    <dgm:pt modelId="{7B62E2C8-C0A3-4D03-A13C-953C2975C550}">
      <dgm:prSet phldrT="[Text]" custT="1">
        <dgm:style>
          <a:lnRef idx="2">
            <a:schemeClr val="accent4"/>
          </a:lnRef>
          <a:fillRef idx="1">
            <a:schemeClr val="lt1"/>
          </a:fillRef>
          <a:effectRef idx="0">
            <a:schemeClr val="accent4"/>
          </a:effectRef>
          <a:fontRef idx="minor">
            <a:schemeClr val="dk1"/>
          </a:fontRef>
        </dgm:style>
      </dgm:prSet>
      <dgm:spPr/>
      <dgm:t>
        <a:bodyPr/>
        <a:lstStyle/>
        <a:p>
          <a:pPr algn="ctr"/>
          <a:r>
            <a:rPr lang="en-US" sz="1100" b="1">
              <a:latin typeface="Times New Roman" panose="02020603050405020304" pitchFamily="18" charset="0"/>
              <a:cs typeface="Times New Roman" panose="02020603050405020304" pitchFamily="18" charset="0"/>
            </a:rPr>
            <a:t>Riba</a:t>
          </a:r>
        </a:p>
        <a:p>
          <a:pPr algn="l"/>
          <a:r>
            <a:rPr lang="en-US" sz="1100">
              <a:latin typeface="Times New Roman" panose="02020603050405020304" pitchFamily="18" charset="0"/>
              <a:cs typeface="Times New Roman" panose="02020603050405020304" pitchFamily="18" charset="0"/>
            </a:rPr>
            <a:t>  Interest Cost </a:t>
          </a:r>
        </a:p>
        <a:p>
          <a:pPr algn="l"/>
          <a:r>
            <a:rPr lang="en-US" sz="1100">
              <a:latin typeface="Times New Roman" panose="02020603050405020304" pitchFamily="18" charset="0"/>
              <a:cs typeface="Times New Roman" panose="02020603050405020304" pitchFamily="18" charset="0"/>
            </a:rPr>
            <a:t>  Principle Balance</a:t>
          </a:r>
        </a:p>
      </dgm:t>
    </dgm:pt>
    <dgm:pt modelId="{880319A2-3AAE-4B04-B144-BDB3F4EEE0FB}" type="parTrans" cxnId="{AC8542DC-0F74-41D0-9FA0-77E90570B141}">
      <dgm:prSet/>
      <dgm:spPr/>
      <dgm:t>
        <a:bodyPr/>
        <a:lstStyle/>
        <a:p>
          <a:endParaRPr lang="en-US"/>
        </a:p>
      </dgm:t>
    </dgm:pt>
    <dgm:pt modelId="{89BD9495-42D9-4FEC-B3D7-EA8AFFF75A4F}" type="sibTrans" cxnId="{AC8542DC-0F74-41D0-9FA0-77E90570B141}">
      <dgm:prSet/>
      <dgm:spPr/>
      <dgm:t>
        <a:bodyPr/>
        <a:lstStyle/>
        <a:p>
          <a:endParaRPr lang="en-US"/>
        </a:p>
      </dgm:t>
    </dgm:pt>
    <dgm:pt modelId="{04D2DD5C-20CD-420C-BFBD-6AF88249B15B}">
      <dgm:prSet phldrT="[Text]" custT="1">
        <dgm:style>
          <a:lnRef idx="2">
            <a:schemeClr val="accent4"/>
          </a:lnRef>
          <a:fillRef idx="1">
            <a:schemeClr val="lt1"/>
          </a:fillRef>
          <a:effectRef idx="0">
            <a:schemeClr val="accent4"/>
          </a:effectRef>
          <a:fontRef idx="minor">
            <a:schemeClr val="dk1"/>
          </a:fontRef>
        </dgm:style>
      </dgm:prSet>
      <dgm:spPr/>
      <dgm:t>
        <a:bodyPr/>
        <a:lstStyle/>
        <a:p>
          <a:pPr algn="ctr"/>
          <a:r>
            <a:rPr lang="en-US" sz="1100" b="1">
              <a:latin typeface="Times New Roman" panose="02020603050405020304" pitchFamily="18" charset="0"/>
              <a:cs typeface="Times New Roman" panose="02020603050405020304" pitchFamily="18" charset="0"/>
            </a:rPr>
            <a:t>Divodend Payout Ratio</a:t>
          </a:r>
        </a:p>
        <a:p>
          <a:pPr algn="l"/>
          <a:r>
            <a:rPr lang="en-US" sz="1100">
              <a:latin typeface="Times New Roman" panose="02020603050405020304" pitchFamily="18" charset="0"/>
              <a:cs typeface="Times New Roman" panose="02020603050405020304" pitchFamily="18" charset="0"/>
            </a:rPr>
            <a:t>  No. of  Dividends</a:t>
          </a:r>
        </a:p>
        <a:p>
          <a:pPr algn="l"/>
          <a:r>
            <a:rPr lang="en-US" sz="1100">
              <a:latin typeface="Times New Roman" panose="02020603050405020304" pitchFamily="18" charset="0"/>
              <a:cs typeface="Times New Roman" panose="02020603050405020304" pitchFamily="18" charset="0"/>
            </a:rPr>
            <a:t>  Net Earnings</a:t>
          </a:r>
        </a:p>
      </dgm:t>
    </dgm:pt>
    <dgm:pt modelId="{EEC12820-E63F-4839-A4CF-BA514A0D6F8D}" type="parTrans" cxnId="{02164722-892C-400E-B200-21AF80F11302}">
      <dgm:prSet/>
      <dgm:spPr/>
      <dgm:t>
        <a:bodyPr/>
        <a:lstStyle/>
        <a:p>
          <a:endParaRPr lang="en-US"/>
        </a:p>
      </dgm:t>
    </dgm:pt>
    <dgm:pt modelId="{DA6EC6E5-C7D7-4486-892C-469C7AFD97D2}" type="sibTrans" cxnId="{02164722-892C-400E-B200-21AF80F11302}">
      <dgm:prSet/>
      <dgm:spPr/>
      <dgm:t>
        <a:bodyPr/>
        <a:lstStyle/>
        <a:p>
          <a:endParaRPr lang="en-US"/>
        </a:p>
      </dgm:t>
    </dgm:pt>
    <dgm:pt modelId="{4D58119C-53E6-4410-98C4-D352774E8C24}">
      <dgm:prSet phldrT="[Text]" custT="1">
        <dgm:style>
          <a:lnRef idx="1">
            <a:schemeClr val="dk1"/>
          </a:lnRef>
          <a:fillRef idx="2">
            <a:schemeClr val="dk1"/>
          </a:fillRef>
          <a:effectRef idx="1">
            <a:schemeClr val="dk1"/>
          </a:effectRef>
          <a:fontRef idx="minor">
            <a:schemeClr val="dk1"/>
          </a:fontRef>
        </dgm:style>
      </dgm:prSet>
      <dgm:spPr/>
      <dgm:t>
        <a:bodyPr/>
        <a:lstStyle/>
        <a:p>
          <a:pPr algn="ctr"/>
          <a:r>
            <a:rPr lang="en-US" sz="1100" b="1">
              <a:latin typeface="Times New Roman" panose="02020603050405020304" pitchFamily="18" charset="0"/>
              <a:cs typeface="Times New Roman" panose="02020603050405020304" pitchFamily="18" charset="0"/>
            </a:rPr>
            <a:t>IBS PERFORMANCE</a:t>
          </a:r>
        </a:p>
        <a:p>
          <a:pPr algn="ctr"/>
          <a:r>
            <a:rPr lang="en-US" sz="1100" b="1">
              <a:latin typeface="Times New Roman" panose="02020603050405020304" pitchFamily="18" charset="0"/>
              <a:cs typeface="Times New Roman" panose="02020603050405020304" pitchFamily="18" charset="0"/>
            </a:rPr>
            <a:t>ROA-ROE</a:t>
          </a:r>
        </a:p>
      </dgm:t>
    </dgm:pt>
    <dgm:pt modelId="{2889B57D-3668-40FB-99C4-F2AE5C74D4CB}" type="sibTrans" cxnId="{F76597C3-D4A7-46FC-8428-E0F956EBADEE}">
      <dgm:prSet/>
      <dgm:spPr/>
      <dgm:t>
        <a:bodyPr/>
        <a:lstStyle/>
        <a:p>
          <a:endParaRPr lang="en-US"/>
        </a:p>
      </dgm:t>
    </dgm:pt>
    <dgm:pt modelId="{735D827E-7F56-46B9-BAE5-26EB68F2C22F}" type="parTrans" cxnId="{F76597C3-D4A7-46FC-8428-E0F956EBADEE}">
      <dgm:prSet/>
      <dgm:spPr/>
      <dgm:t>
        <a:bodyPr/>
        <a:lstStyle/>
        <a:p>
          <a:endParaRPr lang="en-US"/>
        </a:p>
      </dgm:t>
    </dgm:pt>
    <dgm:pt modelId="{A29675CB-8F6D-4705-8F55-A5D925CFD7F3}" type="pres">
      <dgm:prSet presAssocID="{DFAAED74-AA9B-4461-A753-24A0B9A8ACEE}" presName="diagram" presStyleCnt="0">
        <dgm:presLayoutVars>
          <dgm:chPref val="1"/>
          <dgm:dir/>
          <dgm:animOne val="branch"/>
          <dgm:animLvl val="lvl"/>
          <dgm:resizeHandles val="exact"/>
        </dgm:presLayoutVars>
      </dgm:prSet>
      <dgm:spPr/>
    </dgm:pt>
    <dgm:pt modelId="{829FA6F4-E9EB-4210-BAD1-66B94427F538}" type="pres">
      <dgm:prSet presAssocID="{4D58119C-53E6-4410-98C4-D352774E8C24}" presName="root1" presStyleCnt="0"/>
      <dgm:spPr/>
    </dgm:pt>
    <dgm:pt modelId="{47C63CC2-DB46-497D-B684-8DE79D73E16C}" type="pres">
      <dgm:prSet presAssocID="{4D58119C-53E6-4410-98C4-D352774E8C24}" presName="LevelOneTextNode" presStyleLbl="node0" presStyleIdx="0" presStyleCnt="1" custScaleX="118598" custScaleY="63891">
        <dgm:presLayoutVars>
          <dgm:chPref val="3"/>
        </dgm:presLayoutVars>
      </dgm:prSet>
      <dgm:spPr/>
    </dgm:pt>
    <dgm:pt modelId="{8F85B0D3-7D0C-4D10-BCDA-200BDEE47340}" type="pres">
      <dgm:prSet presAssocID="{4D58119C-53E6-4410-98C4-D352774E8C24}" presName="level2hierChild" presStyleCnt="0"/>
      <dgm:spPr/>
    </dgm:pt>
    <dgm:pt modelId="{5A16AAA2-14AA-4FE0-8DE5-452BD08C83CE}" type="pres">
      <dgm:prSet presAssocID="{880319A2-3AAE-4B04-B144-BDB3F4EEE0FB}" presName="conn2-1" presStyleLbl="parChTrans1D2" presStyleIdx="0" presStyleCnt="2"/>
      <dgm:spPr/>
    </dgm:pt>
    <dgm:pt modelId="{7FA68458-07DD-47B3-9358-EC5959AC62B2}" type="pres">
      <dgm:prSet presAssocID="{880319A2-3AAE-4B04-B144-BDB3F4EEE0FB}" presName="connTx" presStyleLbl="parChTrans1D2" presStyleIdx="0" presStyleCnt="2"/>
      <dgm:spPr/>
    </dgm:pt>
    <dgm:pt modelId="{AF63BB61-2068-400A-9A7E-5D1C1EA9159F}" type="pres">
      <dgm:prSet presAssocID="{7B62E2C8-C0A3-4D03-A13C-953C2975C550}" presName="root2" presStyleCnt="0"/>
      <dgm:spPr/>
    </dgm:pt>
    <dgm:pt modelId="{34B21BB3-626E-43E5-BBA8-89C173D9E94F}" type="pres">
      <dgm:prSet presAssocID="{7B62E2C8-C0A3-4D03-A13C-953C2975C550}" presName="LevelTwoTextNode" presStyleLbl="node2" presStyleIdx="0" presStyleCnt="2" custScaleX="126673" custScaleY="65757">
        <dgm:presLayoutVars>
          <dgm:chPref val="3"/>
        </dgm:presLayoutVars>
      </dgm:prSet>
      <dgm:spPr/>
    </dgm:pt>
    <dgm:pt modelId="{14616CB8-1B02-410E-A7EF-50470DE7D465}" type="pres">
      <dgm:prSet presAssocID="{7B62E2C8-C0A3-4D03-A13C-953C2975C550}" presName="level3hierChild" presStyleCnt="0"/>
      <dgm:spPr/>
    </dgm:pt>
    <dgm:pt modelId="{5CA1DC60-92B2-4385-8D29-2CA3FC68E6AC}" type="pres">
      <dgm:prSet presAssocID="{EEC12820-E63F-4839-A4CF-BA514A0D6F8D}" presName="conn2-1" presStyleLbl="parChTrans1D2" presStyleIdx="1" presStyleCnt="2"/>
      <dgm:spPr/>
    </dgm:pt>
    <dgm:pt modelId="{598C1491-EE34-4463-9526-7E0C4905E053}" type="pres">
      <dgm:prSet presAssocID="{EEC12820-E63F-4839-A4CF-BA514A0D6F8D}" presName="connTx" presStyleLbl="parChTrans1D2" presStyleIdx="1" presStyleCnt="2"/>
      <dgm:spPr/>
    </dgm:pt>
    <dgm:pt modelId="{0871F730-CCE7-4B78-ABDA-ABB10700B480}" type="pres">
      <dgm:prSet presAssocID="{04D2DD5C-20CD-420C-BFBD-6AF88249B15B}" presName="root2" presStyleCnt="0"/>
      <dgm:spPr/>
    </dgm:pt>
    <dgm:pt modelId="{06027CB3-AF2B-4AA7-A050-D0C262CA5B29}" type="pres">
      <dgm:prSet presAssocID="{04D2DD5C-20CD-420C-BFBD-6AF88249B15B}" presName="LevelTwoTextNode" presStyleLbl="node2" presStyleIdx="1" presStyleCnt="2" custScaleX="126555" custScaleY="66511">
        <dgm:presLayoutVars>
          <dgm:chPref val="3"/>
        </dgm:presLayoutVars>
      </dgm:prSet>
      <dgm:spPr/>
    </dgm:pt>
    <dgm:pt modelId="{0CCFD680-F368-4C50-915E-DD74318D82C9}" type="pres">
      <dgm:prSet presAssocID="{04D2DD5C-20CD-420C-BFBD-6AF88249B15B}" presName="level3hierChild" presStyleCnt="0"/>
      <dgm:spPr/>
    </dgm:pt>
  </dgm:ptLst>
  <dgm:cxnLst>
    <dgm:cxn modelId="{02164722-892C-400E-B200-21AF80F11302}" srcId="{4D58119C-53E6-4410-98C4-D352774E8C24}" destId="{04D2DD5C-20CD-420C-BFBD-6AF88249B15B}" srcOrd="1" destOrd="0" parTransId="{EEC12820-E63F-4839-A4CF-BA514A0D6F8D}" sibTransId="{DA6EC6E5-C7D7-4486-892C-469C7AFD97D2}"/>
    <dgm:cxn modelId="{5CEF6C4E-6913-46C2-94CB-FF605B312C90}" type="presOf" srcId="{880319A2-3AAE-4B04-B144-BDB3F4EEE0FB}" destId="{7FA68458-07DD-47B3-9358-EC5959AC62B2}" srcOrd="1" destOrd="0" presId="urn:microsoft.com/office/officeart/2005/8/layout/hierarchy2"/>
    <dgm:cxn modelId="{3AB7C690-4935-4D42-96F1-E3C2F96B4175}" type="presOf" srcId="{04D2DD5C-20CD-420C-BFBD-6AF88249B15B}" destId="{06027CB3-AF2B-4AA7-A050-D0C262CA5B29}" srcOrd="0" destOrd="0" presId="urn:microsoft.com/office/officeart/2005/8/layout/hierarchy2"/>
    <dgm:cxn modelId="{93FD089B-976C-43AE-B472-790833C0BE16}" type="presOf" srcId="{880319A2-3AAE-4B04-B144-BDB3F4EEE0FB}" destId="{5A16AAA2-14AA-4FE0-8DE5-452BD08C83CE}" srcOrd="0" destOrd="0" presId="urn:microsoft.com/office/officeart/2005/8/layout/hierarchy2"/>
    <dgm:cxn modelId="{F855F4AF-3F50-4B22-9410-1E18047AC2A0}" type="presOf" srcId="{EEC12820-E63F-4839-A4CF-BA514A0D6F8D}" destId="{598C1491-EE34-4463-9526-7E0C4905E053}" srcOrd="1" destOrd="0" presId="urn:microsoft.com/office/officeart/2005/8/layout/hierarchy2"/>
    <dgm:cxn modelId="{3157AAB9-BF78-46FC-8B56-B8FB674A80AB}" type="presOf" srcId="{DFAAED74-AA9B-4461-A753-24A0B9A8ACEE}" destId="{A29675CB-8F6D-4705-8F55-A5D925CFD7F3}" srcOrd="0" destOrd="0" presId="urn:microsoft.com/office/officeart/2005/8/layout/hierarchy2"/>
    <dgm:cxn modelId="{909C19C1-50E6-4AC3-A9B9-FD3E6C2303A5}" type="presOf" srcId="{7B62E2C8-C0A3-4D03-A13C-953C2975C550}" destId="{34B21BB3-626E-43E5-BBA8-89C173D9E94F}" srcOrd="0" destOrd="0" presId="urn:microsoft.com/office/officeart/2005/8/layout/hierarchy2"/>
    <dgm:cxn modelId="{F76597C3-D4A7-46FC-8428-E0F956EBADEE}" srcId="{DFAAED74-AA9B-4461-A753-24A0B9A8ACEE}" destId="{4D58119C-53E6-4410-98C4-D352774E8C24}" srcOrd="0" destOrd="0" parTransId="{735D827E-7F56-46B9-BAE5-26EB68F2C22F}" sibTransId="{2889B57D-3668-40FB-99C4-F2AE5C74D4CB}"/>
    <dgm:cxn modelId="{AC8542DC-0F74-41D0-9FA0-77E90570B141}" srcId="{4D58119C-53E6-4410-98C4-D352774E8C24}" destId="{7B62E2C8-C0A3-4D03-A13C-953C2975C550}" srcOrd="0" destOrd="0" parTransId="{880319A2-3AAE-4B04-B144-BDB3F4EEE0FB}" sibTransId="{89BD9495-42D9-4FEC-B3D7-EA8AFFF75A4F}"/>
    <dgm:cxn modelId="{34EA93EA-76FB-4B33-BFBB-9AA4E94130C8}" type="presOf" srcId="{4D58119C-53E6-4410-98C4-D352774E8C24}" destId="{47C63CC2-DB46-497D-B684-8DE79D73E16C}" srcOrd="0" destOrd="0" presId="urn:microsoft.com/office/officeart/2005/8/layout/hierarchy2"/>
    <dgm:cxn modelId="{561175F5-9BA4-4A12-B57D-7CE1F6991F4D}" type="presOf" srcId="{EEC12820-E63F-4839-A4CF-BA514A0D6F8D}" destId="{5CA1DC60-92B2-4385-8D29-2CA3FC68E6AC}" srcOrd="0" destOrd="0" presId="urn:microsoft.com/office/officeart/2005/8/layout/hierarchy2"/>
    <dgm:cxn modelId="{8959AA68-FB4C-4A02-8B01-557FB9848CB2}" type="presParOf" srcId="{A29675CB-8F6D-4705-8F55-A5D925CFD7F3}" destId="{829FA6F4-E9EB-4210-BAD1-66B94427F538}" srcOrd="0" destOrd="0" presId="urn:microsoft.com/office/officeart/2005/8/layout/hierarchy2"/>
    <dgm:cxn modelId="{E8E6F441-3B35-47EE-94E0-A51B227702D8}" type="presParOf" srcId="{829FA6F4-E9EB-4210-BAD1-66B94427F538}" destId="{47C63CC2-DB46-497D-B684-8DE79D73E16C}" srcOrd="0" destOrd="0" presId="urn:microsoft.com/office/officeart/2005/8/layout/hierarchy2"/>
    <dgm:cxn modelId="{32F2F0B7-7E95-4F41-9FBA-6A8B920B9E7C}" type="presParOf" srcId="{829FA6F4-E9EB-4210-BAD1-66B94427F538}" destId="{8F85B0D3-7D0C-4D10-BCDA-200BDEE47340}" srcOrd="1" destOrd="0" presId="urn:microsoft.com/office/officeart/2005/8/layout/hierarchy2"/>
    <dgm:cxn modelId="{13F61B8F-74F1-43C9-B44D-673B262251D4}" type="presParOf" srcId="{8F85B0D3-7D0C-4D10-BCDA-200BDEE47340}" destId="{5A16AAA2-14AA-4FE0-8DE5-452BD08C83CE}" srcOrd="0" destOrd="0" presId="urn:microsoft.com/office/officeart/2005/8/layout/hierarchy2"/>
    <dgm:cxn modelId="{DC80B1DC-1A60-45A0-B4F3-84D667A6CC71}" type="presParOf" srcId="{5A16AAA2-14AA-4FE0-8DE5-452BD08C83CE}" destId="{7FA68458-07DD-47B3-9358-EC5959AC62B2}" srcOrd="0" destOrd="0" presId="urn:microsoft.com/office/officeart/2005/8/layout/hierarchy2"/>
    <dgm:cxn modelId="{2F592BBC-D612-4002-81A1-DAA7C2A1BD65}" type="presParOf" srcId="{8F85B0D3-7D0C-4D10-BCDA-200BDEE47340}" destId="{AF63BB61-2068-400A-9A7E-5D1C1EA9159F}" srcOrd="1" destOrd="0" presId="urn:microsoft.com/office/officeart/2005/8/layout/hierarchy2"/>
    <dgm:cxn modelId="{BFD1E508-74D5-41BF-B512-4F3F1C42B87F}" type="presParOf" srcId="{AF63BB61-2068-400A-9A7E-5D1C1EA9159F}" destId="{34B21BB3-626E-43E5-BBA8-89C173D9E94F}" srcOrd="0" destOrd="0" presId="urn:microsoft.com/office/officeart/2005/8/layout/hierarchy2"/>
    <dgm:cxn modelId="{DE5CDC4C-0359-42E1-BE5A-635FE805CD6B}" type="presParOf" srcId="{AF63BB61-2068-400A-9A7E-5D1C1EA9159F}" destId="{14616CB8-1B02-410E-A7EF-50470DE7D465}" srcOrd="1" destOrd="0" presId="urn:microsoft.com/office/officeart/2005/8/layout/hierarchy2"/>
    <dgm:cxn modelId="{6D1831B9-50AC-4DA7-A3E6-288AAEA5E259}" type="presParOf" srcId="{8F85B0D3-7D0C-4D10-BCDA-200BDEE47340}" destId="{5CA1DC60-92B2-4385-8D29-2CA3FC68E6AC}" srcOrd="2" destOrd="0" presId="urn:microsoft.com/office/officeart/2005/8/layout/hierarchy2"/>
    <dgm:cxn modelId="{28651344-657F-414F-97D3-86937A2D27CA}" type="presParOf" srcId="{5CA1DC60-92B2-4385-8D29-2CA3FC68E6AC}" destId="{598C1491-EE34-4463-9526-7E0C4905E053}" srcOrd="0" destOrd="0" presId="urn:microsoft.com/office/officeart/2005/8/layout/hierarchy2"/>
    <dgm:cxn modelId="{4C24E67E-1F1D-4058-9D93-01C35C7D3BE9}" type="presParOf" srcId="{8F85B0D3-7D0C-4D10-BCDA-200BDEE47340}" destId="{0871F730-CCE7-4B78-ABDA-ABB10700B480}" srcOrd="3" destOrd="0" presId="urn:microsoft.com/office/officeart/2005/8/layout/hierarchy2"/>
    <dgm:cxn modelId="{D693AE75-4E68-46E9-9C31-302085387F18}" type="presParOf" srcId="{0871F730-CCE7-4B78-ABDA-ABB10700B480}" destId="{06027CB3-AF2B-4AA7-A050-D0C262CA5B29}" srcOrd="0" destOrd="0" presId="urn:microsoft.com/office/officeart/2005/8/layout/hierarchy2"/>
    <dgm:cxn modelId="{FCB4EFFB-2C5C-4D8F-8E4D-0F230299116D}" type="presParOf" srcId="{0871F730-CCE7-4B78-ABDA-ABB10700B480}" destId="{0CCFD680-F368-4C50-915E-DD74318D82C9}"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C63CC2-DB46-497D-B684-8DE79D73E16C}">
      <dsp:nvSpPr>
        <dsp:cNvPr id="0" name=""/>
        <dsp:cNvSpPr/>
      </dsp:nvSpPr>
      <dsp:spPr>
        <a:xfrm>
          <a:off x="446" y="563526"/>
          <a:ext cx="2605245" cy="701747"/>
        </a:xfrm>
        <a:prstGeom prst="roundRect">
          <a:avLst>
            <a:gd name="adj" fmla="val 10000"/>
          </a:avLst>
        </a:prstGeom>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a:scene3d>
          <a:camera prst="orthographicFront"/>
          <a:lightRig rig="flat" dir="t"/>
        </a:scene3d>
        <a:sp3d/>
      </dsp:spPr>
      <dsp:style>
        <a:lnRef idx="1">
          <a:schemeClr val="dk1"/>
        </a:lnRef>
        <a:fillRef idx="2">
          <a:schemeClr val="dk1"/>
        </a:fillRef>
        <a:effectRef idx="1">
          <a:schemeClr val="dk1"/>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IBS PERFORMANCE</a:t>
          </a:r>
        </a:p>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ROA-ROE</a:t>
          </a:r>
        </a:p>
      </dsp:txBody>
      <dsp:txXfrm>
        <a:off x="20999" y="584079"/>
        <a:ext cx="2564139" cy="660641"/>
      </dsp:txXfrm>
    </dsp:sp>
    <dsp:sp modelId="{5A16AAA2-14AA-4FE0-8DE5-452BD08C83CE}">
      <dsp:nvSpPr>
        <dsp:cNvPr id="0" name=""/>
        <dsp:cNvSpPr/>
      </dsp:nvSpPr>
      <dsp:spPr>
        <a:xfrm rot="19980223">
          <a:off x="2551965" y="636527"/>
          <a:ext cx="986134" cy="108105"/>
        </a:xfrm>
        <a:custGeom>
          <a:avLst/>
          <a:gdLst/>
          <a:ahLst/>
          <a:cxnLst/>
          <a:rect l="0" t="0" r="0" b="0"/>
          <a:pathLst>
            <a:path>
              <a:moveTo>
                <a:pt x="0" y="54052"/>
              </a:moveTo>
              <a:lnTo>
                <a:pt x="986134" y="540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20379" y="665927"/>
        <a:ext cx="49306" cy="49306"/>
      </dsp:txXfrm>
    </dsp:sp>
    <dsp:sp modelId="{34B21BB3-626E-43E5-BBA8-89C173D9E94F}">
      <dsp:nvSpPr>
        <dsp:cNvPr id="0" name=""/>
        <dsp:cNvSpPr/>
      </dsp:nvSpPr>
      <dsp:spPr>
        <a:xfrm>
          <a:off x="3484373" y="105639"/>
          <a:ext cx="2782629" cy="722243"/>
        </a:xfrm>
        <a:prstGeom prst="roundRect">
          <a:avLst>
            <a:gd name="adj" fmla="val 10000"/>
          </a:avLst>
        </a:prstGeom>
        <a:solidFill>
          <a:schemeClr val="lt1"/>
        </a:solidFill>
        <a:ln w="25400" cap="flat" cmpd="sng" algn="ctr">
          <a:solidFill>
            <a:schemeClr val="accent4"/>
          </a:solidFill>
          <a:prstDash val="solid"/>
        </a:ln>
        <a:effectLst/>
        <a:scene3d>
          <a:camera prst="orthographicFront"/>
          <a:lightRig rig="flat" dir="t"/>
        </a:scene3d>
        <a:sp3d/>
      </dsp:spPr>
      <dsp:style>
        <a:lnRef idx="2">
          <a:schemeClr val="accent4"/>
        </a:lnRef>
        <a:fillRef idx="1">
          <a:schemeClr val="lt1"/>
        </a:fillRef>
        <a:effectRef idx="0">
          <a:schemeClr val="accent4"/>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Riba</a:t>
          </a:r>
        </a:p>
        <a:p>
          <a:pPr marL="0" lvl="0" indent="0" algn="l"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  Interest Cost </a:t>
          </a:r>
        </a:p>
        <a:p>
          <a:pPr marL="0" lvl="0" indent="0" algn="l"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  Principle Balance</a:t>
          </a:r>
        </a:p>
      </dsp:txBody>
      <dsp:txXfrm>
        <a:off x="3505527" y="126793"/>
        <a:ext cx="2740321" cy="679935"/>
      </dsp:txXfrm>
    </dsp:sp>
    <dsp:sp modelId="{5CA1DC60-92B2-4385-8D29-2CA3FC68E6AC}">
      <dsp:nvSpPr>
        <dsp:cNvPr id="0" name=""/>
        <dsp:cNvSpPr/>
      </dsp:nvSpPr>
      <dsp:spPr>
        <a:xfrm rot="1606890">
          <a:off x="2552902" y="1082096"/>
          <a:ext cx="984261" cy="108105"/>
        </a:xfrm>
        <a:custGeom>
          <a:avLst/>
          <a:gdLst/>
          <a:ahLst/>
          <a:cxnLst/>
          <a:rect l="0" t="0" r="0" b="0"/>
          <a:pathLst>
            <a:path>
              <a:moveTo>
                <a:pt x="0" y="54052"/>
              </a:moveTo>
              <a:lnTo>
                <a:pt x="984261" y="540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20426" y="1111542"/>
        <a:ext cx="49213" cy="49213"/>
      </dsp:txXfrm>
    </dsp:sp>
    <dsp:sp modelId="{06027CB3-AF2B-4AA7-A050-D0C262CA5B29}">
      <dsp:nvSpPr>
        <dsp:cNvPr id="0" name=""/>
        <dsp:cNvSpPr/>
      </dsp:nvSpPr>
      <dsp:spPr>
        <a:xfrm>
          <a:off x="3484373" y="992635"/>
          <a:ext cx="2780037" cy="730524"/>
        </a:xfrm>
        <a:prstGeom prst="roundRect">
          <a:avLst>
            <a:gd name="adj" fmla="val 10000"/>
          </a:avLst>
        </a:prstGeom>
        <a:solidFill>
          <a:schemeClr val="lt1"/>
        </a:solidFill>
        <a:ln w="25400" cap="flat" cmpd="sng" algn="ctr">
          <a:solidFill>
            <a:schemeClr val="accent4"/>
          </a:solidFill>
          <a:prstDash val="solid"/>
        </a:ln>
        <a:effectLst/>
        <a:scene3d>
          <a:camera prst="orthographicFront"/>
          <a:lightRig rig="flat" dir="t"/>
        </a:scene3d>
        <a:sp3d/>
      </dsp:spPr>
      <dsp:style>
        <a:lnRef idx="2">
          <a:schemeClr val="accent4"/>
        </a:lnRef>
        <a:fillRef idx="1">
          <a:schemeClr val="lt1"/>
        </a:fillRef>
        <a:effectRef idx="0">
          <a:schemeClr val="accent4"/>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latin typeface="Times New Roman" panose="02020603050405020304" pitchFamily="18" charset="0"/>
              <a:cs typeface="Times New Roman" panose="02020603050405020304" pitchFamily="18" charset="0"/>
            </a:rPr>
            <a:t>Divodend Payout Ratio</a:t>
          </a:r>
        </a:p>
        <a:p>
          <a:pPr marL="0" lvl="0" indent="0" algn="l"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  No. of  Dividends</a:t>
          </a:r>
        </a:p>
        <a:p>
          <a:pPr marL="0" lvl="0" indent="0" algn="l"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  Net Earnings</a:t>
          </a:r>
        </a:p>
      </dsp:txBody>
      <dsp:txXfrm>
        <a:off x="3505769" y="1014031"/>
        <a:ext cx="2737245" cy="6877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FD504-8C98-42A0-BEFA-5E26C4982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2813</TotalTime>
  <Pages>17</Pages>
  <Words>9181</Words>
  <Characters>52337</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1030 G2</dc:creator>
  <cp:lastModifiedBy>Grace</cp:lastModifiedBy>
  <cp:revision>394</cp:revision>
  <dcterms:created xsi:type="dcterms:W3CDTF">2023-10-12T16:57:00Z</dcterms:created>
  <dcterms:modified xsi:type="dcterms:W3CDTF">2024-02-05T12:24:00Z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2023-05-09T00:00:00Z</vt:filetime>
  </property>
  <property fmtid="{D5CDD505-2E9C-101B-9397-08002B2CF9AE}" pid="3" name="Creator">
    <vt:lpwstr>Microsoft® Word LTSC</vt:lpwstr>
  </property>
  <property fmtid="{D5CDD505-2E9C-101B-9397-08002B2CF9AE}" pid="4" name="LastSaved">
    <vt:filetime>2023-10-12T00:00:00Z</vt:filetime>
  </property>
</Properties>
</file>