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line="360" w:lineRule="auto"/>
        <w:rPr>
          <w:rFonts w:ascii="Times New Roman" w:hAnsi="Times New Roman" w:cs="Times New Roman"/>
          <w:b/>
          <w:bCs/>
          <w:sz w:val="24"/>
          <w:szCs w:val="24"/>
        </w:rPr>
      </w:pPr>
      <w:bookmarkStart w:id="0" w:name="_Toc70602494"/>
      <w:bookmarkStart w:id="1" w:name="_Toc74645716"/>
      <w:bookmarkStart w:id="2" w:name="_Toc535425631"/>
      <w:bookmarkStart w:id="3" w:name="_Toc69722647"/>
      <w:bookmarkStart w:id="4" w:name="_Toc535421684"/>
      <w:bookmarkStart w:id="5" w:name="_Toc66892250"/>
      <w:bookmarkStart w:id="6" w:name="_Toc535424374"/>
      <w:r>
        <w:rPr>
          <w:rFonts w:ascii="Times New Roman" w:hAnsi="Times New Roman" w:cs="Times New Roman"/>
          <w:b/>
          <w:bCs/>
        </w:rPr>
        <w:t>Evaluating Vonoprazan and Tegoprazan for Gastroesophageal Reflux Disease Treatment in Chinese Healthcare: An EVIDEM Framework A</w:t>
      </w:r>
      <w:r>
        <w:rPr>
          <w:rFonts w:hint="eastAsia" w:ascii="Times New Roman" w:hAnsi="Times New Roman" w:cs="Times New Roman"/>
          <w:b/>
          <w:bCs/>
        </w:rPr>
        <w:t>n</w:t>
      </w:r>
      <w:r>
        <w:rPr>
          <w:rFonts w:ascii="Times New Roman" w:hAnsi="Times New Roman" w:cs="Times New Roman"/>
          <w:b/>
          <w:bCs/>
        </w:rPr>
        <w:t>alysis</w:t>
      </w:r>
    </w:p>
    <w:p>
      <w:pPr>
        <w:spacing w:line="480" w:lineRule="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Chaojun. Xue</w:t>
      </w:r>
      <w:r>
        <w:rPr>
          <w:rFonts w:hint="eastAsia" w:ascii="Times New Roman" w:hAnsi="Times New Roman" w:cs="Times New Roman"/>
          <w:vertAlign w:val="superscript"/>
          <w:lang w:val="en-US" w:eastAsia="zh-CN"/>
        </w:rPr>
        <w:t>1,2</w:t>
      </w:r>
      <w:r>
        <w:rPr>
          <w:rFonts w:hint="eastAsia" w:ascii="Times New Roman" w:hAnsi="Times New Roman" w:cs="Times New Roman"/>
          <w:lang w:val="en-US" w:eastAsia="zh-CN"/>
        </w:rPr>
        <w:t>, Yuhan Du</w:t>
      </w:r>
      <w:r>
        <w:rPr>
          <w:rFonts w:hint="eastAsia" w:ascii="Times New Roman" w:hAnsi="Times New Roman" w:cs="Times New Roman"/>
          <w:vertAlign w:val="superscript"/>
          <w:lang w:val="en-US" w:eastAsia="zh-CN"/>
        </w:rPr>
        <w:t>1</w:t>
      </w:r>
      <w:r>
        <w:rPr>
          <w:rFonts w:hint="eastAsia" w:ascii="Times New Roman" w:hAnsi="Times New Roman" w:cs="Times New Roman"/>
          <w:lang w:val="en-US" w:eastAsia="zh-CN"/>
        </w:rPr>
        <w:t>, Haotian. Yang</w:t>
      </w:r>
      <w:r>
        <w:rPr>
          <w:rFonts w:hint="eastAsia" w:ascii="Times New Roman" w:hAnsi="Times New Roman" w:cs="Times New Roman"/>
          <w:vertAlign w:val="superscript"/>
          <w:lang w:val="en-US" w:eastAsia="zh-CN"/>
        </w:rPr>
        <w:t>1,2</w:t>
      </w:r>
      <w:r>
        <w:rPr>
          <w:rFonts w:hint="eastAsia" w:ascii="Times New Roman" w:hAnsi="Times New Roman" w:cs="Times New Roman"/>
          <w:lang w:val="en-US" w:eastAsia="zh-CN"/>
        </w:rPr>
        <w:t>, Huixin Jin</w:t>
      </w:r>
      <w:r>
        <w:rPr>
          <w:rFonts w:hint="eastAsia" w:ascii="Times New Roman" w:hAnsi="Times New Roman" w:cs="Times New Roman"/>
          <w:vertAlign w:val="superscript"/>
          <w:lang w:val="en-US" w:eastAsia="zh-CN"/>
        </w:rPr>
        <w:t>1,2</w:t>
      </w:r>
      <w:r>
        <w:rPr>
          <w:rFonts w:hint="eastAsia" w:ascii="Times New Roman" w:hAnsi="Times New Roman" w:cs="Times New Roman"/>
          <w:lang w:val="en-US" w:eastAsia="zh-CN"/>
        </w:rPr>
        <w:t>, Yue Zhao</w:t>
      </w:r>
      <w:r>
        <w:rPr>
          <w:rFonts w:hint="eastAsia" w:ascii="Times New Roman" w:hAnsi="Times New Roman" w:cs="Times New Roman"/>
          <w:vertAlign w:val="superscript"/>
          <w:lang w:val="en-US" w:eastAsia="zh-CN"/>
        </w:rPr>
        <w:t>1,2</w:t>
      </w:r>
      <w:r>
        <w:rPr>
          <w:rFonts w:hint="eastAsia" w:ascii="Times New Roman" w:hAnsi="Times New Roman" w:cs="Times New Roman"/>
          <w:lang w:val="en-US" w:eastAsia="zh-CN"/>
        </w:rPr>
        <w:t>, Bingnan Ren</w:t>
      </w:r>
      <w:r>
        <w:rPr>
          <w:rFonts w:hint="eastAsia" w:ascii="Times New Roman" w:hAnsi="Times New Roman" w:cs="Times New Roman"/>
          <w:vertAlign w:val="superscript"/>
          <w:lang w:val="en-US" w:eastAsia="zh-CN"/>
        </w:rPr>
        <w:t>1,2</w:t>
      </w:r>
      <w:r>
        <w:rPr>
          <w:rFonts w:hint="eastAsia" w:ascii="Times New Roman" w:hAnsi="Times New Roman" w:cs="Times New Roman"/>
          <w:lang w:val="en-US" w:eastAsia="zh-CN"/>
        </w:rPr>
        <w:t>, Zhanjun Dong</w:t>
      </w:r>
      <w:r>
        <w:rPr>
          <w:rStyle w:val="49"/>
          <w:rFonts w:hint="eastAsia" w:ascii="Times New Roman" w:hAnsi="Times New Roman" w:cs="Times New Roman"/>
          <w:lang w:val="en-US" w:eastAsia="zh-CN"/>
        </w:rPr>
        <w:footnoteReference w:id="0"/>
      </w:r>
      <w:r>
        <w:rPr>
          <w:rFonts w:hint="eastAsia" w:ascii="Times New Roman" w:hAnsi="Times New Roman" w:cs="Times New Roman"/>
          <w:vertAlign w:val="superscript"/>
          <w:lang w:val="en-US" w:eastAsia="zh-CN"/>
        </w:rPr>
        <w:t>,2</w:t>
      </w:r>
      <w:r>
        <w:rPr>
          <w:rFonts w:hint="eastAsia" w:ascii="Times New Roman" w:hAnsi="Times New Roman" w:cs="Times New Roman"/>
          <w:lang w:val="en-US" w:eastAsia="zh-CN"/>
        </w:rPr>
        <w:t>*</w:t>
      </w:r>
    </w:p>
    <w:p>
      <w:pPr>
        <w:spacing w:before="120" w:line="360" w:lineRule="auto"/>
        <w:ind w:left="709"/>
        <w:jc w:val="left"/>
        <w:rPr>
          <w:rFonts w:ascii="Times New Roman" w:hAnsi="Times New Roman" w:cs="Times New Roman"/>
          <w:sz w:val="24"/>
          <w:szCs w:val="24"/>
          <w:lang w:val="en-GB"/>
        </w:rPr>
      </w:pPr>
    </w:p>
    <w:p>
      <w:pPr>
        <w:spacing w:line="360" w:lineRule="auto"/>
        <w:rPr>
          <w:rFonts w:ascii="Times New Roman" w:hAnsi="Times New Roman" w:cs="Times New Roman"/>
          <w:b/>
          <w:bCs/>
          <w:sz w:val="32"/>
          <w:szCs w:val="32"/>
          <w:lang w:val="en-GB"/>
        </w:rPr>
      </w:pPr>
      <w:r>
        <w:rPr>
          <w:rFonts w:ascii="Times New Roman" w:hAnsi="Times New Roman" w:cs="Times New Roman"/>
          <w:b/>
          <w:bCs/>
          <w:sz w:val="32"/>
          <w:szCs w:val="32"/>
          <w:lang w:val="en-GB"/>
        </w:rPr>
        <w:br w:type="page"/>
      </w:r>
    </w:p>
    <w:p>
      <w:pPr>
        <w:keepNext w:val="0"/>
        <w:keepLines w:val="0"/>
        <w:pageBreakBefore w:val="0"/>
        <w:widowControl/>
        <w:kinsoku/>
        <w:wordWrap/>
        <w:overflowPunct/>
        <w:topLinePunct w:val="0"/>
        <w:autoSpaceDE/>
        <w:autoSpaceDN/>
        <w:bidi w:val="0"/>
        <w:adjustRightInd/>
        <w:snapToGrid/>
        <w:spacing w:before="0" w:after="0" w:line="360" w:lineRule="auto"/>
        <w:textAlignment w:val="auto"/>
        <w:rPr>
          <w:rFonts w:ascii="Times New Roman" w:hAnsi="Times New Roman" w:cs="Times New Roman"/>
          <w:color w:val="auto"/>
          <w:lang w:val="en-GB"/>
        </w:rPr>
      </w:pPr>
      <w:r>
        <w:rPr>
          <w:rStyle w:val="67"/>
          <w:rFonts w:ascii="Times New Roman" w:hAnsi="Times New Roman" w:cs="Times New Roman"/>
          <w:b/>
          <w:bCs/>
          <w:color w:val="auto"/>
          <w:sz w:val="32"/>
          <w:szCs w:val="32"/>
          <w:lang w:val="en-GB"/>
        </w:rPr>
        <w:t>Introduction</w:t>
      </w:r>
    </w:p>
    <w:p>
      <w:pPr>
        <w:keepNext w:val="0"/>
        <w:keepLines w:val="0"/>
        <w:pageBreakBefore w:val="0"/>
        <w:widowControl/>
        <w:kinsoku/>
        <w:wordWrap/>
        <w:overflowPunct/>
        <w:topLinePunct w:val="0"/>
        <w:autoSpaceDE/>
        <w:autoSpaceDN/>
        <w:bidi w:val="0"/>
        <w:adjustRightInd/>
        <w:snapToGrid/>
        <w:spacing w:before="0" w:after="0" w:line="360" w:lineRule="auto"/>
        <w:textAlignment w:val="auto"/>
        <w:rPr>
          <w:rFonts w:hint="eastAsia" w:ascii="Times New Roman" w:hAnsi="Times New Roman" w:cs="Times New Roman"/>
          <w:sz w:val="24"/>
          <w:szCs w:val="24"/>
          <w:lang w:val="en-GB"/>
        </w:rPr>
      </w:pPr>
      <w:r>
        <w:rPr>
          <w:rFonts w:hint="eastAsia" w:ascii="Times New Roman" w:hAnsi="Times New Roman" w:cs="Times New Roman"/>
          <w:sz w:val="24"/>
          <w:szCs w:val="24"/>
          <w:lang w:val="en-GB"/>
        </w:rPr>
        <w:t>Multiple drugs that suppress acid are available to treat gastroesophageal reflux disease (GERD), each with distinct mechanisms of action.</w:t>
      </w:r>
      <w:r>
        <w:rPr>
          <w:rFonts w:hint="eastAsia" w:ascii="Times New Roman" w:hAnsi="Times New Roman" w:eastAsia="宋体" w:cs="Times New Roman"/>
          <w:sz w:val="24"/>
          <w:szCs w:val="24"/>
          <w:lang w:val="en-US" w:eastAsia="zh-CN"/>
        </w:rPr>
        <w:t xml:space="preserve"> </w:t>
      </w:r>
      <w:r>
        <w:rPr>
          <w:rFonts w:hint="eastAsia" w:ascii="Times New Roman" w:hAnsi="Times New Roman" w:cs="Times New Roman"/>
          <w:sz w:val="24"/>
          <w:szCs w:val="24"/>
          <w:lang w:val="en-GB"/>
        </w:rPr>
        <w:t>The most potent medications inhibit the gastric H</w:t>
      </w:r>
      <w:r>
        <w:rPr>
          <w:rFonts w:hint="eastAsia" w:ascii="Times New Roman" w:hAnsi="Times New Roman" w:cs="Times New Roman"/>
          <w:sz w:val="24"/>
          <w:szCs w:val="24"/>
          <w:vertAlign w:val="superscript"/>
          <w:lang w:val="en-GB"/>
        </w:rPr>
        <w:t>+</w:t>
      </w:r>
      <w:r>
        <w:rPr>
          <w:rFonts w:hint="eastAsia" w:ascii="Times New Roman" w:hAnsi="Times New Roman" w:cs="Times New Roman"/>
          <w:sz w:val="24"/>
          <w:szCs w:val="24"/>
          <w:lang w:val="en-GB"/>
        </w:rPr>
        <w:t>/K</w:t>
      </w:r>
      <w:r>
        <w:rPr>
          <w:rFonts w:hint="eastAsia" w:ascii="Times New Roman" w:hAnsi="Times New Roman" w:cs="Times New Roman"/>
          <w:sz w:val="24"/>
          <w:szCs w:val="24"/>
          <w:vertAlign w:val="superscript"/>
          <w:lang w:val="en-GB"/>
        </w:rPr>
        <w:t>+</w:t>
      </w:r>
      <w:r>
        <w:rPr>
          <w:rFonts w:hint="eastAsia" w:ascii="Times New Roman" w:hAnsi="Times New Roman" w:eastAsia="宋体" w:cs="Times New Roman"/>
          <w:sz w:val="24"/>
          <w:szCs w:val="24"/>
          <w:lang w:val="en-US" w:eastAsia="zh-CN"/>
        </w:rPr>
        <w:t>-</w:t>
      </w:r>
      <w:r>
        <w:rPr>
          <w:rFonts w:hint="eastAsia" w:ascii="Times New Roman" w:hAnsi="Times New Roman" w:cs="Times New Roman"/>
          <w:sz w:val="24"/>
          <w:szCs w:val="24"/>
          <w:lang w:val="en-GB"/>
        </w:rPr>
        <w:t>ATPase to block the ultimate common pathway for acid secretion, either by covalent binding in the case of proton pump inhibitors (PPIs) or by reversible inhibition in the case of potassium competitive acid blockers (P</w:t>
      </w:r>
      <w:r>
        <w:rPr>
          <w:rFonts w:hint="eastAsia" w:ascii="Times New Roman" w:hAnsi="Times New Roman" w:eastAsia="宋体" w:cs="Times New Roman"/>
          <w:sz w:val="24"/>
          <w:szCs w:val="24"/>
          <w:lang w:val="en-US" w:eastAsia="zh-CN"/>
        </w:rPr>
        <w:t>-</w:t>
      </w:r>
      <w:r>
        <w:rPr>
          <w:rFonts w:hint="eastAsia" w:ascii="Times New Roman" w:hAnsi="Times New Roman" w:cs="Times New Roman"/>
          <w:sz w:val="24"/>
          <w:szCs w:val="24"/>
          <w:lang w:val="en-GB"/>
        </w:rPr>
        <w:t xml:space="preserve">CABs). PPIs dominate this class of drugs, while P-CABs like vonoprazan (VPZ) and tegoprazan (TPZ) have more recently gained approval in China. The objective of this study was to assess the effectiveness of VPZ and TPZ within the Evidence and Value: Impact on DecisionMaking (EVIDEM) </w:t>
      </w:r>
      <w:r>
        <w:rPr>
          <w:rFonts w:hint="eastAsia" w:ascii="Times New Roman" w:hAnsi="Times New Roman" w:eastAsia="宋体" w:cs="Times New Roman"/>
          <w:sz w:val="24"/>
          <w:szCs w:val="24"/>
          <w:lang w:val="en-US" w:eastAsia="zh-CN"/>
        </w:rPr>
        <w:t xml:space="preserve">framework </w:t>
      </w:r>
      <w:r>
        <w:rPr>
          <w:rFonts w:hint="eastAsia" w:ascii="Times New Roman" w:hAnsi="Times New Roman" w:cs="Times New Roman"/>
          <w:sz w:val="24"/>
          <w:szCs w:val="24"/>
          <w:lang w:val="en-GB"/>
        </w:rPr>
        <w:t>to determine the most suitable medication for use in Chinese medical institutions</w:t>
      </w:r>
      <w:r>
        <w:rPr>
          <w:rFonts w:hint="eastAsia" w:ascii="Times New Roman" w:hAnsi="Times New Roman" w:eastAsia="宋体" w:cs="Times New Roman"/>
          <w:sz w:val="24"/>
          <w:szCs w:val="24"/>
          <w:lang w:val="en-US" w:eastAsia="zh-CN"/>
        </w:rPr>
        <w:t>.</w:t>
      </w:r>
      <w:r>
        <w:rPr>
          <w:rFonts w:hint="eastAsia" w:ascii="Times New Roman" w:hAnsi="Times New Roman" w:cs="Times New Roman"/>
          <w:sz w:val="24"/>
          <w:szCs w:val="24"/>
          <w:lang w:val="en-GB"/>
        </w:rPr>
        <w:t xml:space="preserve"> To streamline the analysis and avoid excessive complexity, we chose PPIs as the comparator for this EVIDEM evaluation.</w:t>
      </w:r>
    </w:p>
    <w:p>
      <w:pPr>
        <w:rPr>
          <w:rFonts w:hint="eastAsia" w:ascii="Times New Roman" w:hAnsi="Times New Roman" w:cs="Times New Roman"/>
          <w:sz w:val="24"/>
          <w:szCs w:val="24"/>
          <w:lang w:val="en-GB"/>
        </w:rPr>
      </w:pPr>
      <w:r>
        <w:rPr>
          <w:rFonts w:hint="eastAsia" w:ascii="Times New Roman" w:hAnsi="Times New Roman" w:cs="Times New Roman"/>
          <w:sz w:val="24"/>
          <w:szCs w:val="24"/>
          <w:lang w:val="en-GB"/>
        </w:rPr>
        <w:br w:type="page"/>
      </w:r>
    </w:p>
    <w:p>
      <w:pPr>
        <w:spacing w:before="120" w:line="360" w:lineRule="auto"/>
        <w:jc w:val="left"/>
        <w:rPr>
          <w:rFonts w:ascii="Times New Roman" w:hAnsi="Times New Roman" w:cs="Times New Roman"/>
          <w:b/>
          <w:bCs/>
          <w:i w:val="0"/>
          <w:iCs w:val="0"/>
          <w:sz w:val="32"/>
          <w:szCs w:val="32"/>
          <w:lang w:val="en-GB"/>
        </w:rPr>
      </w:pPr>
      <w:r>
        <w:rPr>
          <w:rFonts w:ascii="Times New Roman" w:hAnsi="Times New Roman" w:cs="Times New Roman"/>
          <w:b/>
          <w:bCs/>
          <w:i w:val="0"/>
          <w:iCs w:val="0"/>
          <w:sz w:val="32"/>
          <w:szCs w:val="32"/>
          <w:lang w:val="en-GB"/>
        </w:rPr>
        <w:t>SUPPLEMENTARY FILE</w:t>
      </w:r>
    </w:p>
    <w:p>
      <w:pPr>
        <w:pStyle w:val="25"/>
        <w:tabs>
          <w:tab w:val="right" w:leader="dot" w:pos="13238"/>
          <w:tab w:val="clear" w:pos="15628"/>
        </w:tabs>
        <w:rPr>
          <w:i w:val="0"/>
          <w:iCs w:val="0"/>
        </w:rPr>
      </w:pPr>
      <w:r>
        <w:rPr>
          <w:rFonts w:ascii="Times New Roman" w:hAnsi="Times New Roman" w:cs="Times New Roman"/>
          <w:b/>
          <w:bCs/>
          <w:i w:val="0"/>
          <w:iCs w:val="0"/>
          <w:sz w:val="24"/>
          <w:szCs w:val="24"/>
          <w:lang w:val="en-GB"/>
        </w:rPr>
        <w:fldChar w:fldCharType="begin"/>
      </w:r>
      <w:r>
        <w:rPr>
          <w:rFonts w:ascii="Times New Roman" w:hAnsi="Times New Roman" w:cs="Times New Roman"/>
          <w:b/>
          <w:bCs/>
          <w:i w:val="0"/>
          <w:iCs w:val="0"/>
          <w:sz w:val="24"/>
          <w:szCs w:val="24"/>
          <w:lang w:val="en-GB"/>
        </w:rPr>
        <w:instrText xml:space="preserve">TOC \o "1-3" \h \u </w:instrText>
      </w:r>
      <w:r>
        <w:rPr>
          <w:rFonts w:ascii="Times New Roman" w:hAnsi="Times New Roman" w:cs="Times New Roman"/>
          <w:b/>
          <w:bCs/>
          <w:i w:val="0"/>
          <w:iCs w:val="0"/>
          <w:sz w:val="24"/>
          <w:szCs w:val="24"/>
          <w:lang w:val="en-GB"/>
        </w:rPr>
        <w:fldChar w:fldCharType="separate"/>
      </w: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_Toc32448 </w:instrText>
      </w:r>
      <w:r>
        <w:rPr>
          <w:rFonts w:ascii="Times New Roman" w:hAnsi="Times New Roman" w:cs="Times New Roman"/>
          <w:bCs/>
          <w:i w:val="0"/>
          <w:iCs w:val="0"/>
          <w:szCs w:val="24"/>
          <w:lang w:val="en-GB"/>
        </w:rPr>
        <w:fldChar w:fldCharType="separate"/>
      </w:r>
      <w:r>
        <w:rPr>
          <w:rFonts w:ascii="Times New Roman" w:hAnsi="Times New Roman" w:eastAsia="宋体" w:cs="Times New Roman"/>
          <w:bCs/>
          <w:i w:val="0"/>
          <w:iCs w:val="0"/>
          <w:szCs w:val="32"/>
          <w:lang w:val="en-GB"/>
        </w:rPr>
        <w:t>1. N</w:t>
      </w:r>
      <w:r>
        <w:rPr>
          <w:rFonts w:hint="eastAsia" w:ascii="Times New Roman" w:hAnsi="Times New Roman" w:eastAsia="宋体" w:cs="Times New Roman"/>
          <w:bCs/>
          <w:i w:val="0"/>
          <w:iCs w:val="0"/>
          <w:szCs w:val="32"/>
          <w:lang w:val="en-US" w:eastAsia="zh-CN"/>
        </w:rPr>
        <w:t>eed</w:t>
      </w:r>
      <w:r>
        <w:rPr>
          <w:rFonts w:ascii="Times New Roman" w:hAnsi="Times New Roman" w:eastAsia="宋体" w:cs="Times New Roman"/>
          <w:bCs/>
          <w:i w:val="0"/>
          <w:iCs w:val="0"/>
          <w:szCs w:val="32"/>
          <w:lang w:val="en-GB"/>
        </w:rPr>
        <w:t xml:space="preserve"> for intervention</w:t>
      </w:r>
      <w:r>
        <w:rPr>
          <w:rFonts w:hint="eastAsia" w:ascii="Times New Roman" w:hAnsi="Times New Roman" w:eastAsia="宋体" w:cs="Times New Roman"/>
          <w:bCs/>
          <w:i w:val="0"/>
          <w:iCs w:val="0"/>
          <w:szCs w:val="32"/>
          <w:lang w:val="en-US" w:eastAsia="zh-CN"/>
        </w:rPr>
        <w:t xml:space="preserve"> (Absolute Criterion)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_Toc22302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28"/>
          <w:lang w:val="en-US" w:eastAsia="zh-CN"/>
        </w:rPr>
        <w:t xml:space="preserve">1.1 </w:t>
      </w:r>
      <w:r>
        <w:rPr>
          <w:rFonts w:ascii="Times New Roman" w:hAnsi="Times New Roman" w:cs="Times New Roman"/>
          <w:bCs/>
          <w:i w:val="0"/>
          <w:iCs w:val="0"/>
          <w:smallCaps w:val="0"/>
          <w:szCs w:val="28"/>
          <w:lang w:val="en-GB"/>
        </w:rPr>
        <w:t>Disease severity</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_Toc11968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1.2 </w:t>
      </w:r>
      <w:r>
        <w:rPr>
          <w:rFonts w:ascii="Times New Roman" w:hAnsi="Times New Roman" w:cs="Times New Roman"/>
          <w:bCs/>
          <w:i w:val="0"/>
          <w:iCs w:val="0"/>
          <w:smallCaps w:val="0"/>
          <w:szCs w:val="56"/>
          <w:lang w:val="en-GB"/>
        </w:rPr>
        <w:t xml:space="preserve">Size of </w:t>
      </w:r>
      <w:r>
        <w:rPr>
          <w:rFonts w:hint="eastAsia" w:eastAsia="宋体" w:cs="Times New Roman"/>
          <w:bCs/>
          <w:i w:val="0"/>
          <w:iCs w:val="0"/>
          <w:smallCaps w:val="0"/>
          <w:szCs w:val="56"/>
          <w:lang w:val="en-US" w:eastAsia="zh-CN"/>
        </w:rPr>
        <w:t xml:space="preserve">the </w:t>
      </w:r>
      <w:r>
        <w:rPr>
          <w:rFonts w:ascii="Times New Roman" w:hAnsi="Times New Roman" w:cs="Times New Roman"/>
          <w:bCs/>
          <w:i w:val="0"/>
          <w:iCs w:val="0"/>
          <w:smallCaps w:val="0"/>
          <w:szCs w:val="56"/>
          <w:lang w:val="en-GB"/>
        </w:rPr>
        <w:t>affected population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_Toc29462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1.3 </w:t>
      </w:r>
      <w:r>
        <w:rPr>
          <w:rFonts w:hint="eastAsia" w:ascii="Times New Roman" w:hAnsi="Times New Roman" w:eastAsia="宋体" w:cs="Times New Roman"/>
          <w:bCs/>
          <w:i w:val="0"/>
          <w:iCs w:val="0"/>
          <w:smallCaps w:val="0"/>
          <w:szCs w:val="56"/>
          <w:lang w:val="en-GB" w:eastAsia="zh-CN"/>
        </w:rPr>
        <w:t>Unmet needs</w:t>
      </w:r>
      <w:r>
        <w:rPr>
          <w:rFonts w:ascii="Times New Roman" w:hAnsi="Times New Roman" w:cs="Times New Roman"/>
          <w:bCs/>
          <w:i w:val="0"/>
          <w:iCs w:val="0"/>
          <w:szCs w:val="24"/>
          <w:lang w:val="en-GB"/>
        </w:rPr>
        <w:fldChar w:fldCharType="end"/>
      </w:r>
    </w:p>
    <w:p>
      <w:pPr>
        <w:pStyle w:val="25"/>
        <w:tabs>
          <w:tab w:val="right" w:leader="dot" w:pos="13238"/>
          <w:tab w:val="clear" w:pos="1562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_Toc15381 </w:instrText>
      </w:r>
      <w:r>
        <w:rPr>
          <w:rFonts w:ascii="Times New Roman" w:hAnsi="Times New Roman" w:cs="Times New Roman"/>
          <w:bCs/>
          <w:i w:val="0"/>
          <w:iCs w:val="0"/>
          <w:szCs w:val="24"/>
          <w:lang w:val="en-GB"/>
        </w:rPr>
        <w:fldChar w:fldCharType="separate"/>
      </w:r>
      <w:r>
        <w:rPr>
          <w:rFonts w:ascii="Times New Roman" w:hAnsi="Times New Roman" w:eastAsia="宋体" w:cs="Times New Roman"/>
          <w:bCs/>
          <w:i w:val="0"/>
          <w:iCs w:val="0"/>
          <w:szCs w:val="32"/>
          <w:lang w:val="en-GB"/>
        </w:rPr>
        <w:t xml:space="preserve">2. </w:t>
      </w:r>
      <w:r>
        <w:rPr>
          <w:rFonts w:hint="eastAsia" w:ascii="Times New Roman" w:hAnsi="Times New Roman" w:eastAsia="宋体" w:cs="Times New Roman"/>
          <w:bCs/>
          <w:i w:val="0"/>
          <w:iCs w:val="0"/>
          <w:szCs w:val="32"/>
          <w:lang w:val="en-GB"/>
        </w:rPr>
        <w:t>Comparative outcomes of intervention</w:t>
      </w:r>
      <w:r>
        <w:rPr>
          <w:rFonts w:hint="eastAsia" w:ascii="Times New Roman" w:hAnsi="Times New Roman" w:eastAsia="宋体" w:cs="Times New Roman"/>
          <w:bCs/>
          <w:i w:val="0"/>
          <w:iCs w:val="0"/>
          <w:szCs w:val="32"/>
          <w:lang w:val="en-US" w:eastAsia="zh-CN"/>
        </w:rPr>
        <w:t xml:space="preserve"> (Relative Criterion)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_Toc30724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2.1 </w:t>
      </w:r>
      <w:r>
        <w:rPr>
          <w:rFonts w:hint="eastAsia" w:ascii="Times New Roman" w:hAnsi="Times New Roman" w:cs="Times New Roman"/>
          <w:bCs/>
          <w:i w:val="0"/>
          <w:iCs w:val="0"/>
          <w:smallCaps w:val="0"/>
          <w:szCs w:val="56"/>
          <w:lang w:val="en-GB"/>
        </w:rPr>
        <w:t>Comparative effectiveness</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_Toc13476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2.2 </w:t>
      </w:r>
      <w:r>
        <w:rPr>
          <w:rFonts w:hint="eastAsia" w:ascii="Times New Roman" w:hAnsi="Times New Roman" w:cs="Times New Roman"/>
          <w:bCs/>
          <w:i w:val="0"/>
          <w:iCs w:val="0"/>
          <w:smallCaps w:val="0"/>
          <w:szCs w:val="56"/>
          <w:lang w:val="en-GB"/>
        </w:rPr>
        <w:t>Comparative safety</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_Toc19948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2.3 </w:t>
      </w:r>
      <w:r>
        <w:rPr>
          <w:rFonts w:hint="eastAsia" w:ascii="Times New Roman" w:hAnsi="Times New Roman" w:cs="Times New Roman"/>
          <w:bCs/>
          <w:i w:val="0"/>
          <w:iCs w:val="0"/>
          <w:smallCaps w:val="0"/>
          <w:szCs w:val="56"/>
          <w:lang w:val="en-GB"/>
        </w:rPr>
        <w:t>Comparative patient-perceived health</w:t>
      </w:r>
      <w:r>
        <w:rPr>
          <w:rFonts w:ascii="Times New Roman" w:hAnsi="Times New Roman" w:cs="Times New Roman"/>
          <w:bCs/>
          <w:i w:val="0"/>
          <w:iCs w:val="0"/>
          <w:szCs w:val="24"/>
          <w:lang w:val="en-GB"/>
        </w:rPr>
        <w:fldChar w:fldCharType="end"/>
      </w:r>
    </w:p>
    <w:p>
      <w:pPr>
        <w:pStyle w:val="25"/>
        <w:tabs>
          <w:tab w:val="right" w:leader="dot" w:pos="13238"/>
          <w:tab w:val="clear" w:pos="1562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_Toc29516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zCs w:val="32"/>
          <w:lang w:val="en-US" w:eastAsia="zh-CN"/>
        </w:rPr>
        <w:t>3</w:t>
      </w:r>
      <w:r>
        <w:rPr>
          <w:rFonts w:ascii="Times New Roman" w:hAnsi="Times New Roman" w:eastAsia="宋体" w:cs="Times New Roman"/>
          <w:bCs/>
          <w:i w:val="0"/>
          <w:iCs w:val="0"/>
          <w:szCs w:val="32"/>
          <w:lang w:val="en-GB"/>
        </w:rPr>
        <w:t xml:space="preserve">. </w:t>
      </w:r>
      <w:r>
        <w:rPr>
          <w:rFonts w:hint="eastAsia" w:ascii="Times New Roman" w:hAnsi="Times New Roman" w:eastAsia="宋体" w:cs="Times New Roman"/>
          <w:bCs/>
          <w:i w:val="0"/>
          <w:iCs w:val="0"/>
          <w:szCs w:val="32"/>
          <w:lang w:val="en-GB"/>
        </w:rPr>
        <w:t>Type of benefit of intervention</w:t>
      </w:r>
      <w:r>
        <w:rPr>
          <w:rFonts w:hint="eastAsia" w:ascii="Times New Roman" w:hAnsi="Times New Roman" w:cs="Times New Roman"/>
          <w:bCs/>
          <w:i w:val="0"/>
          <w:iCs w:val="0"/>
          <w:smallCaps w:val="0"/>
          <w:szCs w:val="56"/>
          <w:lang w:val="en-GB"/>
        </w:rPr>
        <w:t xml:space="preserve"> (Absolute Criterion)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_Toc21363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3.1 </w:t>
      </w:r>
      <w:r>
        <w:rPr>
          <w:rFonts w:hint="eastAsia" w:ascii="Times New Roman" w:hAnsi="Times New Roman" w:cs="Times New Roman"/>
          <w:bCs/>
          <w:i w:val="0"/>
          <w:iCs w:val="0"/>
          <w:smallCaps w:val="0"/>
          <w:szCs w:val="56"/>
          <w:lang w:val="en-GB"/>
        </w:rPr>
        <w:t>Type of preventive benefit</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_Toc5719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3.2 </w:t>
      </w:r>
      <w:r>
        <w:rPr>
          <w:rFonts w:hint="eastAsia" w:ascii="Times New Roman" w:hAnsi="Times New Roman" w:cs="Times New Roman"/>
          <w:bCs/>
          <w:i w:val="0"/>
          <w:iCs w:val="0"/>
          <w:smallCaps w:val="0"/>
          <w:szCs w:val="56"/>
          <w:lang w:val="en-GB"/>
        </w:rPr>
        <w:t>Type of therapeutic benefit</w:t>
      </w:r>
      <w:r>
        <w:rPr>
          <w:rFonts w:ascii="Times New Roman" w:hAnsi="Times New Roman" w:cs="Times New Roman"/>
          <w:bCs/>
          <w:i w:val="0"/>
          <w:iCs w:val="0"/>
          <w:szCs w:val="24"/>
          <w:lang w:val="en-GB"/>
        </w:rPr>
        <w:fldChar w:fldCharType="end"/>
      </w:r>
    </w:p>
    <w:p>
      <w:pPr>
        <w:pStyle w:val="25"/>
        <w:tabs>
          <w:tab w:val="right" w:leader="dot" w:pos="13238"/>
          <w:tab w:val="clear" w:pos="1562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_Toc26382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zCs w:val="32"/>
          <w:lang w:val="en-US" w:eastAsia="zh-CN"/>
        </w:rPr>
        <w:t>4</w:t>
      </w:r>
      <w:r>
        <w:rPr>
          <w:rFonts w:ascii="Times New Roman" w:hAnsi="Times New Roman" w:eastAsia="宋体" w:cs="Times New Roman"/>
          <w:bCs/>
          <w:i w:val="0"/>
          <w:iCs w:val="0"/>
          <w:szCs w:val="32"/>
          <w:lang w:val="en-GB"/>
        </w:rPr>
        <w:t xml:space="preserve">. </w:t>
      </w:r>
      <w:r>
        <w:rPr>
          <w:rFonts w:hint="eastAsia" w:ascii="Times New Roman" w:hAnsi="Times New Roman" w:eastAsia="宋体" w:cs="Times New Roman"/>
          <w:bCs/>
          <w:i w:val="0"/>
          <w:iCs w:val="0"/>
          <w:szCs w:val="32"/>
          <w:lang w:val="en-GB"/>
        </w:rPr>
        <w:t>Economic consequences of intervention</w:t>
      </w:r>
      <w:r>
        <w:rPr>
          <w:rFonts w:hint="eastAsia" w:ascii="Times New Roman" w:hAnsi="Times New Roman" w:eastAsia="宋体" w:cs="Times New Roman"/>
          <w:bCs/>
          <w:i w:val="0"/>
          <w:iCs w:val="0"/>
          <w:szCs w:val="32"/>
          <w:lang w:val="en-US" w:eastAsia="zh-CN"/>
        </w:rPr>
        <w:t xml:space="preserve"> (Relative Criterion)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_Toc7797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4.1 </w:t>
      </w:r>
      <w:r>
        <w:rPr>
          <w:rFonts w:hint="eastAsia" w:ascii="Times New Roman" w:hAnsi="Times New Roman" w:cs="Times New Roman"/>
          <w:bCs/>
          <w:i w:val="0"/>
          <w:iCs w:val="0"/>
          <w:smallCaps w:val="0"/>
          <w:szCs w:val="56"/>
          <w:lang w:val="en-GB"/>
        </w:rPr>
        <w:t>Comparative cost consequences</w:t>
      </w:r>
      <w:r>
        <w:rPr>
          <w:rFonts w:hint="default" w:eastAsia="宋体" w:cs="Times New Roman"/>
          <w:bCs/>
          <w:i w:val="0"/>
          <w:iCs w:val="0"/>
          <w:smallCaps w:val="0"/>
          <w:szCs w:val="56"/>
          <w:lang w:val="en-GB" w:eastAsia="zh-CN"/>
        </w:rPr>
        <w:t>—</w:t>
      </w:r>
      <w:r>
        <w:rPr>
          <w:rFonts w:hint="eastAsia" w:ascii="Times New Roman" w:hAnsi="Times New Roman" w:cs="Times New Roman"/>
          <w:bCs/>
          <w:i w:val="0"/>
          <w:iCs w:val="0"/>
          <w:smallCaps w:val="0"/>
          <w:szCs w:val="56"/>
          <w:lang w:val="en-GB"/>
        </w:rPr>
        <w:t>cost</w:t>
      </w:r>
      <w:r>
        <w:rPr>
          <w:rFonts w:hint="eastAsia" w:eastAsia="宋体" w:cs="Times New Roman"/>
          <w:bCs/>
          <w:i w:val="0"/>
          <w:iCs w:val="0"/>
          <w:smallCaps w:val="0"/>
          <w:szCs w:val="56"/>
          <w:lang w:val="en-US" w:eastAsia="zh-CN"/>
        </w:rPr>
        <w:t>s</w:t>
      </w:r>
      <w:r>
        <w:rPr>
          <w:rFonts w:hint="eastAsia" w:ascii="Times New Roman" w:hAnsi="Times New Roman" w:cs="Times New Roman"/>
          <w:bCs/>
          <w:i w:val="0"/>
          <w:iCs w:val="0"/>
          <w:smallCaps w:val="0"/>
          <w:szCs w:val="56"/>
          <w:lang w:val="en-GB"/>
        </w:rPr>
        <w:t xml:space="preserve"> of intervention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_Toc23182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4.2 </w:t>
      </w:r>
      <w:r>
        <w:rPr>
          <w:rFonts w:hint="eastAsia" w:ascii="Times New Roman" w:hAnsi="Times New Roman" w:cs="Times New Roman"/>
          <w:bCs/>
          <w:i w:val="0"/>
          <w:iCs w:val="0"/>
          <w:smallCaps w:val="0"/>
          <w:szCs w:val="56"/>
          <w:lang w:val="en-GB"/>
        </w:rPr>
        <w:t>Comparative cost consequences</w:t>
      </w:r>
      <w:r>
        <w:rPr>
          <w:rFonts w:hint="default" w:ascii="Times New Roman" w:hAnsi="Times New Roman" w:eastAsia="宋体" w:cs="Times New Roman"/>
          <w:bCs/>
          <w:i w:val="0"/>
          <w:iCs w:val="0"/>
          <w:smallCaps w:val="0"/>
          <w:szCs w:val="56"/>
          <w:lang w:val="en-GB" w:eastAsia="zh-CN"/>
        </w:rPr>
        <w:t>—</w:t>
      </w:r>
      <w:r>
        <w:rPr>
          <w:rFonts w:hint="eastAsia" w:ascii="Times New Roman" w:hAnsi="Times New Roman" w:cs="Times New Roman"/>
          <w:bCs/>
          <w:i w:val="0"/>
          <w:iCs w:val="0"/>
          <w:smallCaps w:val="0"/>
          <w:szCs w:val="56"/>
          <w:lang w:val="en-GB"/>
        </w:rPr>
        <w:t>other medical costs</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_Toc8838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4.</w:t>
      </w:r>
      <w:r>
        <w:rPr>
          <w:rFonts w:hint="eastAsia" w:eastAsia="宋体" w:cs="Times New Roman"/>
          <w:bCs/>
          <w:i w:val="0"/>
          <w:iCs w:val="0"/>
          <w:smallCaps w:val="0"/>
          <w:szCs w:val="56"/>
          <w:lang w:val="en-US" w:eastAsia="zh-CN"/>
        </w:rPr>
        <w:t>3</w:t>
      </w:r>
      <w:r>
        <w:rPr>
          <w:rFonts w:hint="eastAsia" w:ascii="Times New Roman" w:hAnsi="Times New Roman" w:eastAsia="宋体" w:cs="Times New Roman"/>
          <w:bCs/>
          <w:i w:val="0"/>
          <w:iCs w:val="0"/>
          <w:smallCaps w:val="0"/>
          <w:szCs w:val="56"/>
          <w:lang w:val="en-US" w:eastAsia="zh-CN"/>
        </w:rPr>
        <w:t xml:space="preserve"> </w:t>
      </w:r>
      <w:r>
        <w:rPr>
          <w:rFonts w:hint="eastAsia" w:ascii="Times New Roman" w:hAnsi="Times New Roman" w:cs="Times New Roman"/>
          <w:bCs/>
          <w:i w:val="0"/>
          <w:iCs w:val="0"/>
          <w:smallCaps w:val="0"/>
          <w:szCs w:val="56"/>
          <w:lang w:val="en-GB"/>
        </w:rPr>
        <w:t>Comparative cost consequences</w:t>
      </w:r>
      <w:r>
        <w:rPr>
          <w:rFonts w:hint="default" w:ascii="Times New Roman" w:hAnsi="Times New Roman" w:eastAsia="宋体" w:cs="Times New Roman"/>
          <w:bCs/>
          <w:i w:val="0"/>
          <w:iCs w:val="0"/>
          <w:smallCaps w:val="0"/>
          <w:szCs w:val="56"/>
          <w:lang w:val="en-GB" w:eastAsia="zh-CN"/>
        </w:rPr>
        <w:t>—</w:t>
      </w:r>
      <w:r>
        <w:rPr>
          <w:rFonts w:hint="eastAsia" w:ascii="Times New Roman" w:hAnsi="Times New Roman" w:cs="Times New Roman"/>
          <w:bCs/>
          <w:i w:val="0"/>
          <w:iCs w:val="0"/>
          <w:smallCaps w:val="0"/>
          <w:szCs w:val="56"/>
          <w:lang w:val="en-GB"/>
        </w:rPr>
        <w:t>non-medical costs</w:t>
      </w:r>
      <w:r>
        <w:rPr>
          <w:rFonts w:ascii="Times New Roman" w:hAnsi="Times New Roman" w:cs="Times New Roman"/>
          <w:bCs/>
          <w:i w:val="0"/>
          <w:iCs w:val="0"/>
          <w:szCs w:val="24"/>
          <w:lang w:val="en-GB"/>
        </w:rPr>
        <w:fldChar w:fldCharType="end"/>
      </w:r>
    </w:p>
    <w:p>
      <w:pPr>
        <w:pStyle w:val="25"/>
        <w:tabs>
          <w:tab w:val="right" w:leader="dot" w:pos="13238"/>
          <w:tab w:val="clear" w:pos="1562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_Toc11334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zCs w:val="32"/>
          <w:lang w:val="en-US" w:eastAsia="zh-CN"/>
        </w:rPr>
        <w:t>5</w:t>
      </w:r>
      <w:r>
        <w:rPr>
          <w:rFonts w:ascii="Times New Roman" w:hAnsi="Times New Roman" w:eastAsia="宋体" w:cs="Times New Roman"/>
          <w:bCs/>
          <w:i w:val="0"/>
          <w:iCs w:val="0"/>
          <w:szCs w:val="32"/>
          <w:lang w:val="en-GB"/>
        </w:rPr>
        <w:t xml:space="preserve">. </w:t>
      </w:r>
      <w:r>
        <w:rPr>
          <w:rFonts w:hint="eastAsia" w:ascii="Times New Roman" w:hAnsi="Times New Roman" w:eastAsia="宋体" w:cs="Times New Roman"/>
          <w:bCs/>
          <w:i w:val="0"/>
          <w:iCs w:val="0"/>
          <w:szCs w:val="32"/>
          <w:lang w:val="en-GB"/>
        </w:rPr>
        <w:t>Knowledge about intervention</w:t>
      </w:r>
      <w:r>
        <w:rPr>
          <w:rFonts w:hint="eastAsia" w:ascii="Times New Roman" w:hAnsi="Times New Roman" w:eastAsia="宋体" w:cs="Times New Roman"/>
          <w:bCs/>
          <w:i w:val="0"/>
          <w:iCs w:val="0"/>
          <w:szCs w:val="32"/>
          <w:lang w:val="en-US" w:eastAsia="zh-CN"/>
        </w:rPr>
        <w:t xml:space="preserve"> (Absolute Criterion)</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_Toc9918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5.1 </w:t>
      </w:r>
      <w:r>
        <w:rPr>
          <w:rFonts w:hint="eastAsia" w:ascii="Times New Roman" w:hAnsi="Times New Roman" w:cs="Times New Roman"/>
          <w:bCs/>
          <w:i w:val="0"/>
          <w:iCs w:val="0"/>
          <w:smallCaps w:val="0"/>
          <w:szCs w:val="56"/>
          <w:lang w:val="en-GB"/>
        </w:rPr>
        <w:t>Quality of evidence</w:t>
      </w:r>
      <w:r>
        <w:rPr>
          <w:rFonts w:ascii="Times New Roman" w:hAnsi="Times New Roman" w:cs="Times New Roman"/>
          <w:bCs/>
          <w:i w:val="0"/>
          <w:iCs w:val="0"/>
          <w:szCs w:val="24"/>
          <w:lang w:val="en-GB"/>
        </w:rPr>
        <w:fldChar w:fldCharType="end"/>
      </w:r>
    </w:p>
    <w:p>
      <w:pPr>
        <w:pStyle w:val="34"/>
        <w:tabs>
          <w:tab w:val="right" w:leader="dot" w:pos="13238"/>
        </w:tabs>
        <w:rPr>
          <w:i w:val="0"/>
          <w:iCs w:val="0"/>
        </w:rPr>
      </w:pPr>
      <w:r>
        <w:rPr>
          <w:rFonts w:ascii="Times New Roman" w:hAnsi="Times New Roman" w:cs="Times New Roman"/>
          <w:bCs/>
          <w:i w:val="0"/>
          <w:iCs w:val="0"/>
          <w:szCs w:val="24"/>
          <w:lang w:val="en-GB"/>
        </w:rPr>
        <w:fldChar w:fldCharType="begin"/>
      </w:r>
      <w:r>
        <w:rPr>
          <w:rFonts w:ascii="Times New Roman" w:hAnsi="Times New Roman" w:cs="Times New Roman"/>
          <w:bCs/>
          <w:i w:val="0"/>
          <w:iCs w:val="0"/>
          <w:szCs w:val="24"/>
          <w:lang w:val="en-GB"/>
        </w:rPr>
        <w:instrText xml:space="preserve"> HYPERLINK \l _Toc31259 </w:instrText>
      </w:r>
      <w:r>
        <w:rPr>
          <w:rFonts w:ascii="Times New Roman" w:hAnsi="Times New Roman" w:cs="Times New Roman"/>
          <w:bCs/>
          <w:i w:val="0"/>
          <w:iCs w:val="0"/>
          <w:szCs w:val="24"/>
          <w:lang w:val="en-GB"/>
        </w:rPr>
        <w:fldChar w:fldCharType="separate"/>
      </w:r>
      <w:r>
        <w:rPr>
          <w:rFonts w:hint="eastAsia" w:ascii="Times New Roman" w:hAnsi="Times New Roman" w:eastAsia="宋体" w:cs="Times New Roman"/>
          <w:bCs/>
          <w:i w:val="0"/>
          <w:iCs w:val="0"/>
          <w:smallCaps w:val="0"/>
          <w:szCs w:val="56"/>
          <w:lang w:val="en-US" w:eastAsia="zh-CN"/>
        </w:rPr>
        <w:t xml:space="preserve">5.2 </w:t>
      </w:r>
      <w:r>
        <w:rPr>
          <w:rFonts w:hint="eastAsia" w:ascii="Times New Roman" w:hAnsi="Times New Roman" w:cs="Times New Roman"/>
          <w:bCs/>
          <w:i w:val="0"/>
          <w:iCs w:val="0"/>
          <w:smallCaps w:val="0"/>
          <w:szCs w:val="56"/>
          <w:lang w:val="en-GB"/>
        </w:rPr>
        <w:t>Expert consensus/clinical practice guidelines</w:t>
      </w:r>
      <w:r>
        <w:rPr>
          <w:rFonts w:ascii="Times New Roman" w:hAnsi="Times New Roman" w:cs="Times New Roman"/>
          <w:bCs/>
          <w:i w:val="0"/>
          <w:iCs w:val="0"/>
          <w:szCs w:val="24"/>
          <w:lang w:val="en-GB"/>
        </w:rPr>
        <w:fldChar w:fldCharType="end"/>
      </w:r>
    </w:p>
    <w:p>
      <w:pPr>
        <w:spacing w:before="120" w:line="360" w:lineRule="auto"/>
        <w:ind w:left="709"/>
        <w:jc w:val="left"/>
        <w:rPr>
          <w:rFonts w:ascii="Times New Roman" w:hAnsi="Times New Roman" w:cs="Times New Roman"/>
          <w:bCs/>
          <w:i w:val="0"/>
          <w:iCs w:val="0"/>
          <w:szCs w:val="24"/>
          <w:lang w:val="en-GB"/>
        </w:rPr>
      </w:pPr>
      <w:r>
        <w:rPr>
          <w:rFonts w:ascii="Times New Roman" w:hAnsi="Times New Roman" w:cs="Times New Roman"/>
          <w:bCs/>
          <w:i w:val="0"/>
          <w:iCs w:val="0"/>
          <w:szCs w:val="24"/>
          <w:lang w:val="en-GB"/>
        </w:rPr>
        <w:fldChar w:fldCharType="end"/>
      </w:r>
      <w:bookmarkStart w:id="7" w:name="_Toc32448"/>
      <w:bookmarkStart w:id="8" w:name="_Toc89351158"/>
      <w:bookmarkStart w:id="183" w:name="_GoBack"/>
      <w:bookmarkEnd w:id="183"/>
    </w:p>
    <w:p>
      <w:pPr>
        <w:rPr>
          <w:rFonts w:ascii="Times New Roman" w:hAnsi="Times New Roman" w:cs="Times New Roman"/>
          <w:bCs/>
          <w:szCs w:val="24"/>
          <w:lang w:val="en-GB"/>
        </w:rPr>
      </w:pPr>
      <w:r>
        <w:rPr>
          <w:rFonts w:ascii="Times New Roman" w:hAnsi="Times New Roman" w:cs="Times New Roman"/>
          <w:bCs/>
          <w:szCs w:val="24"/>
          <w:lang w:val="en-GB"/>
        </w:rPr>
        <w:br w:type="page"/>
      </w:r>
    </w:p>
    <w:p>
      <w:pPr>
        <w:spacing w:before="120" w:line="360" w:lineRule="auto"/>
        <w:jc w:val="left"/>
        <w:rPr>
          <w:rStyle w:val="67"/>
          <w:rFonts w:hint="eastAsia" w:ascii="Times New Roman" w:hAnsi="Times New Roman" w:eastAsia="宋体" w:cs="Times New Roman"/>
          <w:b/>
          <w:bCs/>
          <w:color w:val="auto"/>
          <w:sz w:val="32"/>
          <w:szCs w:val="32"/>
          <w:lang w:val="en-US" w:eastAsia="zh-CN"/>
        </w:rPr>
      </w:pPr>
      <w:r>
        <w:rPr>
          <w:rStyle w:val="67"/>
          <w:rFonts w:ascii="Times New Roman" w:hAnsi="Times New Roman" w:eastAsia="宋体" w:cs="Times New Roman"/>
          <w:b/>
          <w:bCs/>
          <w:color w:val="auto"/>
          <w:sz w:val="32"/>
          <w:szCs w:val="32"/>
          <w:lang w:val="en-GB"/>
        </w:rPr>
        <w:t>1. N</w:t>
      </w:r>
      <w:r>
        <w:rPr>
          <w:rStyle w:val="67"/>
          <w:rFonts w:hint="eastAsia" w:ascii="Times New Roman" w:hAnsi="Times New Roman" w:eastAsia="宋体" w:cs="Times New Roman"/>
          <w:b/>
          <w:bCs/>
          <w:color w:val="auto"/>
          <w:sz w:val="32"/>
          <w:szCs w:val="32"/>
          <w:lang w:val="en-US" w:eastAsia="zh-CN"/>
        </w:rPr>
        <w:t>eed</w:t>
      </w:r>
      <w:r>
        <w:rPr>
          <w:rStyle w:val="67"/>
          <w:rFonts w:ascii="Times New Roman" w:hAnsi="Times New Roman" w:eastAsia="宋体" w:cs="Times New Roman"/>
          <w:b/>
          <w:bCs/>
          <w:color w:val="auto"/>
          <w:sz w:val="32"/>
          <w:szCs w:val="32"/>
          <w:lang w:val="en-GB"/>
        </w:rPr>
        <w:t xml:space="preserve"> for intervention</w:t>
      </w:r>
      <w:r>
        <w:rPr>
          <w:rStyle w:val="67"/>
          <w:rFonts w:hint="eastAsia" w:ascii="Times New Roman" w:hAnsi="Times New Roman" w:eastAsia="宋体" w:cs="Times New Roman"/>
          <w:b/>
          <w:bCs/>
          <w:color w:val="auto"/>
          <w:sz w:val="32"/>
          <w:szCs w:val="32"/>
          <w:lang w:val="en-US" w:eastAsia="zh-CN"/>
        </w:rPr>
        <w:t xml:space="preserve"> (Absolute Criterion)</w:t>
      </w:r>
      <w:bookmarkEnd w:id="7"/>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ascii="Times New Roman" w:hAnsi="Times New Roman" w:cs="Times New Roman"/>
          <w:b/>
          <w:bCs/>
          <w:smallCaps w:val="0"/>
          <w:color w:val="auto"/>
          <w:sz w:val="28"/>
          <w:szCs w:val="28"/>
          <w:lang w:val="en-GB"/>
        </w:rPr>
      </w:pPr>
      <w:bookmarkStart w:id="9" w:name="_Toc22302"/>
      <w:r>
        <w:rPr>
          <w:rFonts w:hint="eastAsia" w:ascii="Times New Roman" w:hAnsi="Times New Roman" w:eastAsia="宋体" w:cs="Times New Roman"/>
          <w:b/>
          <w:bCs/>
          <w:smallCaps w:val="0"/>
          <w:color w:val="auto"/>
          <w:sz w:val="28"/>
          <w:szCs w:val="28"/>
          <w:lang w:val="en-US" w:eastAsia="zh-CN"/>
        </w:rPr>
        <w:t xml:space="preserve">1.1 </w:t>
      </w:r>
      <w:r>
        <w:rPr>
          <w:rFonts w:ascii="Times New Roman" w:hAnsi="Times New Roman" w:cs="Times New Roman"/>
          <w:b/>
          <w:bCs/>
          <w:smallCaps w:val="0"/>
          <w:color w:val="auto"/>
          <w:sz w:val="28"/>
          <w:szCs w:val="28"/>
          <w:lang w:val="en-GB"/>
        </w:rPr>
        <w:t>Disease severity</w:t>
      </w:r>
      <w:bookmarkEnd w:id="8"/>
      <w:bookmarkEnd w:id="9"/>
    </w:p>
    <w:p>
      <w:pPr>
        <w:keepNext w:val="0"/>
        <w:keepLines w:val="0"/>
        <w:pageBreakBefore w:val="0"/>
        <w:widowControl/>
        <w:kinsoku/>
        <w:wordWrap/>
        <w:overflowPunct/>
        <w:topLinePunct w:val="0"/>
        <w:autoSpaceDE/>
        <w:autoSpaceDN/>
        <w:bidi w:val="0"/>
        <w:adjustRightInd/>
        <w:snapToGrid/>
        <w:spacing w:before="0" w:after="0" w:line="360" w:lineRule="auto"/>
        <w:ind w:leftChars="200"/>
        <w:jc w:val="both"/>
        <w:textAlignment w:val="auto"/>
        <w:rPr>
          <w:rFonts w:hint="eastAsia" w:ascii="Times New Roman" w:hAnsi="Times New Roman" w:eastAsia="宋体" w:cs="Times New Roman"/>
          <w:b/>
          <w:bCs/>
          <w:smallCaps w:val="0"/>
          <w:color w:val="auto"/>
          <w:sz w:val="24"/>
          <w:szCs w:val="24"/>
          <w:u w:val="none"/>
          <w:lang w:val="en-GB" w:eastAsia="zh-CN"/>
        </w:rPr>
      </w:pPr>
      <w:r>
        <w:rPr>
          <w:rFonts w:hint="eastAsia" w:ascii="Times New Roman" w:hAnsi="Times New Roman" w:eastAsia="宋体" w:cs="Times New Roman"/>
          <w:b/>
          <w:bCs/>
          <w:smallCaps w:val="0"/>
          <w:color w:val="auto"/>
          <w:sz w:val="24"/>
          <w:szCs w:val="24"/>
          <w:u w:val="none"/>
          <w:lang w:val="en-GB" w:eastAsia="zh-CN"/>
        </w:rPr>
        <w:t>Description of the disease</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rPr>
      </w:pPr>
      <w:r>
        <w:rPr>
          <w:rFonts w:hint="eastAsia" w:ascii="Times New Roman" w:hAnsi="Times New Roman" w:cs="Times New Roman"/>
          <w:lang w:val="en-GB"/>
        </w:rPr>
        <w:t>GERD is a medical</w:t>
      </w:r>
      <w:r>
        <w:rPr>
          <w:rFonts w:hint="eastAsia" w:ascii="Times New Roman" w:hAnsi="Times New Roman" w:eastAsia="宋体" w:cs="Times New Roman"/>
          <w:lang w:val="en-US" w:eastAsia="zh-CN"/>
        </w:rPr>
        <w:t xml:space="preserve"> </w:t>
      </w:r>
      <w:r>
        <w:rPr>
          <w:rFonts w:hint="eastAsia" w:ascii="Times New Roman" w:hAnsi="Times New Roman" w:cs="Times New Roman"/>
          <w:lang w:val="en-GB"/>
        </w:rPr>
        <w:t>condition that develops when the reflux of stomach contents causes troublesome symptoms and/or complications</w:t>
      </w:r>
      <w:r>
        <w:rPr>
          <w:rFonts w:hint="default" w:ascii="Times New Roman" w:hAnsi="Times New Roman" w:cs="Times New Roman"/>
          <w:vertAlign w:val="baseline"/>
          <w:lang w:val="en-GB"/>
        </w:rPr>
        <w:fldChar w:fldCharType="begin"/>
      </w:r>
      <w:r>
        <w:rPr>
          <w:rFonts w:hint="default" w:ascii="Times New Roman" w:hAnsi="Times New Roman" w:cs="Times New Roman"/>
          <w:vertAlign w:val="baseline"/>
          <w:lang w:val="en-GB" w:eastAsia="zh-CN"/>
        </w:rPr>
        <w:instrText xml:space="preserve"> ADDIN NE.Ref.{270FF32D-AFA7-4C0A-B85A-F04BC0ED39CB}</w:instrText>
      </w:r>
      <w:r>
        <w:rPr>
          <w:rFonts w:hint="default" w:ascii="Times New Roman" w:hAnsi="Times New Roman" w:cs="Times New Roman"/>
          <w:vertAlign w:val="baseline"/>
          <w:lang w:val="en-GB"/>
        </w:rPr>
        <w:fldChar w:fldCharType="separate"/>
      </w:r>
      <w:r>
        <w:rPr>
          <w:rFonts w:hint="default" w:ascii="Times New Roman" w:hAnsi="Times New Roman" w:cs="Times New Roman"/>
          <w:vertAlign w:val="baseline"/>
          <w:lang w:val="en-GB"/>
        </w:rPr>
        <w:t>[1]</w:t>
      </w:r>
      <w:r>
        <w:rPr>
          <w:rFonts w:hint="default" w:ascii="Times New Roman" w:hAnsi="Times New Roman" w:cs="Times New Roman"/>
          <w:vertAlign w:val="baseline"/>
          <w:lang w:val="en-GB"/>
        </w:rPr>
        <w:fldChar w:fldCharType="end"/>
      </w:r>
      <w:r>
        <w:rPr>
          <w:rFonts w:hint="eastAsia" w:ascii="Times New Roman" w:hAnsi="Times New Roman" w:cs="Times New Roman"/>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rPr>
      </w:pPr>
      <w:r>
        <w:rPr>
          <w:rFonts w:hint="eastAsia" w:ascii="Times New Roman" w:hAnsi="Times New Roman" w:cs="Times New Roman"/>
          <w:lang w:val="en-GB"/>
        </w:rPr>
        <w:t>GERD can manifest in three different phenotypic presentations. The most common presentation is non-erosive reflux disease (NERD), followed by erosive esophagitis (EE)</w:t>
      </w:r>
      <w:r>
        <w:rPr>
          <w:rFonts w:hint="eastAsia" w:ascii="Times New Roman" w:hAnsi="Times New Roman" w:eastAsia="宋体" w:cs="Times New Roman"/>
          <w:lang w:val="en-US" w:eastAsia="zh-CN"/>
        </w:rPr>
        <w:t>,</w:t>
      </w:r>
      <w:r>
        <w:rPr>
          <w:rFonts w:hint="eastAsia" w:ascii="Times New Roman" w:hAnsi="Times New Roman" w:cs="Times New Roman"/>
          <w:lang w:val="en-GB"/>
        </w:rPr>
        <w:t xml:space="preserve"> and Barrett's esophagus (BE)</w:t>
      </w:r>
      <w:r>
        <w:rPr>
          <w:rFonts w:hint="default" w:ascii="Times New Roman" w:hAnsi="Times New Roman" w:cs="Times New Roman"/>
          <w:vertAlign w:val="baseline"/>
          <w:lang w:val="en-GB"/>
        </w:rPr>
        <w:fldChar w:fldCharType="begin"/>
      </w:r>
      <w:r>
        <w:rPr>
          <w:rFonts w:hint="default" w:ascii="Times New Roman" w:hAnsi="Times New Roman" w:eastAsia="宋体" w:cs="Times New Roman"/>
          <w:vertAlign w:val="baseline"/>
          <w:lang w:val="en-GB" w:eastAsia="zh-CN"/>
        </w:rPr>
        <w:instrText xml:space="preserve"> ADDIN NE.Ref.{60CAB531-09E4-4EED-9ECD-01C6E9BEFFA6}</w:instrText>
      </w:r>
      <w:r>
        <w:rPr>
          <w:rFonts w:hint="default" w:ascii="Times New Roman" w:hAnsi="Times New Roman" w:cs="Times New Roman"/>
          <w:vertAlign w:val="baseline"/>
          <w:lang w:val="en-GB"/>
        </w:rPr>
        <w:fldChar w:fldCharType="separate"/>
      </w:r>
      <w:r>
        <w:rPr>
          <w:rFonts w:hint="default" w:ascii="Times New Roman" w:hAnsi="Times New Roman" w:eastAsia="Calibri" w:cs="Times New Roman"/>
          <w:color w:val="080000"/>
          <w:sz w:val="22"/>
          <w:szCs w:val="24"/>
          <w:vertAlign w:val="baseline"/>
        </w:rPr>
        <w:t>[1]</w:t>
      </w:r>
      <w:r>
        <w:rPr>
          <w:rFonts w:hint="default" w:ascii="Times New Roman" w:hAnsi="Times New Roman" w:cs="Times New Roman"/>
          <w:vertAlign w:val="baseline"/>
          <w:lang w:val="en-GB"/>
        </w:rPr>
        <w:fldChar w:fldCharType="end"/>
      </w:r>
      <w:r>
        <w:rPr>
          <w:rFonts w:hint="eastAsia" w:ascii="Times New Roman" w:hAnsi="Times New Roman" w:cs="Times New Roman"/>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rPr>
      </w:pPr>
      <w:r>
        <w:rPr>
          <w:rFonts w:hint="eastAsia" w:ascii="Times New Roman" w:hAnsi="Times New Roman" w:cs="Times New Roman"/>
          <w:lang w:val="en-GB"/>
        </w:rPr>
        <w:t>In general, signs and symptoms attributed to GERD are classified as oesophageal or extra-oesophageal. Heartburn is considered the characteristic symptom of GERD</w:t>
      </w:r>
      <w:r>
        <w:rPr>
          <w:rFonts w:hint="default" w:ascii="Times New Roman" w:hAnsi="Times New Roman" w:cs="Times New Roman"/>
          <w:vertAlign w:val="baseline"/>
          <w:lang w:val="en-GB"/>
        </w:rPr>
        <w:fldChar w:fldCharType="begin"/>
      </w:r>
      <w:r>
        <w:rPr>
          <w:rFonts w:hint="default" w:ascii="Times New Roman" w:hAnsi="Times New Roman" w:cs="Times New Roman"/>
          <w:vertAlign w:val="baseline"/>
          <w:lang w:val="en-GB" w:eastAsia="zh-CN"/>
        </w:rPr>
        <w:instrText xml:space="preserve"> ADDIN NE.Ref.{9A5732A2-78BB-423A-818F-C68B62088B16}</w:instrText>
      </w:r>
      <w:r>
        <w:rPr>
          <w:rFonts w:hint="default" w:ascii="Times New Roman" w:hAnsi="Times New Roman" w:cs="Times New Roman"/>
          <w:vertAlign w:val="baseline"/>
          <w:lang w:val="en-GB"/>
        </w:rPr>
        <w:fldChar w:fldCharType="separate"/>
      </w:r>
      <w:r>
        <w:rPr>
          <w:rFonts w:hint="default" w:ascii="Times New Roman" w:hAnsi="Times New Roman" w:cs="Times New Roman"/>
          <w:vertAlign w:val="baseline"/>
          <w:lang w:val="en-GB"/>
        </w:rPr>
        <w:t>[1]</w:t>
      </w:r>
      <w:r>
        <w:rPr>
          <w:rFonts w:hint="default" w:ascii="Times New Roman" w:hAnsi="Times New Roman" w:cs="Times New Roman"/>
          <w:vertAlign w:val="baseline"/>
          <w:lang w:val="en-GB"/>
        </w:rPr>
        <w:fldChar w:fldCharType="end"/>
      </w:r>
      <w:r>
        <w:rPr>
          <w:rFonts w:hint="eastAsia" w:ascii="Times New Roman" w:hAnsi="Times New Roman" w:cs="Times New Roman"/>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eastAsia="宋体" w:cs="Times New Roman"/>
          <w:b/>
          <w:bCs/>
          <w:smallCaps w:val="0"/>
          <w:color w:val="auto"/>
          <w:sz w:val="22"/>
          <w:szCs w:val="56"/>
          <w:u w:val="none"/>
          <w:lang w:val="en-US" w:eastAsia="zh-CN"/>
        </w:rPr>
      </w:pPr>
      <w:r>
        <w:rPr>
          <w:rFonts w:hint="eastAsia" w:ascii="Times New Roman" w:hAnsi="Times New Roman" w:cs="Times New Roman"/>
          <w:lang w:val="en-GB"/>
        </w:rPr>
        <w:t>The most severe potential consequence of GERD is esophageal adenocarcinoma (EAC). Patients with severe reflux symptoms (&gt;3 times week</w:t>
      </w:r>
      <w:r>
        <w:rPr>
          <w:rFonts w:hint="eastAsia" w:ascii="Times New Roman" w:hAnsi="Times New Roman" w:eastAsia="宋体" w:cs="Times New Roman"/>
          <w:lang w:val="en-US" w:eastAsia="zh-CN"/>
        </w:rPr>
        <w:t>ly</w:t>
      </w:r>
      <w:r>
        <w:rPr>
          <w:rFonts w:hint="eastAsia" w:ascii="Times New Roman" w:hAnsi="Times New Roman" w:cs="Times New Roman"/>
          <w:lang w:val="en-GB"/>
        </w:rPr>
        <w:t xml:space="preserve"> for &gt;5 years) have a 16</w:t>
      </w:r>
      <w:r>
        <w:rPr>
          <w:rFonts w:hint="eastAsia" w:ascii="Times New Roman" w:hAnsi="Times New Roman" w:eastAsia="宋体" w:cs="Times New Roman"/>
          <w:lang w:val="en-US" w:eastAsia="zh-CN"/>
        </w:rPr>
        <w:t>-</w:t>
      </w:r>
      <w:r>
        <w:rPr>
          <w:rFonts w:hint="eastAsia" w:ascii="Times New Roman" w:hAnsi="Times New Roman" w:cs="Times New Roman"/>
          <w:lang w:val="en-GB"/>
        </w:rPr>
        <w:t>fold increased risk of EAC</w:t>
      </w:r>
      <w:r>
        <w:rPr>
          <w:rFonts w:hint="default" w:ascii="Times New Roman" w:hAnsi="Times New Roman" w:cs="Times New Roman"/>
          <w:vertAlign w:val="baseline"/>
          <w:lang w:val="en-GB"/>
        </w:rPr>
        <w:fldChar w:fldCharType="begin"/>
      </w:r>
      <w:r>
        <w:rPr>
          <w:rFonts w:hint="default" w:ascii="Times New Roman" w:hAnsi="Times New Roman" w:cs="Times New Roman"/>
          <w:vertAlign w:val="baseline"/>
          <w:lang w:val="en-GB" w:eastAsia="zh-CN"/>
        </w:rPr>
        <w:instrText xml:space="preserve"> ADDIN NE.Ref.{A5CEE737-4FE2-47F8-B48A-249A23BD26DE}</w:instrText>
      </w:r>
      <w:r>
        <w:rPr>
          <w:rFonts w:hint="default" w:ascii="Times New Roman" w:hAnsi="Times New Roman" w:cs="Times New Roman"/>
          <w:vertAlign w:val="baseline"/>
          <w:lang w:val="en-GB"/>
        </w:rPr>
        <w:fldChar w:fldCharType="separate"/>
      </w:r>
      <w:r>
        <w:rPr>
          <w:rFonts w:hint="default" w:ascii="Times New Roman" w:hAnsi="Times New Roman" w:cs="Times New Roman"/>
          <w:vertAlign w:val="baseline"/>
          <w:lang w:val="en-GB"/>
        </w:rPr>
        <w:t>[2]</w:t>
      </w:r>
      <w:r>
        <w:rPr>
          <w:rFonts w:hint="default" w:ascii="Times New Roman" w:hAnsi="Times New Roman" w:cs="Times New Roman"/>
          <w:vertAlign w:val="baseline"/>
          <w:lang w:val="en-GB"/>
        </w:rPr>
        <w:fldChar w:fldCharType="end"/>
      </w:r>
      <w:r>
        <w:rPr>
          <w:rFonts w:hint="eastAsia" w:ascii="Times New Roman" w:hAnsi="Times New Roman" w:cs="Times New Roman"/>
          <w:lang w:val="en-GB"/>
        </w:rPr>
        <w:t>.</w:t>
      </w:r>
    </w:p>
    <w:p>
      <w:pPr>
        <w:keepNext w:val="0"/>
        <w:keepLines w:val="0"/>
        <w:pageBreakBefore w:val="0"/>
        <w:widowControl/>
        <w:kinsoku/>
        <w:wordWrap/>
        <w:overflowPunct/>
        <w:topLinePunct w:val="0"/>
        <w:autoSpaceDE/>
        <w:autoSpaceDN/>
        <w:bidi w:val="0"/>
        <w:adjustRightInd/>
        <w:snapToGrid/>
        <w:spacing w:before="0" w:after="0" w:line="360" w:lineRule="auto"/>
        <w:ind w:leftChars="200"/>
        <w:jc w:val="both"/>
        <w:textAlignment w:val="auto"/>
        <w:rPr>
          <w:rFonts w:hint="eastAsia" w:ascii="Times New Roman" w:hAnsi="Times New Roman" w:eastAsia="宋体" w:cs="Times New Roman"/>
          <w:b/>
          <w:bCs/>
          <w:smallCaps w:val="0"/>
          <w:color w:val="auto"/>
          <w:sz w:val="24"/>
          <w:szCs w:val="24"/>
          <w:u w:val="none"/>
          <w:lang w:val="en-GB" w:eastAsia="zh-CN"/>
        </w:rPr>
      </w:pPr>
      <w:r>
        <w:rPr>
          <w:rFonts w:hint="eastAsia" w:ascii="Times New Roman" w:hAnsi="Times New Roman" w:eastAsia="宋体" w:cs="Times New Roman"/>
          <w:b/>
          <w:bCs/>
          <w:smallCaps w:val="0"/>
          <w:color w:val="auto"/>
          <w:sz w:val="24"/>
          <w:szCs w:val="24"/>
          <w:u w:val="none"/>
          <w:lang w:val="en-GB" w:eastAsia="zh-CN"/>
        </w:rPr>
        <w:t>Diagnosis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GERD is usually diagnosed based on either the response of suspected reflux-related symptoms to empiric acid-suppressive therapy or the objective findings of diagnostic tests</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NE.Ref.{1981FF8D-C6C4-4EA1-8A6E-C0F798A8EE48}</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[3-5]</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 xml:space="preserve">The presence of esophagitis on endoscopy as measured by the Los Angeles </w:t>
      </w:r>
      <w:r>
        <w:rPr>
          <w:rFonts w:hint="eastAsia" w:ascii="Times New Roman" w:hAnsi="Times New Roman" w:cs="Times New Roman"/>
          <w:lang w:val="en-US" w:eastAsia="zh-CN"/>
        </w:rPr>
        <w:t xml:space="preserve">(LA) </w:t>
      </w:r>
      <w:r>
        <w:rPr>
          <w:rFonts w:hint="eastAsia" w:ascii="Times New Roman" w:hAnsi="Times New Roman" w:cs="Times New Roman"/>
          <w:lang w:val="en-GB" w:eastAsia="zh-CN"/>
        </w:rPr>
        <w:t>Classification (Grade A to Grade D with increasing severity) is sufficient to confirm GERD</w:t>
      </w:r>
      <w:r>
        <w:rPr>
          <w:rFonts w:hint="default" w:ascii="Times New Roman" w:hAnsi="Times New Roman" w:cs="Times New Roman"/>
          <w:lang w:val="en-GB" w:eastAsia="zh-CN"/>
        </w:rPr>
        <w:fldChar w:fldCharType="begin"/>
      </w:r>
      <w:r>
        <w:rPr>
          <w:rFonts w:hint="default" w:ascii="Times New Roman" w:hAnsi="Times New Roman" w:cs="Times New Roman"/>
          <w:lang w:val="en-GB" w:eastAsia="zh-CN"/>
        </w:rPr>
        <w:instrText xml:space="preserve"> ADDIN NE.Ref.{72154615-D608-47DA-A646-E05F35DF89B4}</w:instrText>
      </w:r>
      <w:r>
        <w:rPr>
          <w:rFonts w:hint="default" w:ascii="Times New Roman" w:hAnsi="Times New Roman" w:cs="Times New Roman"/>
          <w:lang w:val="en-GB" w:eastAsia="zh-CN"/>
        </w:rPr>
        <w:fldChar w:fldCharType="separate"/>
      </w:r>
      <w:r>
        <w:rPr>
          <w:rFonts w:hint="default" w:ascii="Times New Roman" w:hAnsi="Times New Roman" w:cs="Times New Roman"/>
          <w:vertAlign w:val="baseline"/>
          <w:lang w:val="en-GB"/>
        </w:rPr>
        <w:t>[3-5</w:t>
      </w:r>
      <w:r>
        <w:rPr>
          <w:rFonts w:hint="default" w:ascii="Times New Roman" w:hAnsi="Times New Roman" w:eastAsia="Calibri" w:cs="Times New Roman"/>
          <w:color w:val="080000"/>
          <w:sz w:val="22"/>
          <w:szCs w:val="24"/>
          <w:vertAlign w:val="superscript"/>
        </w:rPr>
        <w:t>]</w:t>
      </w:r>
      <w:r>
        <w:rPr>
          <w:rFonts w:hint="default" w:ascii="Times New Roman" w:hAnsi="Times New Roman" w:cs="Times New Roman"/>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eastAsia="zh-CN"/>
        </w:rPr>
      </w:pPr>
      <w:r>
        <w:rPr>
          <w:rFonts w:hint="eastAsia" w:ascii="Times New Roman" w:hAnsi="Times New Roman" w:cs="Times New Roman"/>
          <w:lang w:val="en-US" w:eastAsia="zh-CN"/>
        </w:rPr>
        <w:t>For</w:t>
      </w:r>
      <w:r>
        <w:rPr>
          <w:rFonts w:hint="eastAsia" w:ascii="Times New Roman" w:hAnsi="Times New Roman" w:cs="Times New Roman"/>
          <w:lang w:val="en-GB" w:eastAsia="zh-CN"/>
        </w:rPr>
        <w:t xml:space="preserve"> those with minimal changes, narrow-band imaging, oesophageal biopsy, pH testing (wireless or intranasal) or mucosal integrity testing may be helpful</w:t>
      </w:r>
      <w:r>
        <w:rPr>
          <w:rFonts w:hint="default" w:ascii="Times New Roman" w:hAnsi="Times New Roman" w:cs="Times New Roman"/>
          <w:lang w:val="en-GB" w:eastAsia="zh-CN"/>
        </w:rPr>
        <w:fldChar w:fldCharType="begin"/>
      </w:r>
      <w:r>
        <w:rPr>
          <w:rFonts w:hint="default" w:ascii="Times New Roman" w:hAnsi="Times New Roman" w:cs="Times New Roman"/>
          <w:lang w:val="en-GB" w:eastAsia="zh-CN"/>
        </w:rPr>
        <w:instrText xml:space="preserve"> ADDIN NE.Ref.{2682EA2B-30DA-4244-9DFB-731C5EA878D9}</w:instrText>
      </w:r>
      <w:r>
        <w:rPr>
          <w:rFonts w:hint="default" w:ascii="Times New Roman" w:hAnsi="Times New Roman" w:cs="Times New Roman"/>
          <w:lang w:val="en-GB" w:eastAsia="zh-CN"/>
        </w:rPr>
        <w:fldChar w:fldCharType="separate"/>
      </w:r>
      <w:r>
        <w:rPr>
          <w:rFonts w:hint="default" w:ascii="Times New Roman" w:hAnsi="Times New Roman" w:cs="Times New Roman"/>
          <w:vertAlign w:val="baseline"/>
          <w:lang w:val="en-GB"/>
        </w:rPr>
        <w:t>[3-5</w:t>
      </w:r>
      <w:r>
        <w:rPr>
          <w:rFonts w:hint="default" w:ascii="Times New Roman" w:hAnsi="Times New Roman" w:eastAsia="Calibri" w:cs="Times New Roman"/>
          <w:color w:val="080000"/>
          <w:sz w:val="22"/>
          <w:szCs w:val="24"/>
          <w:vertAlign w:val="superscript"/>
        </w:rPr>
        <w:t>]</w:t>
      </w:r>
      <w:r>
        <w:rPr>
          <w:rFonts w:hint="default" w:ascii="Times New Roman" w:hAnsi="Times New Roman" w:cs="Times New Roman"/>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The Reflux Disease Questionnaire (RDQ) and the GERD Questionnaire (GerdQ)</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serve as valuable research instruments for evaluating GERD</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NE.Ref.{C706F9CD-5A15-4C32-819E-B441269BF49D}</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[3-5]</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keepNext w:val="0"/>
        <w:keepLines w:val="0"/>
        <w:pageBreakBefore w:val="0"/>
        <w:widowControl/>
        <w:kinsoku/>
        <w:wordWrap/>
        <w:overflowPunct/>
        <w:topLinePunct w:val="0"/>
        <w:autoSpaceDE/>
        <w:autoSpaceDN/>
        <w:bidi w:val="0"/>
        <w:adjustRightInd/>
        <w:snapToGrid/>
        <w:spacing w:before="0" w:after="0" w:line="360" w:lineRule="auto"/>
        <w:ind w:leftChars="200"/>
        <w:jc w:val="both"/>
        <w:textAlignment w:val="auto"/>
        <w:rPr>
          <w:rFonts w:hint="eastAsia" w:ascii="Times New Roman" w:hAnsi="Times New Roman" w:cs="Times New Roman"/>
          <w:b/>
          <w:bCs/>
          <w:sz w:val="24"/>
          <w:szCs w:val="24"/>
          <w:lang w:val="en-GB" w:eastAsia="zh-CN"/>
        </w:rPr>
      </w:pPr>
      <w:r>
        <w:rPr>
          <w:rFonts w:hint="eastAsia" w:ascii="Times New Roman" w:hAnsi="Times New Roman" w:cs="Times New Roman"/>
          <w:b/>
          <w:bCs/>
          <w:sz w:val="24"/>
          <w:szCs w:val="24"/>
          <w:lang w:val="en-GB" w:eastAsia="zh-CN"/>
        </w:rPr>
        <w:t>Mortality</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jc w:val="both"/>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The risks of all-cause mortality (HR</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1.00, 95% CI: 0.94</w:t>
      </w:r>
      <w:r>
        <w:rPr>
          <w:rFonts w:hint="default" w:ascii="Times New Roman" w:hAnsi="Times New Roman" w:cs="Times New Roman"/>
          <w:lang w:val="en-GB" w:eastAsia="zh-CN"/>
        </w:rPr>
        <w:t>–</w:t>
      </w:r>
      <w:r>
        <w:rPr>
          <w:rFonts w:hint="eastAsia" w:ascii="Times New Roman" w:hAnsi="Times New Roman" w:cs="Times New Roman"/>
          <w:lang w:val="en-GB" w:eastAsia="zh-CN"/>
        </w:rPr>
        <w:t>1.07) and cancer-specific mortality (HR</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0.99, 95% CI: 0.89</w:t>
      </w:r>
      <w:r>
        <w:rPr>
          <w:rFonts w:hint="default" w:ascii="Times New Roman" w:hAnsi="Times New Roman" w:cs="Times New Roman"/>
          <w:lang w:val="en-GB" w:eastAsia="zh-CN"/>
        </w:rPr>
        <w:t>–</w:t>
      </w:r>
      <w:r>
        <w:rPr>
          <w:rFonts w:hint="eastAsia" w:ascii="Times New Roman" w:hAnsi="Times New Roman" w:cs="Times New Roman"/>
          <w:lang w:val="en-GB" w:eastAsia="zh-CN"/>
        </w:rPr>
        <w:t xml:space="preserve">1.10) </w:t>
      </w:r>
      <w:r>
        <w:rPr>
          <w:rFonts w:hint="eastAsia" w:ascii="Times New Roman" w:hAnsi="Times New Roman" w:cs="Times New Roman"/>
          <w:lang w:val="en-US" w:eastAsia="zh-CN"/>
        </w:rPr>
        <w:t>did not</w:t>
      </w:r>
      <w:r>
        <w:rPr>
          <w:rFonts w:hint="eastAsia" w:ascii="Times New Roman" w:hAnsi="Times New Roman" w:cs="Times New Roman"/>
          <w:lang w:val="en-GB" w:eastAsia="zh-CN"/>
        </w:rPr>
        <w:t xml:space="preserve"> increase with GERD</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NE.Ref.{30163808-086F-4993-8C47-0371D542244A}</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[6]</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 xml:space="preserve">People with </w:t>
      </w:r>
      <w:r>
        <w:rPr>
          <w:rFonts w:hint="eastAsia" w:ascii="Times New Roman" w:hAnsi="Times New Roman" w:cs="Times New Roman"/>
          <w:lang w:val="en-US" w:eastAsia="zh-CN"/>
        </w:rPr>
        <w:t>BE</w:t>
      </w:r>
      <w:r>
        <w:rPr>
          <w:rFonts w:hint="eastAsia" w:ascii="Times New Roman" w:hAnsi="Times New Roman" w:cs="Times New Roman"/>
          <w:lang w:val="en-GB" w:eastAsia="zh-CN"/>
        </w:rPr>
        <w:t xml:space="preserve"> and gastroesophageal reflux disease have higher mortality rates than the general population, hazard ratios for all causes of death were 1.37(1.12</w:t>
      </w:r>
      <w:r>
        <w:rPr>
          <w:rFonts w:hint="default" w:ascii="Times New Roman" w:hAnsi="Times New Roman" w:cs="Times New Roman"/>
          <w:lang w:val="en-GB" w:eastAsia="zh-CN"/>
        </w:rPr>
        <w:t>–</w:t>
      </w:r>
      <w:r>
        <w:rPr>
          <w:rFonts w:hint="eastAsia" w:ascii="Times New Roman" w:hAnsi="Times New Roman" w:cs="Times New Roman"/>
          <w:lang w:val="en-GB" w:eastAsia="zh-CN"/>
        </w:rPr>
        <w:t xml:space="preserve">1.66) for the </w:t>
      </w:r>
      <w:r>
        <w:rPr>
          <w:rFonts w:hint="eastAsia" w:ascii="Times New Roman" w:hAnsi="Times New Roman" w:cs="Times New Roman"/>
          <w:lang w:val="en-US" w:eastAsia="zh-CN"/>
        </w:rPr>
        <w:t>BE</w:t>
      </w:r>
      <w:r>
        <w:rPr>
          <w:rFonts w:hint="eastAsia" w:ascii="Times New Roman" w:hAnsi="Times New Roman" w:cs="Times New Roman"/>
          <w:lang w:val="en-GB" w:eastAsia="zh-CN"/>
        </w:rPr>
        <w:t>, 1.16(1.02</w:t>
      </w:r>
      <w:r>
        <w:rPr>
          <w:rFonts w:hint="default" w:ascii="Times New Roman" w:hAnsi="Times New Roman" w:cs="Times New Roman"/>
          <w:lang w:val="en-GB" w:eastAsia="zh-CN"/>
        </w:rPr>
        <w:t>–</w:t>
      </w:r>
      <w:r>
        <w:rPr>
          <w:rFonts w:hint="eastAsia" w:ascii="Times New Roman" w:hAnsi="Times New Roman" w:cs="Times New Roman"/>
          <w:lang w:val="en-GB" w:eastAsia="zh-CN"/>
        </w:rPr>
        <w:t>1.32) for the esophagitis, and 1.16(1.01</w:t>
      </w:r>
      <w:r>
        <w:rPr>
          <w:rFonts w:hint="default" w:ascii="Times New Roman" w:hAnsi="Times New Roman" w:cs="Times New Roman"/>
          <w:lang w:val="en-GB" w:eastAsia="zh-CN"/>
        </w:rPr>
        <w:t>–</w:t>
      </w:r>
      <w:r>
        <w:rPr>
          <w:rFonts w:hint="eastAsia" w:ascii="Times New Roman" w:hAnsi="Times New Roman" w:cs="Times New Roman"/>
          <w:lang w:val="en-GB" w:eastAsia="zh-CN"/>
        </w:rPr>
        <w:t>1.33) for the reflux cohorts</w:t>
      </w:r>
      <w:r>
        <w:rPr>
          <w:rFonts w:hint="default" w:ascii="Times New Roman" w:hAnsi="Times New Roman" w:cs="Times New Roman"/>
          <w:lang w:val="en-GB" w:eastAsia="zh-CN"/>
        </w:rPr>
        <w:fldChar w:fldCharType="begin"/>
      </w:r>
      <w:r>
        <w:rPr>
          <w:rFonts w:hint="default" w:ascii="Times New Roman" w:hAnsi="Times New Roman" w:cs="Times New Roman"/>
          <w:lang w:val="en-GB" w:eastAsia="zh-CN"/>
        </w:rPr>
        <w:instrText xml:space="preserve"> ADDIN NE.Ref.{A1E12B5C-D578-477F-81D5-221CDD8873D1}</w:instrText>
      </w:r>
      <w:r>
        <w:rPr>
          <w:rFonts w:hint="default" w:ascii="Times New Roman" w:hAnsi="Times New Roman" w:cs="Times New Roman"/>
          <w:lang w:val="en-GB" w:eastAsia="zh-CN"/>
        </w:rPr>
        <w:fldChar w:fldCharType="separate"/>
      </w:r>
      <w:r>
        <w:rPr>
          <w:rFonts w:hint="default" w:ascii="Times New Roman" w:hAnsi="Times New Roman" w:cs="Times New Roman"/>
          <w:vertAlign w:val="baseline"/>
          <w:lang w:val="en-GB"/>
        </w:rPr>
        <w:t>[7]</w:t>
      </w:r>
      <w:r>
        <w:rPr>
          <w:rFonts w:hint="default" w:ascii="Times New Roman" w:hAnsi="Times New Roman" w:cs="Times New Roman"/>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 xml:space="preserve">Prevalence of </w:t>
      </w:r>
      <w:r>
        <w:rPr>
          <w:rFonts w:hint="eastAsia" w:ascii="Times New Roman" w:hAnsi="Times New Roman" w:cs="Times New Roman"/>
          <w:lang w:val="en-US" w:eastAsia="zh-CN"/>
        </w:rPr>
        <w:t>BE</w:t>
      </w:r>
      <w:r>
        <w:rPr>
          <w:rFonts w:hint="eastAsia" w:ascii="Times New Roman" w:hAnsi="Times New Roman" w:cs="Times New Roman"/>
          <w:lang w:val="en-GB" w:eastAsia="zh-CN"/>
        </w:rPr>
        <w:t xml:space="preserve"> was significantly higher in men, both for endoscopically suspected (OR</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2.1</w:t>
      </w:r>
      <w:r>
        <w:rPr>
          <w:rFonts w:hint="eastAsia" w:ascii="Times New Roman" w:hAnsi="Times New Roman" w:cs="Times New Roman"/>
          <w:lang w:val="en-US" w:eastAsia="zh-CN"/>
        </w:rPr>
        <w:t>,</w:t>
      </w:r>
      <w:r>
        <w:rPr>
          <w:rFonts w:hint="eastAsia" w:ascii="Times New Roman" w:hAnsi="Times New Roman" w:cs="Times New Roman"/>
          <w:lang w:val="en-GB" w:eastAsia="zh-CN"/>
        </w:rPr>
        <w:t xml:space="preserve"> 95% CI</w:t>
      </w:r>
      <w:r>
        <w:rPr>
          <w:rFonts w:hint="eastAsia" w:ascii="Times New Roman" w:hAnsi="Times New Roman" w:cs="Times New Roman"/>
          <w:lang w:val="en-US" w:eastAsia="zh-CN"/>
        </w:rPr>
        <w:t>:</w:t>
      </w:r>
      <w:r>
        <w:rPr>
          <w:rFonts w:hint="eastAsia" w:ascii="Times New Roman" w:hAnsi="Times New Roman" w:cs="Times New Roman"/>
          <w:lang w:val="en-GB" w:eastAsia="zh-CN"/>
        </w:rPr>
        <w:t xml:space="preserve"> 1.6</w:t>
      </w:r>
      <w:r>
        <w:rPr>
          <w:rFonts w:hint="default" w:ascii="Times New Roman" w:hAnsi="Times New Roman" w:cs="Times New Roman"/>
          <w:lang w:val="en-GB" w:eastAsia="zh-CN"/>
        </w:rPr>
        <w:t>–</w:t>
      </w:r>
      <w:r>
        <w:rPr>
          <w:rFonts w:hint="eastAsia" w:ascii="Times New Roman" w:hAnsi="Times New Roman" w:cs="Times New Roman"/>
          <w:lang w:val="en-GB" w:eastAsia="zh-CN"/>
        </w:rPr>
        <w:t>2.8) and histologically confirmed B</w:t>
      </w:r>
      <w:r>
        <w:rPr>
          <w:rFonts w:hint="eastAsia" w:ascii="Times New Roman" w:hAnsi="Times New Roman" w:cs="Times New Roman"/>
          <w:lang w:val="en-US" w:eastAsia="zh-CN"/>
        </w:rPr>
        <w:t>E</w:t>
      </w:r>
      <w:r>
        <w:rPr>
          <w:rFonts w:hint="eastAsia" w:ascii="Times New Roman" w:hAnsi="Times New Roman" w:cs="Times New Roman"/>
          <w:lang w:val="en-GB" w:eastAsia="zh-CN"/>
        </w:rPr>
        <w:t xml:space="preserve"> (OR</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w:t>
      </w:r>
      <w:r>
        <w:rPr>
          <w:rFonts w:hint="eastAsia" w:ascii="Times New Roman" w:hAnsi="Times New Roman" w:cs="Times New Roman"/>
          <w:lang w:val="en-US" w:eastAsia="zh-CN"/>
        </w:rPr>
        <w:t xml:space="preserve"> </w:t>
      </w:r>
      <w:r>
        <w:rPr>
          <w:rFonts w:hint="eastAsia" w:ascii="Times New Roman" w:hAnsi="Times New Roman" w:cs="Times New Roman"/>
          <w:lang w:val="en-GB" w:eastAsia="zh-CN"/>
        </w:rPr>
        <w:t>2.3</w:t>
      </w:r>
      <w:r>
        <w:rPr>
          <w:rFonts w:hint="eastAsia" w:ascii="Times New Roman" w:hAnsi="Times New Roman" w:cs="Times New Roman"/>
          <w:lang w:val="en-US" w:eastAsia="zh-CN"/>
        </w:rPr>
        <w:t>,</w:t>
      </w:r>
      <w:r>
        <w:rPr>
          <w:rFonts w:hint="eastAsia" w:ascii="Times New Roman" w:hAnsi="Times New Roman" w:cs="Times New Roman"/>
          <w:lang w:val="en-GB" w:eastAsia="zh-CN"/>
        </w:rPr>
        <w:t xml:space="preserve"> 95% CI</w:t>
      </w:r>
      <w:r>
        <w:rPr>
          <w:rFonts w:hint="eastAsia" w:ascii="Times New Roman" w:hAnsi="Times New Roman" w:cs="Times New Roman"/>
          <w:lang w:val="en-US" w:eastAsia="zh-CN"/>
        </w:rPr>
        <w:t>:</w:t>
      </w:r>
      <w:r>
        <w:rPr>
          <w:rFonts w:hint="eastAsia" w:ascii="Times New Roman" w:hAnsi="Times New Roman" w:cs="Times New Roman"/>
          <w:lang w:val="en-GB" w:eastAsia="zh-CN"/>
        </w:rPr>
        <w:t xml:space="preserve"> 1.7</w:t>
      </w:r>
      <w:r>
        <w:rPr>
          <w:rFonts w:hint="default" w:ascii="Times New Roman" w:hAnsi="Times New Roman" w:cs="Times New Roman"/>
          <w:lang w:val="en-GB" w:eastAsia="zh-CN"/>
        </w:rPr>
        <w:t>–</w:t>
      </w:r>
      <w:r>
        <w:rPr>
          <w:rFonts w:hint="eastAsia" w:ascii="Times New Roman" w:hAnsi="Times New Roman" w:cs="Times New Roman"/>
          <w:lang w:val="en-GB" w:eastAsia="zh-CN"/>
        </w:rPr>
        <w:t>3.2)</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NE.Ref.{3B0C0048-D79A-42D6-B02A-1C565CEE54EC}</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[8]</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hint="eastAsia" w:ascii="Times New Roman" w:hAnsi="Times New Roman" w:cs="Times New Roman"/>
          <w:b/>
          <w:bCs/>
          <w:sz w:val="24"/>
          <w:szCs w:val="24"/>
          <w:lang w:val="en-GB" w:eastAsia="zh-CN"/>
        </w:rPr>
      </w:pPr>
      <w:r>
        <w:rPr>
          <w:rFonts w:hint="eastAsia" w:ascii="Times New Roman" w:hAnsi="Times New Roman" w:cs="Times New Roman"/>
          <w:b/>
          <w:bCs/>
          <w:sz w:val="24"/>
          <w:szCs w:val="24"/>
          <w:lang w:val="en-GB" w:eastAsia="zh-CN"/>
        </w:rPr>
        <w:t>Progression</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Most patients remained stable or showed improvement in their grade of esophagitis in 5 years</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NE.Ref.{C73389B2-FCBD-4C25-9817-12C87388B103}</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[9, 10]</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 xml:space="preserve">. </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US" w:eastAsia="zh-CN"/>
        </w:rPr>
        <w:t>In</w:t>
      </w:r>
      <w:r>
        <w:rPr>
          <w:rFonts w:hint="eastAsia" w:ascii="Times New Roman" w:hAnsi="Times New Roman" w:cs="Times New Roman"/>
          <w:lang w:val="en-GB" w:eastAsia="zh-CN"/>
        </w:rPr>
        <w:t xml:space="preserve"> 5 years, 24.7% of the NERD patients, 1% of the LA grade A/B patients progressed to more severe grades</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NE.Ref.{134B9C86-92F3-42BA-9398-C61CC1E484C4}</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[10]</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US" w:eastAsia="zh-CN"/>
        </w:rPr>
        <w:t>In</w:t>
      </w:r>
      <w:r>
        <w:rPr>
          <w:rFonts w:hint="eastAsia" w:ascii="Times New Roman" w:hAnsi="Times New Roman" w:cs="Times New Roman"/>
          <w:lang w:val="en-GB" w:eastAsia="zh-CN"/>
        </w:rPr>
        <w:t xml:space="preserve"> 5 years, 5.9% of the NERD patients, 12.1% of the LA grade A/B patients and 19.7% of the LA grade C/D patients had endoscopic or confirmed </w:t>
      </w:r>
      <w:r>
        <w:rPr>
          <w:rFonts w:hint="eastAsia" w:ascii="Times New Roman" w:hAnsi="Times New Roman" w:cs="Times New Roman"/>
          <w:lang w:val="en-US" w:eastAsia="zh-CN"/>
        </w:rPr>
        <w:t>BE</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NE.Ref.{005109A5-CFFC-4872-9B93-E2039C16E3D1}</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[10]</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Annual progression rates for NERD developing EE ranged from 0% to 30%. About 1</w:t>
      </w:r>
      <w:r>
        <w:rPr>
          <w:rFonts w:hint="default" w:ascii="Times New Roman" w:hAnsi="Times New Roman" w:cs="Times New Roman"/>
          <w:lang w:val="en-GB" w:eastAsia="zh-CN"/>
        </w:rPr>
        <w:t>–</w:t>
      </w:r>
      <w:r>
        <w:rPr>
          <w:rFonts w:hint="eastAsia" w:ascii="Times New Roman" w:hAnsi="Times New Roman" w:cs="Times New Roman"/>
          <w:lang w:val="en-GB" w:eastAsia="zh-CN"/>
        </w:rPr>
        <w:t>22% of patients with mild EE developed more severe inflammation annually, while 1</w:t>
      </w:r>
      <w:r>
        <w:rPr>
          <w:rFonts w:hint="default" w:ascii="Times New Roman" w:hAnsi="Times New Roman" w:cs="Times New Roman"/>
          <w:lang w:val="en-GB" w:eastAsia="zh-CN"/>
        </w:rPr>
        <w:t>–</w:t>
      </w:r>
      <w:r>
        <w:rPr>
          <w:rFonts w:hint="eastAsia" w:ascii="Times New Roman" w:hAnsi="Times New Roman" w:cs="Times New Roman"/>
          <w:lang w:val="en-GB" w:eastAsia="zh-CN"/>
        </w:rPr>
        <w:t xml:space="preserve">13% of patients with EE developed BE </w:t>
      </w:r>
      <w:r>
        <w:rPr>
          <w:rFonts w:hint="eastAsia" w:ascii="Times New Roman" w:hAnsi="Times New Roman" w:cs="Times New Roman"/>
          <w:lang w:val="en-US" w:eastAsia="zh-CN"/>
        </w:rPr>
        <w:t>annually</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NE.Ref.{AB7B164A-26E3-4522-98BE-9C69FCB18C51}</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[9]</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hint="eastAsia" w:ascii="Times New Roman" w:hAnsi="Times New Roman" w:cs="Times New Roman"/>
          <w:b/>
          <w:bCs/>
          <w:sz w:val="24"/>
          <w:szCs w:val="24"/>
          <w:lang w:val="en-GB" w:eastAsia="zh-CN"/>
        </w:rPr>
      </w:pPr>
      <w:r>
        <w:rPr>
          <w:rFonts w:hint="eastAsia" w:ascii="Times New Roman" w:hAnsi="Times New Roman" w:cs="Times New Roman"/>
          <w:b/>
          <w:bCs/>
          <w:sz w:val="24"/>
          <w:szCs w:val="24"/>
          <w:lang w:val="en-GB" w:eastAsia="zh-CN"/>
        </w:rPr>
        <w:t>Quality of life</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cs="Times New Roman"/>
          <w:lang w:val="en-GB" w:eastAsia="zh-CN"/>
        </w:rPr>
      </w:pPr>
      <w:r>
        <w:rPr>
          <w:rFonts w:hint="eastAsia" w:ascii="Times New Roman" w:hAnsi="Times New Roman" w:cs="Times New Roman"/>
          <w:lang w:val="en-GB" w:eastAsia="zh-CN"/>
        </w:rPr>
        <w:t>Respondents with GERD experienced eating and drinking problems (47%), sleep impairment (32%)</w:t>
      </w:r>
      <w:r>
        <w:rPr>
          <w:rFonts w:hint="eastAsia" w:ascii="Times New Roman" w:hAnsi="Times New Roman" w:cs="Times New Roman"/>
          <w:lang w:val="en-US" w:eastAsia="zh-CN"/>
        </w:rPr>
        <w:t>,</w:t>
      </w:r>
      <w:r>
        <w:rPr>
          <w:rFonts w:hint="eastAsia" w:ascii="Times New Roman" w:hAnsi="Times New Roman" w:cs="Times New Roman"/>
          <w:lang w:val="en-GB" w:eastAsia="zh-CN"/>
        </w:rPr>
        <w:t xml:space="preserve"> and reduced work productivity (32%)</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NE.Ref.{A2A1D0DC-44B8-4BC6-B514-10F35BF01889}</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w:t>
      </w:r>
      <w:r>
        <w:rPr>
          <w:rFonts w:hint="default" w:ascii="Times New Roman" w:hAnsi="Times New Roman" w:cs="Times New Roman"/>
          <w:vertAlign w:val="baseline"/>
          <w:lang w:val="en-GB"/>
        </w:rPr>
        <w:t>11]</w:t>
      </w:r>
      <w:r>
        <w:rPr>
          <w:rFonts w:hint="default" w:ascii="Times New Roman" w:hAnsi="Times New Roman" w:cs="Times New Roman"/>
          <w:vertAlign w:val="baseline"/>
          <w:lang w:val="en-GB" w:eastAsia="zh-CN"/>
        </w:rPr>
        <w:fldChar w:fldCharType="end"/>
      </w:r>
      <w:r>
        <w:rPr>
          <w:rFonts w:hint="eastAsia" w:ascii="Times New Roman" w:hAnsi="Times New Roman" w:cs="Times New Roman"/>
          <w:lang w:val="en-GB"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ascii="Times New Roman" w:hAnsi="Times New Roman" w:cs="Times New Roman"/>
          <w:b/>
          <w:bCs/>
          <w:smallCaps w:val="0"/>
          <w:color w:val="auto"/>
          <w:sz w:val="24"/>
          <w:szCs w:val="24"/>
          <w:lang w:val="en-GB"/>
        </w:rPr>
      </w:pPr>
      <w:bookmarkStart w:id="10" w:name="_Toc11968"/>
      <w:bookmarkStart w:id="11" w:name="_Toc89351159"/>
      <w:r>
        <w:rPr>
          <w:rFonts w:hint="eastAsia" w:ascii="Times New Roman" w:hAnsi="Times New Roman" w:eastAsia="宋体" w:cs="Times New Roman"/>
          <w:b/>
          <w:bCs/>
          <w:smallCaps w:val="0"/>
          <w:color w:val="auto"/>
          <w:sz w:val="28"/>
          <w:szCs w:val="56"/>
          <w:lang w:val="en-US" w:eastAsia="zh-CN"/>
        </w:rPr>
        <w:t xml:space="preserve">1.2 </w:t>
      </w:r>
      <w:r>
        <w:rPr>
          <w:rFonts w:ascii="Times New Roman" w:hAnsi="Times New Roman" w:cs="Times New Roman"/>
          <w:b/>
          <w:bCs/>
          <w:smallCaps w:val="0"/>
          <w:color w:val="auto"/>
          <w:sz w:val="28"/>
          <w:szCs w:val="56"/>
          <w:lang w:val="en-GB"/>
        </w:rPr>
        <w:t xml:space="preserve">Size of </w:t>
      </w:r>
      <w:r>
        <w:rPr>
          <w:rFonts w:hint="eastAsia" w:ascii="Times New Roman" w:hAnsi="Times New Roman" w:cs="Times New Roman"/>
          <w:b/>
          <w:bCs/>
          <w:smallCaps w:val="0"/>
          <w:color w:val="auto"/>
          <w:sz w:val="28"/>
          <w:szCs w:val="56"/>
          <w:lang w:val="en-US" w:eastAsia="zh-CN"/>
        </w:rPr>
        <w:t xml:space="preserve">the </w:t>
      </w:r>
      <w:r>
        <w:rPr>
          <w:rFonts w:ascii="Times New Roman" w:hAnsi="Times New Roman" w:cs="Times New Roman"/>
          <w:b/>
          <w:bCs/>
          <w:smallCaps w:val="0"/>
          <w:color w:val="auto"/>
          <w:sz w:val="28"/>
          <w:szCs w:val="56"/>
          <w:lang w:val="en-GB"/>
        </w:rPr>
        <w:t>affected population</w:t>
      </w:r>
      <w:bookmarkEnd w:id="10"/>
      <w:bookmarkEnd w:id="11"/>
      <w:r>
        <w:rPr>
          <w:rFonts w:ascii="Times New Roman" w:hAnsi="Times New Roman" w:cs="Times New Roman"/>
          <w:b/>
          <w:bCs/>
          <w:smallCaps w:val="0"/>
          <w:color w:val="auto"/>
          <w:sz w:val="24"/>
          <w:szCs w:val="24"/>
          <w:lang w:val="en-GB"/>
        </w:rPr>
        <w:t xml:space="preserve"> </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lang w:val="en-GB"/>
        </w:rPr>
      </w:pPr>
      <w:r>
        <w:rPr>
          <w:rFonts w:hint="eastAsia" w:ascii="Times New Roman" w:hAnsi="Times New Roman" w:cs="Times New Roman"/>
          <w:lang w:val="en-GB"/>
        </w:rPr>
        <w:t>In 2019, there were 783.95 million cases of GERD globally</w:t>
      </w:r>
      <w:r>
        <w:rPr>
          <w:rFonts w:hint="default" w:ascii="Times New Roman" w:hAnsi="Times New Roman" w:cs="Times New Roman"/>
          <w:vertAlign w:val="baseline"/>
          <w:lang w:val="en-GB"/>
        </w:rPr>
        <w:fldChar w:fldCharType="begin"/>
      </w:r>
      <w:r>
        <w:rPr>
          <w:rFonts w:hint="default" w:ascii="Times New Roman" w:hAnsi="Times New Roman" w:cs="Times New Roman"/>
          <w:vertAlign w:val="baseline"/>
          <w:lang w:val="en-GB" w:eastAsia="zh-CN"/>
        </w:rPr>
        <w:instrText xml:space="preserve"> ADDIN NE.Ref.{89671CF7-5950-4300-8008-E5C5F38475BE}</w:instrText>
      </w:r>
      <w:r>
        <w:rPr>
          <w:rFonts w:hint="default" w:ascii="Times New Roman" w:hAnsi="Times New Roman" w:cs="Times New Roman"/>
          <w:vertAlign w:val="baseline"/>
          <w:lang w:val="en-GB"/>
        </w:rPr>
        <w:fldChar w:fldCharType="separate"/>
      </w:r>
      <w:r>
        <w:rPr>
          <w:rFonts w:hint="default" w:ascii="Times New Roman" w:hAnsi="Times New Roman" w:cs="Times New Roman"/>
          <w:vertAlign w:val="baseline"/>
          <w:lang w:val="en-GB"/>
        </w:rPr>
        <w:t>[12]</w:t>
      </w:r>
      <w:r>
        <w:rPr>
          <w:rFonts w:hint="default" w:ascii="Times New Roman" w:hAnsi="Times New Roman" w:cs="Times New Roman"/>
          <w:vertAlign w:val="baseline"/>
          <w:lang w:val="en-GB"/>
        </w:rPr>
        <w:fldChar w:fldCharType="end"/>
      </w:r>
      <w:r>
        <w:rPr>
          <w:rFonts w:ascii="Times New Roman" w:hAnsi="Times New Roman" w:cs="Times New Roman"/>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lang w:val="en-GB"/>
        </w:rPr>
      </w:pPr>
      <w:r>
        <w:rPr>
          <w:rFonts w:hint="eastAsia" w:ascii="Times New Roman" w:hAnsi="Times New Roman" w:cs="Times New Roman"/>
          <w:lang w:val="en-GB"/>
        </w:rPr>
        <w:t>Between 1990 and 2019, the total number of prevalent cases, incident cases, and years lived with disability increased by 77.53%, 74.79%, and 77.19%, respectively</w:t>
      </w:r>
      <w:r>
        <w:rPr>
          <w:rFonts w:hint="default" w:ascii="Times New Roman" w:hAnsi="Times New Roman" w:cs="Times New Roman"/>
          <w:vertAlign w:val="baseline"/>
          <w:lang w:val="en-GB"/>
        </w:rPr>
        <w:fldChar w:fldCharType="begin"/>
      </w:r>
      <w:r>
        <w:rPr>
          <w:rFonts w:hint="default" w:ascii="Times New Roman" w:hAnsi="Times New Roman" w:cs="Times New Roman"/>
          <w:vertAlign w:val="baseline"/>
          <w:lang w:val="en-GB" w:eastAsia="zh-CN"/>
        </w:rPr>
        <w:instrText xml:space="preserve"> ADDIN NE.Ref.{2C1B29B4-4942-4965-82E9-4AC642FD36D1}</w:instrText>
      </w:r>
      <w:r>
        <w:rPr>
          <w:rFonts w:hint="default" w:ascii="Times New Roman" w:hAnsi="Times New Roman" w:cs="Times New Roman"/>
          <w:vertAlign w:val="baseline"/>
          <w:lang w:val="en-GB"/>
        </w:rPr>
        <w:fldChar w:fldCharType="separate"/>
      </w:r>
      <w:r>
        <w:rPr>
          <w:rFonts w:hint="default" w:ascii="Times New Roman" w:hAnsi="Times New Roman" w:cs="Times New Roman"/>
          <w:vertAlign w:val="baseline"/>
          <w:lang w:val="en-GB"/>
        </w:rPr>
        <w:t>[13]</w:t>
      </w:r>
      <w:r>
        <w:rPr>
          <w:rFonts w:hint="default" w:ascii="Times New Roman" w:hAnsi="Times New Roman" w:cs="Times New Roman"/>
          <w:vertAlign w:val="baseline"/>
          <w:lang w:val="en-GB"/>
        </w:rPr>
        <w:fldChar w:fldCharType="end"/>
      </w:r>
      <w:r>
        <w:rPr>
          <w:rFonts w:hint="eastAsia" w:ascii="Times New Roman" w:hAnsi="Times New Roman" w:cs="Times New Roman"/>
          <w:lang w:val="en-GB"/>
        </w:rPr>
        <w:t>.</w:t>
      </w:r>
      <w:r>
        <w:rPr>
          <w:rFonts w:ascii="Times New Roman" w:hAnsi="Times New Roman" w:cs="Times New Roman"/>
          <w:lang w:val="en-GB"/>
        </w:rPr>
        <w:t xml:space="preserve"> </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sz w:val="24"/>
          <w:szCs w:val="24"/>
          <w:lang w:val="en-GB"/>
        </w:rPr>
      </w:pPr>
      <w:r>
        <w:rPr>
          <w:rFonts w:hint="eastAsia" w:ascii="Times New Roman" w:hAnsi="Times New Roman" w:eastAsia="宋体" w:cs="Times New Roman"/>
          <w:lang w:val="en-US" w:eastAsia="zh-CN"/>
        </w:rPr>
        <w:t>T</w:t>
      </w:r>
      <w:r>
        <w:rPr>
          <w:rFonts w:hint="eastAsia" w:ascii="Times New Roman" w:hAnsi="Times New Roman" w:cs="Times New Roman"/>
          <w:lang w:val="en-GB"/>
        </w:rPr>
        <w:t>he lowest age-standardized prevalence rate, age-standardized incidence rate, and age-standardized years of life lived with disability rate were found in China</w:t>
      </w:r>
      <w:r>
        <w:rPr>
          <w:rFonts w:hint="eastAsia" w:ascii="Times New Roman" w:hAnsi="Times New Roman" w:eastAsia="宋体" w:cs="Times New Roman"/>
          <w:lang w:val="en-US" w:eastAsia="zh-CN"/>
        </w:rPr>
        <w:t xml:space="preserve"> </w:t>
      </w:r>
      <w:r>
        <w:rPr>
          <w:rFonts w:hint="eastAsia" w:ascii="Times New Roman" w:hAnsi="Times New Roman" w:cs="Times New Roman"/>
          <w:lang w:val="en-GB"/>
        </w:rPr>
        <w:t>[4509.32(3899.11</w:t>
      </w:r>
      <w:r>
        <w:rPr>
          <w:rFonts w:hint="default" w:ascii="Times New Roman" w:hAnsi="Times New Roman" w:cs="Times New Roman"/>
          <w:lang w:val="en-GB"/>
        </w:rPr>
        <w:t>–</w:t>
      </w:r>
      <w:r>
        <w:rPr>
          <w:rFonts w:hint="eastAsia" w:ascii="Times New Roman" w:hAnsi="Times New Roman" w:cs="Times New Roman"/>
          <w:lang w:val="en-GB"/>
        </w:rPr>
        <w:t>5133.17) per 100,000 population,</w:t>
      </w:r>
      <w:r>
        <w:rPr>
          <w:rFonts w:hint="eastAsia" w:ascii="Times New Roman" w:hAnsi="Times New Roman" w:eastAsia="宋体" w:cs="Times New Roman"/>
          <w:lang w:val="en-US" w:eastAsia="zh-CN"/>
        </w:rPr>
        <w:t xml:space="preserve"> </w:t>
      </w:r>
      <w:r>
        <w:rPr>
          <w:rFonts w:hint="eastAsia" w:ascii="Times New Roman" w:hAnsi="Times New Roman" w:cs="Times New Roman"/>
          <w:lang w:val="en-GB"/>
        </w:rPr>
        <w:t>1841.66(1607.09</w:t>
      </w:r>
      <w:r>
        <w:rPr>
          <w:rFonts w:hint="default" w:ascii="Times New Roman" w:hAnsi="Times New Roman" w:cs="Times New Roman"/>
          <w:lang w:val="en-GB"/>
        </w:rPr>
        <w:t>–</w:t>
      </w:r>
      <w:r>
        <w:rPr>
          <w:rFonts w:hint="eastAsia" w:ascii="Times New Roman" w:hAnsi="Times New Roman" w:cs="Times New Roman"/>
          <w:lang w:val="en-GB"/>
        </w:rPr>
        <w:t xml:space="preserve">2133.51) per 100,000 </w:t>
      </w:r>
      <w:r>
        <w:rPr>
          <w:rFonts w:hint="eastAsia" w:ascii="Times New Roman" w:hAnsi="Times New Roman" w:eastAsia="宋体" w:cs="Times New Roman"/>
          <w:lang w:val="en-US" w:eastAsia="zh-CN"/>
        </w:rPr>
        <w:t>p</w:t>
      </w:r>
      <w:r>
        <w:rPr>
          <w:rFonts w:hint="eastAsia" w:ascii="Times New Roman" w:hAnsi="Times New Roman" w:cs="Times New Roman"/>
          <w:lang w:val="en-GB"/>
        </w:rPr>
        <w:t>opulation, and 34.94(17.73</w:t>
      </w:r>
      <w:r>
        <w:rPr>
          <w:rFonts w:hint="default" w:ascii="Times New Roman" w:hAnsi="Times New Roman" w:cs="Times New Roman"/>
          <w:lang w:val="en-GB"/>
        </w:rPr>
        <w:t>–</w:t>
      </w:r>
      <w:r>
        <w:rPr>
          <w:rFonts w:hint="eastAsia" w:ascii="Times New Roman" w:hAnsi="Times New Roman" w:cs="Times New Roman"/>
          <w:lang w:val="en-GB"/>
        </w:rPr>
        <w:t>63.02) per 100,000 population, respectively]</w:t>
      </w:r>
      <w:r>
        <w:rPr>
          <w:rFonts w:hint="default" w:ascii="Times New Roman" w:hAnsi="Times New Roman" w:cs="Times New Roman"/>
          <w:vertAlign w:val="baseline"/>
          <w:lang w:val="en-GB"/>
        </w:rPr>
        <w:fldChar w:fldCharType="begin"/>
      </w:r>
      <w:r>
        <w:rPr>
          <w:rFonts w:hint="default" w:ascii="Times New Roman" w:hAnsi="Times New Roman" w:cs="Times New Roman"/>
          <w:vertAlign w:val="baseline"/>
          <w:lang w:val="en-GB" w:eastAsia="zh-CN"/>
        </w:rPr>
        <w:instrText xml:space="preserve"> ADDIN NE.Ref.{375CD857-6A9C-496D-9EB2-3F2D06655A4A}</w:instrText>
      </w:r>
      <w:r>
        <w:rPr>
          <w:rFonts w:hint="default" w:ascii="Times New Roman" w:hAnsi="Times New Roman" w:cs="Times New Roman"/>
          <w:vertAlign w:val="baseline"/>
          <w:lang w:val="en-GB"/>
        </w:rPr>
        <w:fldChar w:fldCharType="separate"/>
      </w:r>
      <w:r>
        <w:rPr>
          <w:rFonts w:hint="default" w:ascii="Times New Roman" w:hAnsi="Times New Roman" w:cs="Times New Roman"/>
          <w:vertAlign w:val="baseline"/>
          <w:lang w:val="en-GB"/>
        </w:rPr>
        <w:t>[13]</w:t>
      </w:r>
      <w:r>
        <w:rPr>
          <w:rFonts w:hint="default" w:ascii="Times New Roman" w:hAnsi="Times New Roman" w:cs="Times New Roman"/>
          <w:vertAlign w:val="baseline"/>
          <w:lang w:val="en-GB"/>
        </w:rPr>
        <w:fldChar w:fldCharType="end"/>
      </w:r>
      <w:r>
        <w:rPr>
          <w:rFonts w:hint="eastAsia" w:ascii="Times New Roman" w:hAnsi="Times New Roman" w:cs="Times New Roman"/>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sz w:val="22"/>
          <w:szCs w:val="22"/>
          <w:lang w:val="en-GB"/>
        </w:rPr>
      </w:pPr>
      <w:r>
        <w:rPr>
          <w:rFonts w:hint="eastAsia" w:ascii="Times New Roman" w:hAnsi="Times New Roman" w:cs="Times New Roman"/>
          <w:sz w:val="22"/>
          <w:szCs w:val="22"/>
          <w:lang w:val="en-GB"/>
        </w:rPr>
        <w:t>The prevalence of GERD varies with age. 14.0%(95% CI</w:t>
      </w:r>
      <w:r>
        <w:rPr>
          <w:rFonts w:hint="eastAsia" w:ascii="Times New Roman" w:hAnsi="Times New Roman" w:eastAsia="宋体" w:cs="Times New Roman"/>
          <w:sz w:val="22"/>
          <w:szCs w:val="22"/>
          <w:lang w:val="en-US" w:eastAsia="zh-CN"/>
        </w:rPr>
        <w:t>:</w:t>
      </w:r>
      <w:r>
        <w:rPr>
          <w:rFonts w:hint="eastAsia" w:ascii="Times New Roman" w:hAnsi="Times New Roman" w:cs="Times New Roman"/>
          <w:sz w:val="22"/>
          <w:szCs w:val="22"/>
          <w:lang w:val="en-GB"/>
        </w:rPr>
        <w:t xml:space="preserve"> 9.9%</w:t>
      </w:r>
      <w:r>
        <w:rPr>
          <w:rFonts w:hint="default" w:ascii="Times New Roman" w:hAnsi="Times New Roman" w:cs="Times New Roman"/>
          <w:lang w:val="en-GB"/>
        </w:rPr>
        <w:t>–</w:t>
      </w:r>
      <w:r>
        <w:rPr>
          <w:rFonts w:hint="eastAsia" w:ascii="Times New Roman" w:hAnsi="Times New Roman" w:cs="Times New Roman"/>
          <w:sz w:val="22"/>
          <w:szCs w:val="22"/>
          <w:lang w:val="en-GB"/>
        </w:rPr>
        <w:t>18.7%) in those younger than 50 years and 17.3%(95% CI</w:t>
      </w:r>
      <w:r>
        <w:rPr>
          <w:rFonts w:hint="eastAsia" w:ascii="Times New Roman" w:hAnsi="Times New Roman" w:eastAsia="宋体" w:cs="Times New Roman"/>
          <w:sz w:val="22"/>
          <w:szCs w:val="22"/>
          <w:lang w:val="en-US" w:eastAsia="zh-CN"/>
        </w:rPr>
        <w:t>:</w:t>
      </w:r>
      <w:r>
        <w:rPr>
          <w:rFonts w:hint="eastAsia" w:ascii="Times New Roman" w:hAnsi="Times New Roman" w:cs="Times New Roman"/>
          <w:sz w:val="22"/>
          <w:szCs w:val="22"/>
          <w:lang w:val="en-GB"/>
        </w:rPr>
        <w:t xml:space="preserve"> 13.3%</w:t>
      </w:r>
      <w:r>
        <w:rPr>
          <w:rFonts w:hint="default" w:ascii="Times New Roman" w:hAnsi="Times New Roman" w:cs="Times New Roman"/>
          <w:lang w:val="en-GB"/>
        </w:rPr>
        <w:t>–</w:t>
      </w:r>
      <w:r>
        <w:rPr>
          <w:rFonts w:hint="eastAsia" w:ascii="Times New Roman" w:hAnsi="Times New Roman" w:cs="Times New Roman"/>
          <w:sz w:val="22"/>
          <w:szCs w:val="22"/>
          <w:lang w:val="en-GB"/>
        </w:rPr>
        <w:t>21.7%) in those 50 years and older, for an odds ratio (OR) of 1.32(95% CI</w:t>
      </w:r>
      <w:r>
        <w:rPr>
          <w:rFonts w:hint="eastAsia" w:ascii="Times New Roman" w:hAnsi="Times New Roman" w:eastAsia="宋体" w:cs="Times New Roman"/>
          <w:sz w:val="22"/>
          <w:szCs w:val="22"/>
          <w:lang w:val="en-US" w:eastAsia="zh-CN"/>
        </w:rPr>
        <w:t>:</w:t>
      </w:r>
      <w:r>
        <w:rPr>
          <w:rFonts w:hint="eastAsia" w:ascii="Times New Roman" w:hAnsi="Times New Roman" w:cs="Times New Roman"/>
          <w:sz w:val="22"/>
          <w:szCs w:val="22"/>
          <w:lang w:val="en-GB"/>
        </w:rPr>
        <w:t xml:space="preserve"> 1.12</w:t>
      </w:r>
      <w:r>
        <w:rPr>
          <w:rFonts w:hint="default" w:ascii="Times New Roman" w:hAnsi="Times New Roman" w:cs="Times New Roman"/>
          <w:lang w:val="en-GB"/>
        </w:rPr>
        <w:t>–</w:t>
      </w:r>
      <w:r>
        <w:rPr>
          <w:rFonts w:hint="eastAsia" w:ascii="Times New Roman" w:hAnsi="Times New Roman" w:cs="Times New Roman"/>
          <w:sz w:val="22"/>
          <w:szCs w:val="22"/>
          <w:lang w:val="en-GB"/>
        </w:rPr>
        <w:t>1.54)</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NE.Ref.{53545FCE-7854-4FCB-BB71-847393F451A8}</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[14]</w:t>
      </w:r>
      <w:r>
        <w:rPr>
          <w:rFonts w:hint="default" w:ascii="Times New Roman" w:hAnsi="Times New Roman" w:cs="Times New Roman"/>
          <w:vertAlign w:val="baseline"/>
          <w:lang w:val="en-US" w:eastAsia="zh-CN"/>
        </w:rPr>
        <w:fldChar w:fldCharType="end"/>
      </w:r>
      <w:r>
        <w:rPr>
          <w:rFonts w:hint="eastAsia" w:ascii="Times New Roman" w:hAnsi="Times New Roman" w:eastAsia="宋体" w:cs="Times New Roman"/>
          <w:sz w:val="22"/>
          <w:szCs w:val="22"/>
          <w:lang w:val="en-US"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ascii="Times New Roman" w:hAnsi="Times New Roman" w:eastAsia="宋体" w:cs="Times New Roman"/>
          <w:b/>
          <w:bCs/>
          <w:smallCaps w:val="0"/>
          <w:color w:val="auto"/>
          <w:sz w:val="28"/>
          <w:szCs w:val="56"/>
          <w:lang w:val="en-GB" w:eastAsia="zh-CN"/>
        </w:rPr>
      </w:pPr>
      <w:bookmarkStart w:id="12" w:name="_Toc89351160"/>
      <w:bookmarkStart w:id="13" w:name="_Toc29462"/>
      <w:r>
        <w:rPr>
          <w:rFonts w:hint="eastAsia" w:ascii="Times New Roman" w:hAnsi="Times New Roman" w:eastAsia="宋体" w:cs="Times New Roman"/>
          <w:b/>
          <w:bCs/>
          <w:smallCaps w:val="0"/>
          <w:color w:val="auto"/>
          <w:sz w:val="28"/>
          <w:szCs w:val="56"/>
          <w:lang w:val="en-US" w:eastAsia="zh-CN"/>
        </w:rPr>
        <w:t xml:space="preserve">1.3 </w:t>
      </w:r>
      <w:r>
        <w:rPr>
          <w:rFonts w:hint="eastAsia" w:ascii="Times New Roman" w:hAnsi="Times New Roman" w:eastAsia="宋体" w:cs="Times New Roman"/>
          <w:b/>
          <w:bCs/>
          <w:smallCaps w:val="0"/>
          <w:color w:val="auto"/>
          <w:sz w:val="28"/>
          <w:szCs w:val="56"/>
          <w:lang w:val="en-GB" w:eastAsia="zh-CN"/>
        </w:rPr>
        <w:t>Unmet needs</w:t>
      </w:r>
      <w:bookmarkEnd w:id="12"/>
      <w:bookmarkEnd w:id="13"/>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hint="eastAsia" w:ascii="Times New Roman" w:hAnsi="Times New Roman" w:cs="Times New Roman"/>
          <w:b/>
          <w:bCs/>
          <w:sz w:val="24"/>
          <w:szCs w:val="24"/>
          <w:lang w:val="en-GB" w:eastAsia="zh-CN"/>
        </w:rPr>
      </w:pPr>
      <w:r>
        <w:rPr>
          <w:rFonts w:hint="eastAsia" w:ascii="Times New Roman" w:hAnsi="Times New Roman" w:cs="Times New Roman"/>
          <w:b/>
          <w:bCs/>
          <w:sz w:val="24"/>
          <w:szCs w:val="24"/>
          <w:lang w:val="en-GB" w:eastAsia="zh-CN"/>
        </w:rPr>
        <w:t>Effectiveness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lang w:val="en-GB"/>
        </w:rPr>
      </w:pPr>
      <w:r>
        <w:rPr>
          <w:rFonts w:hint="eastAsia" w:ascii="Times New Roman" w:hAnsi="Times New Roman" w:cs="Times New Roman"/>
          <w:b/>
          <w:bCs/>
          <w:lang w:val="en-GB"/>
        </w:rPr>
        <w:t xml:space="preserve">Proton </w:t>
      </w:r>
      <w:r>
        <w:rPr>
          <w:rFonts w:hint="eastAsia" w:ascii="Times New Roman" w:hAnsi="Times New Roman" w:eastAsia="宋体" w:cs="Times New Roman"/>
          <w:b/>
          <w:bCs/>
          <w:lang w:val="en-US" w:eastAsia="zh-CN"/>
        </w:rPr>
        <w:t>p</w:t>
      </w:r>
      <w:r>
        <w:rPr>
          <w:rFonts w:hint="eastAsia" w:ascii="Times New Roman" w:hAnsi="Times New Roman" w:cs="Times New Roman"/>
          <w:b/>
          <w:bCs/>
          <w:lang w:val="en-GB"/>
        </w:rPr>
        <w:t xml:space="preserve">ump </w:t>
      </w:r>
      <w:r>
        <w:rPr>
          <w:rFonts w:hint="eastAsia" w:ascii="Times New Roman" w:hAnsi="Times New Roman" w:eastAsia="宋体" w:cs="Times New Roman"/>
          <w:b/>
          <w:bCs/>
          <w:lang w:val="en-US" w:eastAsia="zh-CN"/>
        </w:rPr>
        <w:t>i</w:t>
      </w:r>
      <w:r>
        <w:rPr>
          <w:rFonts w:hint="eastAsia" w:ascii="Times New Roman" w:hAnsi="Times New Roman" w:cs="Times New Roman"/>
          <w:b/>
          <w:bCs/>
          <w:lang w:val="en-GB"/>
        </w:rPr>
        <w:t>nhibitor-</w:t>
      </w:r>
      <w:r>
        <w:rPr>
          <w:rFonts w:hint="eastAsia" w:ascii="Times New Roman" w:hAnsi="Times New Roman" w:eastAsia="宋体" w:cs="Times New Roman"/>
          <w:b/>
          <w:bCs/>
          <w:lang w:val="en-US" w:eastAsia="zh-CN"/>
        </w:rPr>
        <w:t>r</w:t>
      </w:r>
      <w:r>
        <w:rPr>
          <w:rFonts w:hint="eastAsia" w:ascii="Times New Roman" w:hAnsi="Times New Roman" w:cs="Times New Roman"/>
          <w:b/>
          <w:bCs/>
          <w:lang w:val="en-GB"/>
        </w:rPr>
        <w:t xml:space="preserve">efractory </w:t>
      </w:r>
      <w:r>
        <w:rPr>
          <w:rFonts w:hint="eastAsia" w:ascii="Times New Roman" w:hAnsi="Times New Roman" w:eastAsia="宋体" w:cs="Times New Roman"/>
          <w:b/>
          <w:bCs/>
          <w:smallCaps w:val="0"/>
          <w:color w:val="auto"/>
          <w:sz w:val="24"/>
          <w:szCs w:val="52"/>
          <w:lang w:val="en-US" w:eastAsia="zh-CN"/>
        </w:rPr>
        <w:t>GERD</w:t>
      </w:r>
      <w:r>
        <w:rPr>
          <w:rFonts w:hint="eastAsia" w:ascii="Times New Roman" w:hAnsi="Times New Roman" w:eastAsia="宋体" w:cs="Times New Roman"/>
          <w:b/>
          <w:bCs/>
          <w:lang w:val="en-US" w:eastAsia="zh-CN"/>
        </w:rPr>
        <w:t xml:space="preserve">: </w:t>
      </w:r>
      <w:r>
        <w:rPr>
          <w:rFonts w:hint="eastAsia" w:ascii="Times New Roman" w:hAnsi="Times New Roman" w:eastAsia="宋体" w:cs="Times New Roman"/>
          <w:b w:val="0"/>
          <w:bCs w:val="0"/>
          <w:lang w:val="en-US" w:eastAsia="zh-CN"/>
        </w:rPr>
        <w:t>10%</w:t>
      </w:r>
      <w:r>
        <w:rPr>
          <w:rFonts w:hint="default" w:ascii="Times New Roman" w:hAnsi="Times New Roman" w:eastAsia="宋体" w:cs="Times New Roman"/>
          <w:b w:val="0"/>
          <w:bCs w:val="0"/>
          <w:lang w:val="en-US" w:eastAsia="zh-CN"/>
        </w:rPr>
        <w:t>–</w:t>
      </w:r>
      <w:r>
        <w:rPr>
          <w:rFonts w:hint="eastAsia" w:ascii="Times New Roman" w:hAnsi="Times New Roman" w:eastAsia="宋体" w:cs="Times New Roman"/>
          <w:b w:val="0"/>
          <w:bCs w:val="0"/>
          <w:lang w:val="en-US" w:eastAsia="zh-CN"/>
        </w:rPr>
        <w:t>54% of patients with GERD symptoms failed to respond adequately, either partially or completely, to a standard-dose PPI</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NE.Ref.{D65E0983-40D9-4FF0-B5DA-A6EC22A3B0F6}</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[15-18]</w:t>
      </w:r>
      <w:r>
        <w:rPr>
          <w:rFonts w:hint="default" w:ascii="Times New Roman" w:hAnsi="Times New Roman" w:cs="Times New Roman"/>
          <w:vertAlign w:val="baseline"/>
          <w:lang w:val="en-US" w:eastAsia="zh-CN"/>
        </w:rPr>
        <w:fldChar w:fldCharType="end"/>
      </w:r>
      <w:r>
        <w:rPr>
          <w:rFonts w:ascii="Times New Roman" w:hAnsi="Times New Roman" w:cs="Times New Roman"/>
          <w:b w:val="0"/>
          <w:bCs w:val="0"/>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lang w:val="en-GB"/>
        </w:rPr>
      </w:pPr>
      <w:r>
        <w:rPr>
          <w:rFonts w:hint="eastAsia" w:ascii="Times New Roman" w:hAnsi="Times New Roman" w:cs="Times New Roman"/>
          <w:b/>
          <w:bCs/>
          <w:lang w:val="en-GB"/>
        </w:rPr>
        <w:t>Nocturnal acid breakthrough</w:t>
      </w:r>
      <w:r>
        <w:rPr>
          <w:rFonts w:hint="eastAsia" w:ascii="Times New Roman" w:hAnsi="Times New Roman" w:eastAsia="宋体" w:cs="Times New Roman"/>
          <w:b/>
          <w:bCs/>
          <w:lang w:val="en-US" w:eastAsia="zh-CN"/>
        </w:rPr>
        <w:t xml:space="preserve"> (NAB): </w:t>
      </w:r>
      <w:r>
        <w:rPr>
          <w:rFonts w:hint="eastAsia" w:ascii="Times New Roman" w:hAnsi="Times New Roman" w:eastAsia="宋体" w:cs="Times New Roman"/>
          <w:b w:val="0"/>
          <w:bCs w:val="0"/>
          <w:lang w:val="en-US" w:eastAsia="zh-CN"/>
        </w:rPr>
        <w:t>NAB is defined as the presence of at least 60 continuous minutes of intragastric pH&lt;4 during the overnight period (22:00</w:t>
      </w:r>
      <w:r>
        <w:rPr>
          <w:rFonts w:hint="default" w:ascii="Times New Roman" w:hAnsi="Times New Roman" w:eastAsia="宋体" w:cs="Times New Roman"/>
          <w:b w:val="0"/>
          <w:bCs w:val="0"/>
          <w:lang w:val="en-US" w:eastAsia="zh-CN"/>
        </w:rPr>
        <w:t>–</w:t>
      </w:r>
      <w:r>
        <w:rPr>
          <w:rFonts w:hint="eastAsia" w:ascii="Times New Roman" w:hAnsi="Times New Roman" w:eastAsia="宋体" w:cs="Times New Roman"/>
          <w:b w:val="0"/>
          <w:bCs w:val="0"/>
          <w:lang w:val="en-US" w:eastAsia="zh-CN"/>
        </w:rPr>
        <w:t>06:00 h) in patients taking a PPI twice-daily before meals. NAB</w:t>
      </w:r>
      <w:r>
        <w:rPr>
          <w:rFonts w:hint="eastAsia" w:ascii="Times New Roman" w:hAnsi="Times New Roman" w:eastAsia="宋体" w:cs="Times New Roman"/>
          <w:b/>
          <w:bCs/>
          <w:lang w:val="en-US" w:eastAsia="zh-CN"/>
        </w:rPr>
        <w:t xml:space="preserve"> </w:t>
      </w:r>
      <w:r>
        <w:rPr>
          <w:rFonts w:hint="eastAsia" w:ascii="Times New Roman" w:hAnsi="Times New Roman" w:eastAsia="宋体" w:cs="Times New Roman"/>
          <w:b w:val="0"/>
          <w:bCs w:val="0"/>
          <w:lang w:val="en-US" w:eastAsia="zh-CN"/>
        </w:rPr>
        <w:t>symptoms are the most common presentation of refractory reflux symptoms. NAB was shown to occur in more than 70% of patients on the PPI therapy</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NE.Ref.{7339E550-10BE-44CB-A023-7570C95E66FD}</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[5]</w:t>
      </w:r>
      <w:r>
        <w:rPr>
          <w:rFonts w:hint="default" w:ascii="Times New Roman" w:hAnsi="Times New Roman" w:cs="Times New Roman"/>
          <w:vertAlign w:val="baseline"/>
          <w:lang w:val="en-US" w:eastAsia="zh-CN"/>
        </w:rPr>
        <w:fldChar w:fldCharType="end"/>
      </w:r>
      <w:r>
        <w:rPr>
          <w:rFonts w:ascii="Times New Roman" w:hAnsi="Times New Roman" w:cs="Times New Roman"/>
          <w:lang w:val="en-GB"/>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lang w:val="en-GB"/>
        </w:rPr>
      </w:pPr>
      <w:r>
        <w:rPr>
          <w:rFonts w:hint="eastAsia" w:ascii="Times New Roman" w:hAnsi="Times New Roman" w:eastAsia="宋体" w:cs="Times New Roman"/>
          <w:b/>
          <w:bCs/>
          <w:lang w:val="en-US" w:eastAsia="zh-CN"/>
        </w:rPr>
        <w:t>G</w:t>
      </w:r>
      <w:r>
        <w:rPr>
          <w:rFonts w:hint="eastAsia" w:ascii="Times New Roman" w:hAnsi="Times New Roman" w:cs="Times New Roman"/>
          <w:b/>
          <w:bCs/>
          <w:lang w:val="en-GB"/>
        </w:rPr>
        <w:t>enetic polymorphism</w:t>
      </w:r>
      <w:r>
        <w:rPr>
          <w:rFonts w:hint="eastAsia" w:ascii="Times New Roman" w:hAnsi="Times New Roman" w:eastAsia="宋体" w:cs="Times New Roman"/>
          <w:b/>
          <w:bCs/>
          <w:lang w:val="en-US" w:eastAsia="zh-CN"/>
        </w:rPr>
        <w:t xml:space="preserve">: </w:t>
      </w:r>
      <w:r>
        <w:rPr>
          <w:rFonts w:hint="eastAsia" w:ascii="Times New Roman" w:hAnsi="Times New Roman" w:eastAsia="宋体" w:cs="Times New Roman"/>
          <w:b w:val="0"/>
          <w:bCs w:val="0"/>
          <w:lang w:val="en-US" w:eastAsia="zh-CN"/>
        </w:rPr>
        <w:t xml:space="preserve">There is a significant inter-individual pharmacodynamic variability due to cytochrome P450 (CYP) 2C19 genetic polymorphism and the associated effects on pharmacokinetics. CYP2C19 rapid metabolizer genotype is a risk factor for PPI refractoriness in GERD patients with esophagitis. Efficacy rates of PPIs varied significantly between CYP2C19 genotypes (rapid metabolizers </w:t>
      </w:r>
      <w:bookmarkStart w:id="14" w:name="OLE_LINK11"/>
      <w:r>
        <w:rPr>
          <w:rFonts w:hint="eastAsia" w:ascii="Times New Roman" w:hAnsi="Times New Roman" w:eastAsia="宋体" w:cs="Times New Roman"/>
          <w:b w:val="0"/>
          <w:bCs w:val="0"/>
          <w:lang w:val="en-US" w:eastAsia="zh-CN"/>
        </w:rPr>
        <w:t>[RMs]</w:t>
      </w:r>
      <w:bookmarkEnd w:id="14"/>
      <w:r>
        <w:rPr>
          <w:rFonts w:hint="eastAsia" w:ascii="Times New Roman" w:hAnsi="Times New Roman" w:eastAsia="宋体" w:cs="Times New Roman"/>
          <w:b w:val="0"/>
          <w:bCs w:val="0"/>
          <w:lang w:val="en-US" w:eastAsia="zh-CN"/>
        </w:rPr>
        <w:t>, 52.2%; intermediate metabolizers [IMs], 56.7%;</w:t>
      </w:r>
      <w:bookmarkStart w:id="15" w:name="OLE_LINK9"/>
      <w:r>
        <w:rPr>
          <w:rFonts w:hint="eastAsia" w:ascii="Times New Roman" w:hAnsi="Times New Roman" w:eastAsia="宋体" w:cs="Times New Roman"/>
          <w:b w:val="0"/>
          <w:bCs w:val="0"/>
          <w:lang w:val="en-US" w:eastAsia="zh-CN"/>
        </w:rPr>
        <w:t xml:space="preserve"> poor metabolizers </w:t>
      </w:r>
      <w:bookmarkEnd w:id="15"/>
      <w:r>
        <w:rPr>
          <w:rFonts w:hint="eastAsia" w:ascii="Times New Roman" w:hAnsi="Times New Roman" w:eastAsia="宋体" w:cs="Times New Roman"/>
          <w:b w:val="0"/>
          <w:bCs w:val="0"/>
          <w:lang w:val="en-US" w:eastAsia="zh-CN"/>
        </w:rPr>
        <w:t xml:space="preserve">[PMs], 61.3%; </w:t>
      </w:r>
      <w:r>
        <w:rPr>
          <w:rFonts w:hint="eastAsia" w:ascii="Times New Roman" w:hAnsi="Times New Roman" w:eastAsia="宋体" w:cs="Times New Roman"/>
          <w:b w:val="0"/>
          <w:bCs w:val="0"/>
          <w:i/>
          <w:iCs/>
          <w:lang w:val="en-US" w:eastAsia="zh-CN"/>
        </w:rPr>
        <w:t>p</w:t>
      </w:r>
      <w:r>
        <w:rPr>
          <w:rFonts w:hint="eastAsia" w:ascii="Times New Roman" w:hAnsi="Times New Roman" w:eastAsia="宋体" w:cs="Times New Roman"/>
          <w:b w:val="0"/>
          <w:bCs w:val="0"/>
          <w:lang w:val="en-US" w:eastAsia="zh-CN"/>
        </w:rPr>
        <w:t xml:space="preserve"> = 0.047)</w:t>
      </w:r>
      <w:r>
        <w:rPr>
          <w:rFonts w:hint="default" w:ascii="Times New Roman" w:hAnsi="Times New Roman" w:eastAsia="宋体" w:cs="Times New Roman"/>
          <w:b w:val="0"/>
          <w:bCs w:val="0"/>
          <w:lang w:val="en-US" w:eastAsia="zh-CN"/>
        </w:rPr>
        <w:fldChar w:fldCharType="begin"/>
      </w:r>
      <w:r>
        <w:rPr>
          <w:rFonts w:hint="default" w:ascii="Times New Roman" w:hAnsi="Times New Roman" w:eastAsia="宋体" w:cs="Times New Roman"/>
          <w:b w:val="0"/>
          <w:bCs w:val="0"/>
          <w:lang w:val="en-US" w:eastAsia="zh-CN"/>
        </w:rPr>
        <w:instrText xml:space="preserve"> ADDIN NE.Ref.{26990AE6-0501-46A4-A457-186BCE19754C}</w:instrText>
      </w:r>
      <w:r>
        <w:rPr>
          <w:rFonts w:hint="default" w:ascii="Times New Roman" w:hAnsi="Times New Roman" w:eastAsia="宋体" w:cs="Times New Roman"/>
          <w:b w:val="0"/>
          <w:bCs w:val="0"/>
          <w:lang w:val="en-US" w:eastAsia="zh-CN"/>
        </w:rPr>
        <w:fldChar w:fldCharType="separate"/>
      </w:r>
      <w:r>
        <w:rPr>
          <w:rFonts w:hint="default" w:ascii="Times New Roman" w:hAnsi="Times New Roman" w:cs="Times New Roman"/>
          <w:vertAlign w:val="baseline"/>
          <w:lang w:val="en-GB"/>
        </w:rPr>
        <w:t>[19]</w:t>
      </w:r>
      <w:r>
        <w:rPr>
          <w:rFonts w:hint="default" w:ascii="Times New Roman" w:hAnsi="Times New Roman" w:eastAsia="宋体" w:cs="Times New Roman"/>
          <w:b w:val="0"/>
          <w:bCs w:val="0"/>
          <w:lang w:val="en-US" w:eastAsia="zh-CN"/>
        </w:rPr>
        <w:fldChar w:fldCharType="end"/>
      </w:r>
      <w:r>
        <w:rPr>
          <w:rFonts w:hint="eastAsia" w:ascii="Times New Roman" w:hAnsi="Times New Roman" w:eastAsia="宋体" w:cs="Times New Roman"/>
          <w:b w:val="0"/>
          <w:bCs w:val="0"/>
          <w:lang w:val="en-US" w:eastAsia="zh-CN"/>
        </w:rPr>
        <w:t>.</w:t>
      </w:r>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ascii="Times New Roman" w:hAnsi="Times New Roman" w:cs="Times New Roman"/>
          <w:b/>
          <w:bCs/>
          <w:sz w:val="24"/>
          <w:szCs w:val="24"/>
          <w:lang w:val="en-GB"/>
        </w:rPr>
      </w:pPr>
      <w:r>
        <w:rPr>
          <w:rFonts w:ascii="Times New Roman" w:hAnsi="Times New Roman" w:cs="Times New Roman"/>
          <w:b/>
          <w:bCs/>
          <w:sz w:val="24"/>
          <w:szCs w:val="24"/>
          <w:lang w:val="en-GB"/>
        </w:rPr>
        <w:t>Safety</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eastAsia="宋体" w:cs="Times New Roman"/>
          <w:lang w:val="en-GB" w:eastAsia="zh-CN"/>
        </w:rPr>
      </w:pPr>
      <w:r>
        <w:rPr>
          <w:rFonts w:hint="eastAsia" w:ascii="Times New Roman" w:hAnsi="Times New Roman" w:eastAsia="宋体" w:cs="Times New Roman"/>
          <w:lang w:val="en-GB" w:eastAsia="zh-CN"/>
        </w:rPr>
        <w:t>Emerging research suggests that long-term PPI treatment</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lang w:val="en-GB" w:eastAsia="zh-CN"/>
        </w:rPr>
        <w:t>might be associated with adverse events or complications, including kidney diseases, certain infections, osteoporosis, and gastric</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lang w:val="en-GB" w:eastAsia="zh-CN"/>
        </w:rPr>
        <w:t>cancer</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NE.Ref.{6AB1E3FE-B213-44B3-A830-27AB5BA1151A}</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[20]</w:t>
      </w:r>
      <w:r>
        <w:rPr>
          <w:rFonts w:hint="default" w:ascii="Times New Roman" w:hAnsi="Times New Roman" w:cs="Times New Roman"/>
          <w:vertAlign w:val="baseline"/>
          <w:lang w:val="en-GB" w:eastAsia="zh-CN"/>
        </w:rPr>
        <w:fldChar w:fldCharType="end"/>
      </w:r>
      <w:r>
        <w:rPr>
          <w:rFonts w:hint="eastAsia" w:ascii="Times New Roman" w:hAnsi="Times New Roman" w:eastAsia="宋体" w:cs="Times New Roman"/>
          <w:lang w:val="en-GB" w:eastAsia="zh-CN"/>
        </w:rPr>
        <w:t>.</w:t>
      </w:r>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ascii="Times New Roman" w:hAnsi="Times New Roman" w:cs="Times New Roman"/>
          <w:b/>
          <w:bCs/>
          <w:sz w:val="24"/>
          <w:szCs w:val="24"/>
          <w:lang w:val="en-GB"/>
        </w:rPr>
      </w:pPr>
      <w:r>
        <w:rPr>
          <w:rFonts w:hint="eastAsia" w:ascii="Times New Roman" w:hAnsi="Times New Roman" w:eastAsia="宋体" w:cs="Times New Roman"/>
          <w:b/>
          <w:bCs/>
          <w:sz w:val="24"/>
          <w:szCs w:val="24"/>
          <w:lang w:val="en-US" w:eastAsia="zh-CN"/>
        </w:rPr>
        <w:t>C</w:t>
      </w:r>
      <w:r>
        <w:rPr>
          <w:rFonts w:hint="eastAsia" w:ascii="Times New Roman" w:hAnsi="Times New Roman" w:cs="Times New Roman"/>
          <w:b/>
          <w:bCs/>
          <w:sz w:val="24"/>
          <w:szCs w:val="24"/>
          <w:lang w:val="en-GB"/>
        </w:rPr>
        <w:t>ompliance</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eastAsia="宋体" w:cs="Times New Roman"/>
          <w:lang w:val="en-GB" w:eastAsia="zh-CN"/>
        </w:rPr>
      </w:pPr>
      <w:bookmarkStart w:id="16" w:name="OLE_LINK2"/>
      <w:r>
        <w:rPr>
          <w:rFonts w:hint="eastAsia" w:ascii="Times New Roman" w:hAnsi="Times New Roman" w:eastAsia="宋体" w:cs="Times New Roman"/>
          <w:lang w:val="en-US" w:eastAsia="zh-CN"/>
        </w:rPr>
        <w:t>PPIs</w:t>
      </w:r>
      <w:bookmarkEnd w:id="16"/>
      <w:r>
        <w:rPr>
          <w:rFonts w:hint="eastAsia" w:ascii="Times New Roman" w:hAnsi="Times New Roman" w:eastAsia="宋体" w:cs="Times New Roman"/>
          <w:lang w:val="en-GB" w:eastAsia="zh-CN"/>
        </w:rPr>
        <w:t xml:space="preserve"> are susceptible to acid degradation, requiring the use of enteric coating, which in turn results in delayed absorption and a slower onset of action</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NE.Ref.{4BE549B7-2E0A-40AF-B6BA-E4CDD865A762}</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[5]</w:t>
      </w:r>
      <w:r>
        <w:rPr>
          <w:rFonts w:hint="default" w:ascii="Times New Roman" w:hAnsi="Times New Roman" w:cs="Times New Roman"/>
          <w:vertAlign w:val="baseline"/>
          <w:lang w:val="en-GB" w:eastAsia="zh-CN"/>
        </w:rPr>
        <w:fldChar w:fldCharType="end"/>
      </w:r>
      <w:r>
        <w:rPr>
          <w:rFonts w:hint="eastAsia" w:ascii="Times New Roman" w:hAnsi="Times New Roman" w:eastAsia="宋体" w:cs="Times New Roman"/>
          <w:lang w:val="en-GB"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eastAsia" w:ascii="Times New Roman" w:hAnsi="Times New Roman" w:eastAsia="宋体" w:cs="Times New Roman"/>
          <w:lang w:val="en-GB" w:eastAsia="zh-CN"/>
        </w:rPr>
      </w:pPr>
      <w:r>
        <w:rPr>
          <w:rFonts w:hint="eastAsia" w:ascii="Times New Roman" w:hAnsi="Times New Roman" w:eastAsia="宋体" w:cs="Times New Roman"/>
          <w:lang w:val="en-US" w:eastAsia="zh-CN"/>
        </w:rPr>
        <w:t>PPIs</w:t>
      </w:r>
      <w:r>
        <w:rPr>
          <w:rFonts w:hint="eastAsia" w:ascii="Times New Roman" w:hAnsi="Times New Roman" w:eastAsia="宋体" w:cs="Times New Roman"/>
          <w:lang w:val="en-GB" w:eastAsia="zh-CN"/>
        </w:rPr>
        <w:t xml:space="preserve"> take 3</w:t>
      </w:r>
      <w:r>
        <w:rPr>
          <w:rFonts w:hint="default" w:ascii="Times New Roman" w:hAnsi="Times New Roman" w:eastAsia="宋体" w:cs="Times New Roman"/>
          <w:lang w:val="en-GB" w:eastAsia="zh-CN"/>
        </w:rPr>
        <w:t>–</w:t>
      </w:r>
      <w:r>
        <w:rPr>
          <w:rFonts w:hint="eastAsia" w:ascii="Times New Roman" w:hAnsi="Times New Roman" w:eastAsia="宋体" w:cs="Times New Roman"/>
          <w:lang w:val="en-GB" w:eastAsia="zh-CN"/>
        </w:rPr>
        <w:t>5 days to achieve</w:t>
      </w:r>
      <w:r>
        <w:rPr>
          <w:rFonts w:hint="eastAsia" w:ascii="Times New Roman" w:hAnsi="Times New Roman" w:eastAsia="宋体" w:cs="Times New Roman"/>
          <w:lang w:val="en-US" w:eastAsia="zh-CN"/>
        </w:rPr>
        <w:t xml:space="preserve"> a</w:t>
      </w:r>
      <w:r>
        <w:rPr>
          <w:rFonts w:hint="eastAsia" w:ascii="Times New Roman" w:hAnsi="Times New Roman" w:eastAsia="宋体" w:cs="Times New Roman"/>
          <w:lang w:val="en-GB" w:eastAsia="zh-CN"/>
        </w:rPr>
        <w:t xml:space="preserve"> full, steady-state antisecretory effect</w:t>
      </w:r>
      <w:r>
        <w:rPr>
          <w:rFonts w:hint="default" w:ascii="Times New Roman" w:hAnsi="Times New Roman" w:cs="Times New Roman"/>
          <w:vertAlign w:val="baseline"/>
          <w:lang w:val="en-GB" w:eastAsia="zh-CN"/>
        </w:rPr>
        <w:fldChar w:fldCharType="begin"/>
      </w:r>
      <w:r>
        <w:rPr>
          <w:rFonts w:hint="default" w:ascii="Times New Roman" w:hAnsi="Times New Roman" w:cs="Times New Roman"/>
          <w:vertAlign w:val="baseline"/>
          <w:lang w:val="en-GB" w:eastAsia="zh-CN"/>
        </w:rPr>
        <w:instrText xml:space="preserve"> ADDIN NE.Ref.{7471CBC8-2220-43FB-9F3E-2197D4E90B01}</w:instrText>
      </w:r>
      <w:r>
        <w:rPr>
          <w:rFonts w:hint="default" w:ascii="Times New Roman" w:hAnsi="Times New Roman" w:cs="Times New Roman"/>
          <w:vertAlign w:val="baseline"/>
          <w:lang w:val="en-GB" w:eastAsia="zh-CN"/>
        </w:rPr>
        <w:fldChar w:fldCharType="separate"/>
      </w:r>
      <w:r>
        <w:rPr>
          <w:rFonts w:hint="default" w:ascii="Times New Roman" w:hAnsi="Times New Roman" w:cs="Times New Roman"/>
          <w:vertAlign w:val="baseline"/>
          <w:lang w:val="en-GB"/>
        </w:rPr>
        <w:t>[5]</w:t>
      </w:r>
      <w:r>
        <w:rPr>
          <w:rFonts w:hint="default" w:ascii="Times New Roman" w:hAnsi="Times New Roman" w:cs="Times New Roman"/>
          <w:vertAlign w:val="baseline"/>
          <w:lang w:val="en-GB" w:eastAsia="zh-CN"/>
        </w:rPr>
        <w:fldChar w:fldCharType="end"/>
      </w:r>
      <w:r>
        <w:rPr>
          <w:rFonts w:hint="eastAsia" w:ascii="Times New Roman" w:hAnsi="Times New Roman" w:eastAsia="宋体" w:cs="Times New Roman"/>
          <w:lang w:val="en-US"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ascii="Times New Roman" w:hAnsi="Times New Roman" w:cs="Times New Roman"/>
          <w:sz w:val="20"/>
          <w:szCs w:val="20"/>
          <w:lang w:val="en-GB"/>
        </w:rPr>
      </w:pPr>
      <w:r>
        <w:rPr>
          <w:rFonts w:hint="eastAsia" w:ascii="Times New Roman" w:hAnsi="Times New Roman" w:eastAsia="宋体" w:cs="Times New Roman"/>
          <w:lang w:val="en-GB" w:eastAsia="zh-CN"/>
        </w:rPr>
        <w:t>PPIs need to be taken half an hour to an hour before meals for better results</w:t>
      </w:r>
      <w:r>
        <w:rPr>
          <w:rFonts w:hint="default" w:ascii="Times New Roman" w:hAnsi="Times New Roman" w:eastAsia="宋体" w:cs="Times New Roman"/>
          <w:lang w:val="en-GB" w:eastAsia="zh-CN"/>
        </w:rPr>
        <w:fldChar w:fldCharType="begin"/>
      </w:r>
      <w:r>
        <w:rPr>
          <w:rFonts w:hint="default" w:ascii="Times New Roman" w:hAnsi="Times New Roman" w:eastAsia="宋体" w:cs="Times New Roman"/>
          <w:lang w:val="en-GB" w:eastAsia="zh-CN"/>
        </w:rPr>
        <w:instrText xml:space="preserve"> ADDIN NE.Ref.{AAD84258-EC87-4228-95DA-DA082C4FB9E5}</w:instrText>
      </w:r>
      <w:r>
        <w:rPr>
          <w:rFonts w:hint="default" w:ascii="Times New Roman" w:hAnsi="Times New Roman" w:eastAsia="宋体" w:cs="Times New Roman"/>
          <w:lang w:val="en-GB" w:eastAsia="zh-CN"/>
        </w:rPr>
        <w:fldChar w:fldCharType="separate"/>
      </w:r>
      <w:r>
        <w:rPr>
          <w:rFonts w:hint="default" w:ascii="Times New Roman" w:hAnsi="Times New Roman" w:cs="Times New Roman"/>
          <w:vertAlign w:val="baseline"/>
          <w:lang w:val="en-GB"/>
        </w:rPr>
        <w:t>[5]</w:t>
      </w:r>
      <w:r>
        <w:rPr>
          <w:rFonts w:hint="default" w:ascii="Times New Roman" w:hAnsi="Times New Roman" w:eastAsia="宋体" w:cs="Times New Roman"/>
          <w:lang w:val="en-GB" w:eastAsia="zh-CN"/>
        </w:rPr>
        <w:fldChar w:fldCharType="end"/>
      </w:r>
      <w:r>
        <w:rPr>
          <w:rFonts w:hint="eastAsia" w:ascii="Times New Roman" w:hAnsi="Times New Roman" w:eastAsia="宋体" w:cs="Times New Roman"/>
          <w:lang w:val="en-US" w:eastAsia="zh-CN"/>
        </w:rPr>
        <w:t>.</w:t>
      </w:r>
    </w:p>
    <w:bookmarkEnd w:id="0"/>
    <w:bookmarkEnd w:id="1"/>
    <w:bookmarkEnd w:id="2"/>
    <w:bookmarkEnd w:id="3"/>
    <w:bookmarkEnd w:id="4"/>
    <w:bookmarkEnd w:id="5"/>
    <w:bookmarkEnd w:id="6"/>
    <w:p>
      <w:pPr>
        <w:rPr>
          <w:rStyle w:val="67"/>
          <w:rFonts w:hint="eastAsia" w:ascii="Times New Roman" w:hAnsi="Times New Roman" w:eastAsia="宋体" w:cs="Times New Roman"/>
          <w:b/>
          <w:bCs/>
          <w:color w:val="auto"/>
          <w:sz w:val="32"/>
          <w:szCs w:val="32"/>
          <w:lang w:val="en-US" w:eastAsia="zh-CN"/>
        </w:rPr>
      </w:pPr>
      <w:bookmarkStart w:id="17" w:name="_Toc89077934"/>
      <w:bookmarkEnd w:id="17"/>
      <w:bookmarkStart w:id="18" w:name="_Toc68613918"/>
      <w:bookmarkEnd w:id="18"/>
      <w:bookmarkStart w:id="19" w:name="_Toc89077668"/>
      <w:bookmarkEnd w:id="19"/>
      <w:bookmarkStart w:id="20" w:name="_Toc71276351"/>
      <w:bookmarkEnd w:id="20"/>
      <w:bookmarkStart w:id="21" w:name="_Toc69114408"/>
      <w:bookmarkEnd w:id="21"/>
      <w:bookmarkStart w:id="22" w:name="_Toc69119163"/>
      <w:bookmarkEnd w:id="22"/>
      <w:bookmarkStart w:id="23" w:name="_Toc69918160"/>
      <w:bookmarkEnd w:id="23"/>
      <w:bookmarkStart w:id="24" w:name="_Toc71017187"/>
      <w:bookmarkEnd w:id="24"/>
      <w:bookmarkStart w:id="25" w:name="_Toc71287222"/>
      <w:bookmarkEnd w:id="25"/>
      <w:bookmarkStart w:id="26" w:name="_Toc68795017"/>
      <w:bookmarkEnd w:id="26"/>
      <w:bookmarkStart w:id="27" w:name="_Toc67660685"/>
      <w:bookmarkEnd w:id="27"/>
      <w:bookmarkStart w:id="28" w:name="_Toc68791678"/>
      <w:bookmarkEnd w:id="28"/>
      <w:bookmarkStart w:id="29" w:name="_Toc89077959"/>
      <w:bookmarkEnd w:id="29"/>
      <w:bookmarkStart w:id="30" w:name="_Toc73539158"/>
      <w:bookmarkEnd w:id="30"/>
      <w:bookmarkStart w:id="31" w:name="_Toc74639555"/>
      <w:bookmarkEnd w:id="31"/>
      <w:bookmarkStart w:id="32" w:name="_Toc68075377"/>
      <w:bookmarkEnd w:id="32"/>
      <w:bookmarkStart w:id="33" w:name="_Toc72253324"/>
      <w:bookmarkEnd w:id="33"/>
      <w:bookmarkStart w:id="34" w:name="_Toc89078111"/>
      <w:bookmarkEnd w:id="34"/>
      <w:bookmarkStart w:id="35" w:name="_Toc69722881"/>
      <w:bookmarkEnd w:id="35"/>
      <w:bookmarkStart w:id="36" w:name="_Toc69131996"/>
      <w:bookmarkEnd w:id="36"/>
      <w:bookmarkStart w:id="37" w:name="_Toc66708324"/>
      <w:bookmarkEnd w:id="37"/>
      <w:bookmarkStart w:id="38" w:name="_Toc69722940"/>
      <w:bookmarkEnd w:id="38"/>
      <w:bookmarkStart w:id="39" w:name="_Toc67901277"/>
      <w:bookmarkEnd w:id="39"/>
      <w:bookmarkStart w:id="40" w:name="_Toc89078403"/>
      <w:bookmarkEnd w:id="40"/>
      <w:bookmarkStart w:id="41" w:name="_Toc69132043"/>
      <w:bookmarkEnd w:id="41"/>
      <w:bookmarkStart w:id="42" w:name="_Toc69722922"/>
      <w:bookmarkEnd w:id="42"/>
      <w:bookmarkStart w:id="43" w:name="_Toc70619650"/>
      <w:bookmarkEnd w:id="43"/>
      <w:bookmarkStart w:id="44" w:name="_Toc70617563"/>
      <w:bookmarkEnd w:id="44"/>
      <w:bookmarkStart w:id="45" w:name="_Toc71198057"/>
      <w:bookmarkEnd w:id="45"/>
      <w:bookmarkStart w:id="46" w:name="_Toc70602414"/>
      <w:bookmarkEnd w:id="46"/>
      <w:bookmarkStart w:id="47" w:name="_Toc70602435"/>
      <w:bookmarkEnd w:id="47"/>
      <w:bookmarkStart w:id="48" w:name="_Toc67932803"/>
      <w:bookmarkEnd w:id="48"/>
      <w:bookmarkStart w:id="49" w:name="_Toc73602795"/>
      <w:bookmarkEnd w:id="49"/>
      <w:bookmarkStart w:id="50" w:name="_Toc89077699"/>
      <w:bookmarkEnd w:id="50"/>
      <w:bookmarkStart w:id="51" w:name="_Toc70603566"/>
      <w:bookmarkEnd w:id="51"/>
      <w:bookmarkStart w:id="52" w:name="_Toc68795073"/>
      <w:bookmarkEnd w:id="52"/>
      <w:bookmarkStart w:id="53" w:name="_Toc89078201"/>
      <w:bookmarkEnd w:id="53"/>
      <w:bookmarkStart w:id="54" w:name="_Toc66708325"/>
      <w:bookmarkEnd w:id="54"/>
      <w:bookmarkStart w:id="55" w:name="_Toc89076814"/>
      <w:bookmarkEnd w:id="55"/>
      <w:bookmarkStart w:id="56" w:name="_Toc71287281"/>
      <w:bookmarkEnd w:id="56"/>
      <w:bookmarkStart w:id="57" w:name="_Toc89351162"/>
      <w:bookmarkEnd w:id="57"/>
      <w:bookmarkStart w:id="58" w:name="_Toc68787770"/>
      <w:bookmarkEnd w:id="58"/>
      <w:bookmarkStart w:id="59" w:name="_Toc68781196"/>
      <w:bookmarkEnd w:id="59"/>
      <w:bookmarkStart w:id="60" w:name="_Toc68075586"/>
      <w:bookmarkEnd w:id="60"/>
      <w:bookmarkStart w:id="61" w:name="_Toc69133754"/>
      <w:bookmarkEnd w:id="61"/>
      <w:bookmarkStart w:id="62" w:name="_Toc71277299"/>
      <w:bookmarkEnd w:id="62"/>
      <w:bookmarkStart w:id="63" w:name="_Toc70619573"/>
      <w:bookmarkEnd w:id="63"/>
      <w:bookmarkStart w:id="64" w:name="_Toc74645717"/>
      <w:bookmarkEnd w:id="64"/>
      <w:bookmarkStart w:id="65" w:name="_Toc69124703"/>
      <w:bookmarkEnd w:id="65"/>
      <w:bookmarkStart w:id="66" w:name="_Toc69722904"/>
      <w:bookmarkEnd w:id="66"/>
      <w:bookmarkStart w:id="67" w:name="_Toc71021286"/>
      <w:bookmarkEnd w:id="67"/>
      <w:bookmarkStart w:id="68" w:name="_Toc67929349"/>
      <w:bookmarkEnd w:id="68"/>
      <w:bookmarkStart w:id="69" w:name="_Toc70616600"/>
      <w:bookmarkEnd w:id="69"/>
      <w:bookmarkStart w:id="70" w:name="_Toc89077560"/>
      <w:bookmarkEnd w:id="70"/>
      <w:bookmarkStart w:id="71" w:name="_Toc73005633"/>
      <w:bookmarkEnd w:id="71"/>
      <w:bookmarkStart w:id="72" w:name="_Toc89078056"/>
      <w:bookmarkEnd w:id="72"/>
      <w:bookmarkStart w:id="73" w:name="_Toc70603449"/>
      <w:bookmarkEnd w:id="73"/>
      <w:bookmarkStart w:id="74" w:name="_Toc89077994"/>
      <w:bookmarkEnd w:id="74"/>
      <w:bookmarkStart w:id="75" w:name="_Toc66979308"/>
      <w:bookmarkEnd w:id="75"/>
      <w:bookmarkStart w:id="76" w:name="_Toc74314108"/>
      <w:bookmarkEnd w:id="76"/>
      <w:bookmarkStart w:id="77" w:name="_Toc68012273"/>
      <w:bookmarkEnd w:id="77"/>
      <w:bookmarkStart w:id="78" w:name="_Toc70602495"/>
      <w:bookmarkEnd w:id="78"/>
      <w:bookmarkStart w:id="79" w:name="_Toc69904451"/>
      <w:bookmarkEnd w:id="79"/>
      <w:bookmarkStart w:id="80" w:name="_Toc73541265"/>
      <w:bookmarkEnd w:id="80"/>
      <w:bookmarkStart w:id="81" w:name="_Toc69131887"/>
      <w:bookmarkEnd w:id="81"/>
      <w:bookmarkStart w:id="82" w:name="_Toc70603505"/>
      <w:bookmarkEnd w:id="82"/>
      <w:bookmarkStart w:id="83" w:name="_Toc69920748"/>
      <w:bookmarkEnd w:id="83"/>
      <w:bookmarkStart w:id="84" w:name="_Toc70602685"/>
      <w:bookmarkEnd w:id="84"/>
      <w:bookmarkStart w:id="85" w:name="_Toc71277349"/>
      <w:bookmarkEnd w:id="85"/>
      <w:bookmarkStart w:id="86" w:name="_Toc66976346"/>
      <w:bookmarkEnd w:id="86"/>
      <w:bookmarkStart w:id="87" w:name="_Toc67659783"/>
      <w:bookmarkEnd w:id="87"/>
      <w:bookmarkStart w:id="88" w:name="_Toc70602393"/>
      <w:bookmarkEnd w:id="88"/>
      <w:bookmarkStart w:id="89" w:name="_Toc69722968"/>
      <w:bookmarkEnd w:id="89"/>
      <w:bookmarkStart w:id="90" w:name="_Toc69722648"/>
      <w:bookmarkEnd w:id="90"/>
      <w:bookmarkStart w:id="91" w:name="_Toc68707607"/>
      <w:bookmarkEnd w:id="91"/>
      <w:bookmarkStart w:id="92" w:name="_Toc68787834"/>
      <w:bookmarkEnd w:id="92"/>
      <w:bookmarkStart w:id="93" w:name="_Toc70602462"/>
      <w:bookmarkEnd w:id="93"/>
      <w:bookmarkStart w:id="94" w:name="_Toc70602842"/>
      <w:bookmarkEnd w:id="94"/>
      <w:bookmarkStart w:id="95" w:name="_Toc70602717"/>
      <w:bookmarkEnd w:id="95"/>
      <w:bookmarkStart w:id="96" w:name="_Toc70684850"/>
      <w:bookmarkEnd w:id="96"/>
      <w:bookmarkStart w:id="97" w:name="_Toc15381"/>
      <w:r>
        <w:rPr>
          <w:rStyle w:val="67"/>
          <w:rFonts w:ascii="Times New Roman" w:hAnsi="Times New Roman" w:eastAsia="宋体" w:cs="Times New Roman"/>
          <w:b/>
          <w:bCs/>
          <w:color w:val="auto"/>
          <w:sz w:val="32"/>
          <w:szCs w:val="32"/>
          <w:lang w:val="en-GB"/>
        </w:rPr>
        <w:t xml:space="preserve">2. </w:t>
      </w:r>
      <w:r>
        <w:rPr>
          <w:rStyle w:val="67"/>
          <w:rFonts w:hint="eastAsia" w:ascii="Times New Roman" w:hAnsi="Times New Roman" w:eastAsia="宋体" w:cs="Times New Roman"/>
          <w:b/>
          <w:bCs/>
          <w:color w:val="auto"/>
          <w:sz w:val="32"/>
          <w:szCs w:val="32"/>
          <w:lang w:val="en-GB"/>
        </w:rPr>
        <w:t>Comparative outcomes of intervention</w:t>
      </w:r>
      <w:r>
        <w:rPr>
          <w:rStyle w:val="67"/>
          <w:rFonts w:hint="eastAsia" w:ascii="Times New Roman" w:hAnsi="Times New Roman" w:eastAsia="宋体" w:cs="Times New Roman"/>
          <w:b/>
          <w:bCs/>
          <w:color w:val="auto"/>
          <w:sz w:val="32"/>
          <w:szCs w:val="32"/>
          <w:lang w:val="en-US" w:eastAsia="zh-CN"/>
        </w:rPr>
        <w:t xml:space="preserve"> (Relative Criterion)</w:t>
      </w:r>
      <w:bookmarkEnd w:id="97"/>
    </w:p>
    <w:p>
      <w:pPr>
        <w:pStyle w:val="4"/>
        <w:keepNext w:val="0"/>
        <w:keepLines w:val="0"/>
        <w:pageBreakBefore w:val="0"/>
        <w:widowControl/>
        <w:numPr>
          <w:ilvl w:val="0"/>
          <w:numId w:val="0"/>
        </w:numPr>
        <w:kinsoku/>
        <w:wordWrap/>
        <w:overflowPunct/>
        <w:topLinePunct w:val="0"/>
        <w:autoSpaceDE/>
        <w:autoSpaceDN/>
        <w:bidi w:val="0"/>
        <w:adjustRightInd/>
        <w:snapToGrid/>
        <w:spacing w:before="0" w:line="360" w:lineRule="auto"/>
        <w:textAlignment w:val="auto"/>
        <w:rPr>
          <w:rFonts w:ascii="Times New Roman" w:hAnsi="Times New Roman" w:cs="Times New Roman"/>
          <w:b/>
          <w:bCs/>
          <w:smallCaps w:val="0"/>
          <w:color w:val="auto"/>
          <w:sz w:val="24"/>
          <w:szCs w:val="24"/>
          <w:lang w:val="en-GB"/>
        </w:rPr>
      </w:pPr>
      <w:bookmarkStart w:id="98" w:name="_Toc30724"/>
      <w:r>
        <w:rPr>
          <w:rFonts w:hint="eastAsia" w:ascii="Times New Roman" w:hAnsi="Times New Roman" w:eastAsia="宋体" w:cs="Times New Roman"/>
          <w:b/>
          <w:bCs/>
          <w:smallCaps w:val="0"/>
          <w:color w:val="auto"/>
          <w:sz w:val="28"/>
          <w:szCs w:val="56"/>
          <w:lang w:val="en-US" w:eastAsia="zh-CN"/>
        </w:rPr>
        <w:t xml:space="preserve">2.1 </w:t>
      </w:r>
      <w:r>
        <w:rPr>
          <w:rFonts w:hint="eastAsia" w:ascii="Times New Roman" w:hAnsi="Times New Roman" w:cs="Times New Roman"/>
          <w:b/>
          <w:bCs/>
          <w:smallCaps w:val="0"/>
          <w:color w:val="auto"/>
          <w:sz w:val="28"/>
          <w:szCs w:val="56"/>
          <w:lang w:val="en-GB"/>
        </w:rPr>
        <w:t>Comparative effectiveness</w:t>
      </w:r>
      <w:bookmarkEnd w:id="98"/>
    </w:p>
    <w:p>
      <w:pPr>
        <w:keepNext w:val="0"/>
        <w:keepLines w:val="0"/>
        <w:pageBreakBefore w:val="0"/>
        <w:widowControl/>
        <w:kinsoku/>
        <w:wordWrap/>
        <w:overflowPunct/>
        <w:topLinePunct w:val="0"/>
        <w:autoSpaceDE/>
        <w:autoSpaceDN/>
        <w:bidi w:val="0"/>
        <w:adjustRightInd/>
        <w:snapToGrid/>
        <w:spacing w:before="0" w:after="0" w:line="360" w:lineRule="auto"/>
        <w:ind w:left="440" w:leftChars="200"/>
        <w:textAlignment w:val="auto"/>
        <w:rPr>
          <w:rFonts w:hint="eastAsia" w:ascii="Times New Roman" w:hAnsi="Times New Roman" w:cs="Times New Roman"/>
          <w:b/>
          <w:bCs/>
          <w:sz w:val="24"/>
          <w:szCs w:val="24"/>
          <w:lang w:val="en-GB"/>
        </w:rPr>
      </w:pPr>
      <w:r>
        <w:rPr>
          <w:rFonts w:hint="eastAsia" w:ascii="Times New Roman" w:hAnsi="Times New Roman" w:cs="Times New Roman"/>
          <w:b/>
          <w:bCs/>
          <w:sz w:val="24"/>
          <w:szCs w:val="24"/>
          <w:lang w:val="en-US" w:eastAsia="zh-CN"/>
        </w:rPr>
        <w:t>R</w:t>
      </w:r>
      <w:r>
        <w:rPr>
          <w:rFonts w:hint="eastAsia" w:ascii="Times New Roman" w:hAnsi="Times New Roman" w:cs="Times New Roman"/>
          <w:b/>
          <w:bCs/>
          <w:sz w:val="24"/>
          <w:szCs w:val="24"/>
          <w:lang w:val="en-GB"/>
        </w:rPr>
        <w:t>eflux esophagitis healing rate</w:t>
      </w:r>
    </w:p>
    <w:p>
      <w:pPr>
        <w:pStyle w:val="5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contextualSpacing w:val="0"/>
        <w:textAlignment w:val="auto"/>
        <w:rPr>
          <w:rFonts w:hint="eastAsia" w:ascii="Times New Roman" w:hAnsi="Times New Roman" w:eastAsia="宋体" w:cs="Times New Roman"/>
          <w:sz w:val="20"/>
          <w:szCs w:val="20"/>
          <w:lang w:val="en-US" w:eastAsia="zh-CN"/>
        </w:rPr>
      </w:pPr>
    </w:p>
    <w:p>
      <w:pPr>
        <w:pStyle w:val="5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contextualSpacing w:val="0"/>
        <w:textAlignment w:val="auto"/>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Table 1 Reflux esophagitis healing rate of vonoprazan and tegoprazan</w:t>
      </w:r>
    </w:p>
    <w:tbl>
      <w:tblPr>
        <w:tblStyle w:val="40"/>
        <w:tblW w:w="491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1"/>
        <w:gridCol w:w="1351"/>
        <w:gridCol w:w="1076"/>
        <w:gridCol w:w="1853"/>
        <w:gridCol w:w="2855"/>
        <w:gridCol w:w="1512"/>
        <w:gridCol w:w="3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488"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Author(s), year</w:t>
            </w:r>
          </w:p>
        </w:tc>
        <w:tc>
          <w:tcPr>
            <w:tcW w:w="511"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101214"/>
                <w:kern w:val="0"/>
                <w:sz w:val="20"/>
                <w:szCs w:val="20"/>
                <w:u w:val="none"/>
                <w:lang w:val="en-US" w:eastAsia="zh-CN" w:bidi="ar"/>
              </w:rPr>
              <w:t>C</w:t>
            </w:r>
            <w:r>
              <w:rPr>
                <w:rFonts w:hint="default" w:ascii="Times New Roman" w:hAnsi="Times New Roman" w:eastAsia="宋体" w:cs="Times New Roman"/>
                <w:i w:val="0"/>
                <w:iCs w:val="0"/>
                <w:color w:val="101214"/>
                <w:kern w:val="0"/>
                <w:sz w:val="20"/>
                <w:szCs w:val="20"/>
                <w:u w:val="none"/>
                <w:lang w:val="en-US" w:eastAsia="zh-CN" w:bidi="ar"/>
              </w:rPr>
              <w:t>ountry</w:t>
            </w:r>
          </w:p>
        </w:tc>
        <w:tc>
          <w:tcPr>
            <w:tcW w:w="407"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Study design</w:t>
            </w:r>
          </w:p>
        </w:tc>
        <w:tc>
          <w:tcPr>
            <w:tcW w:w="70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Subjects</w:t>
            </w:r>
          </w:p>
        </w:tc>
        <w:tc>
          <w:tcPr>
            <w:tcW w:w="1080"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Treatment (sample size)</w:t>
            </w:r>
          </w:p>
        </w:tc>
        <w:tc>
          <w:tcPr>
            <w:tcW w:w="572"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231F20"/>
                <w:sz w:val="20"/>
                <w:szCs w:val="20"/>
                <w:u w:val="none"/>
              </w:rPr>
            </w:pPr>
            <w:r>
              <w:rPr>
                <w:rFonts w:hint="default" w:ascii="Times New Roman" w:hAnsi="Times New Roman" w:eastAsia="宋体" w:cs="Times New Roman"/>
                <w:i w:val="0"/>
                <w:iCs w:val="0"/>
                <w:color w:val="231F20"/>
                <w:kern w:val="0"/>
                <w:sz w:val="20"/>
                <w:szCs w:val="20"/>
                <w:u w:val="none"/>
                <w:lang w:val="en-US" w:eastAsia="zh-CN" w:bidi="ar"/>
              </w:rPr>
              <w:t>Treatment duration</w:t>
            </w:r>
          </w:p>
        </w:tc>
        <w:tc>
          <w:tcPr>
            <w:tcW w:w="1239"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color w:val="000000"/>
                <w:kern w:val="0"/>
                <w:sz w:val="20"/>
                <w:szCs w:val="20"/>
                <w:u w:val="none"/>
                <w:lang w:val="en-US" w:eastAsia="zh-CN" w:bidi="ar"/>
              </w:rPr>
              <w:t>H</w:t>
            </w:r>
            <w:r>
              <w:rPr>
                <w:rFonts w:hint="default" w:ascii="Times New Roman" w:hAnsi="Times New Roman" w:eastAsia="宋体" w:cs="Times New Roman"/>
                <w:i w:val="0"/>
                <w:iCs w:val="0"/>
                <w:color w:val="000000"/>
                <w:kern w:val="0"/>
                <w:sz w:val="20"/>
                <w:szCs w:val="20"/>
                <w:u w:val="none"/>
                <w:lang w:val="en-US" w:eastAsia="zh-CN" w:bidi="ar"/>
              </w:rPr>
              <w:t>ealing rates</w:t>
            </w:r>
            <w:r>
              <w:rPr>
                <w:rFonts w:hint="eastAsia" w:ascii="Times New Roman" w:hAnsi="Times New Roman" w:eastAsia="宋体" w:cs="Times New Roman"/>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jc w:val="center"/>
        </w:trPr>
        <w:tc>
          <w:tcPr>
            <w:tcW w:w="488"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bookmarkStart w:id="99" w:name="OLE_LINK3" w:colFirst="2" w:colLast="2"/>
            <w:r>
              <w:rPr>
                <w:rFonts w:hint="default" w:ascii="Times New Roman" w:hAnsi="Times New Roman" w:eastAsia="宋体" w:cs="Times New Roman"/>
                <w:i w:val="0"/>
                <w:iCs w:val="0"/>
                <w:color w:val="000000"/>
                <w:kern w:val="0"/>
                <w:sz w:val="20"/>
                <w:szCs w:val="20"/>
                <w:u w:val="none"/>
                <w:lang w:val="en-US" w:eastAsia="zh-CN" w:bidi="ar"/>
              </w:rPr>
              <w:t>Ashida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2015</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NE.Ref.{93B44742-16B6-43CA-8B3A-C22EBE58D0F0}</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[21]</w:t>
            </w:r>
            <w:r>
              <w:rPr>
                <w:rFonts w:hint="default" w:ascii="Times New Roman" w:hAnsi="Times New Roman" w:cs="Times New Roman" w:eastAsiaTheme="minorHAnsi"/>
                <w:sz w:val="22"/>
                <w:szCs w:val="22"/>
                <w:vertAlign w:val="baseline"/>
                <w:lang w:val="en-US" w:eastAsia="zh-CN" w:bidi="ar-SA"/>
              </w:rPr>
              <w:fldChar w:fldCharType="end"/>
            </w:r>
          </w:p>
        </w:tc>
        <w:tc>
          <w:tcPr>
            <w:tcW w:w="51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Japan</w:t>
            </w:r>
          </w:p>
        </w:tc>
        <w:tc>
          <w:tcPr>
            <w:tcW w:w="407"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70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EE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1080"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LPZ 30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QD(140)</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 5</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QD(148)</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 10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QD(145)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 20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QD(154)</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 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QD(146)</w:t>
            </w:r>
          </w:p>
        </w:tc>
        <w:tc>
          <w:tcPr>
            <w:tcW w:w="572"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 weeks</w:t>
            </w:r>
          </w:p>
        </w:tc>
        <w:tc>
          <w:tcPr>
            <w:tcW w:w="1239"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 xml:space="preserve">eek 2: VPZ 5, 10, 20, 40 mg/86.0%, 93.2%, 93.8%, 94.8%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LPZ 88.6% </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 xml:space="preserve">eek 4: VPZ 5, 10, 20, 40 mg/92.3%, 92.5%, 94.4%, 97.0%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LPZ 93.2%</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 xml:space="preserve">eek 8: VPZ 5, 10, 20, 40 mg/96.5%, 95.5%, 96.5%, 97.0%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LPZ 95.5%</w:t>
            </w:r>
          </w:p>
        </w:tc>
      </w:tr>
      <w:bookmarkEnd w:id="9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488"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Ashida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2015</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NE.Ref.{0E5B9202-EFFE-47C6-856F-D6C593EBF401}</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[22]</w:t>
            </w:r>
            <w:r>
              <w:rPr>
                <w:rFonts w:hint="default" w:ascii="Times New Roman" w:hAnsi="Times New Roman" w:cs="Times New Roman" w:eastAsiaTheme="minorHAnsi"/>
                <w:sz w:val="22"/>
                <w:szCs w:val="22"/>
                <w:vertAlign w:val="baseline"/>
                <w:lang w:val="en-US" w:eastAsia="zh-CN" w:bidi="ar-SA"/>
              </w:rPr>
              <w:fldChar w:fldCharType="end"/>
            </w:r>
          </w:p>
        </w:tc>
        <w:tc>
          <w:tcPr>
            <w:tcW w:w="51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Japan</w:t>
            </w:r>
          </w:p>
        </w:tc>
        <w:tc>
          <w:tcPr>
            <w:tcW w:w="407"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70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EE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1080"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 20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QD(207)</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LPZ 30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QD(198)</w:t>
            </w:r>
          </w:p>
        </w:tc>
        <w:tc>
          <w:tcPr>
            <w:tcW w:w="572"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 weeks</w:t>
            </w:r>
          </w:p>
        </w:tc>
        <w:tc>
          <w:tcPr>
            <w:tcW w:w="1239"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eek 2: VPZ 90.7%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 81.9%</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eek 4: VPZ 96.6%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 92.5%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eek 8: VPZ 99.0%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 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88"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Xiao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2019</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NE.Ref.{6DE5F2BA-192D-4A90-A24D-9934635CA274}</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[23]</w:t>
            </w:r>
            <w:r>
              <w:rPr>
                <w:rFonts w:hint="default" w:ascii="Times New Roman" w:hAnsi="Times New Roman" w:cs="Times New Roman" w:eastAsiaTheme="minorHAnsi"/>
                <w:sz w:val="22"/>
                <w:szCs w:val="22"/>
                <w:vertAlign w:val="baseline"/>
                <w:lang w:val="en-US" w:eastAsia="zh-CN" w:bidi="ar-SA"/>
              </w:rPr>
              <w:fldChar w:fldCharType="end"/>
            </w:r>
          </w:p>
        </w:tc>
        <w:tc>
          <w:tcPr>
            <w:tcW w:w="51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China, South Korea, Malaysia</w:t>
            </w:r>
          </w:p>
        </w:tc>
        <w:tc>
          <w:tcPr>
            <w:tcW w:w="407"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70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EE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1080"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VPZ </w:t>
            </w:r>
            <w:r>
              <w:rPr>
                <w:rFonts w:hint="eastAsia" w:ascii="Times New Roman" w:hAnsi="Times New Roman" w:eastAsia="宋体" w:cs="Times New Roman"/>
                <w:i w:val="0"/>
                <w:iCs w:val="0"/>
                <w:color w:val="000000"/>
                <w:kern w:val="0"/>
                <w:sz w:val="20"/>
                <w:szCs w:val="20"/>
                <w:u w:val="none"/>
                <w:lang w:val="en-US" w:eastAsia="zh-CN" w:bidi="ar"/>
              </w:rPr>
              <w:t>2</w:t>
            </w:r>
            <w:r>
              <w:rPr>
                <w:rFonts w:hint="default" w:ascii="Times New Roman" w:hAnsi="Times New Roman" w:eastAsia="宋体" w:cs="Times New Roman"/>
                <w:i w:val="0"/>
                <w:iCs w:val="0"/>
                <w:color w:val="000000"/>
                <w:kern w:val="0"/>
                <w:sz w:val="20"/>
                <w:szCs w:val="20"/>
                <w:u w:val="none"/>
                <w:lang w:val="en-US" w:eastAsia="zh-CN" w:bidi="ar"/>
              </w:rPr>
              <w:t>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QD(230)</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LPZ </w:t>
            </w:r>
            <w:r>
              <w:rPr>
                <w:rFonts w:hint="eastAsia" w:ascii="Times New Roman" w:hAnsi="Times New Roman" w:eastAsia="宋体" w:cs="Times New Roman"/>
                <w:i w:val="0"/>
                <w:iCs w:val="0"/>
                <w:color w:val="000000"/>
                <w:kern w:val="0"/>
                <w:sz w:val="20"/>
                <w:szCs w:val="20"/>
                <w:u w:val="none"/>
                <w:lang w:val="en-US" w:eastAsia="zh-CN" w:bidi="ar"/>
              </w:rPr>
              <w:t>3</w:t>
            </w:r>
            <w:r>
              <w:rPr>
                <w:rFonts w:hint="default" w:ascii="Times New Roman" w:hAnsi="Times New Roman" w:eastAsia="宋体" w:cs="Times New Roman"/>
                <w:i w:val="0"/>
                <w:iCs w:val="0"/>
                <w:color w:val="000000"/>
                <w:kern w:val="0"/>
                <w:sz w:val="20"/>
                <w:szCs w:val="20"/>
                <w:u w:val="none"/>
                <w:lang w:val="en-US" w:eastAsia="zh-CN" w:bidi="ar"/>
              </w:rPr>
              <w:t>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QD(224)</w:t>
            </w:r>
          </w:p>
        </w:tc>
        <w:tc>
          <w:tcPr>
            <w:tcW w:w="572"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 weeks</w:t>
            </w:r>
          </w:p>
        </w:tc>
        <w:tc>
          <w:tcPr>
            <w:tcW w:w="1239"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eek 2: VPZ 75.0%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 67.8%</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eek 4: VPZ 85.3%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 83.5%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eek 8: VPZ 92.4%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 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488"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Lee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2019</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NE.Ref.{8783C12D-0EB5-4106-9BA7-2BF48DF421B5}</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[24]</w:t>
            </w:r>
            <w:r>
              <w:rPr>
                <w:rFonts w:hint="default" w:ascii="Times New Roman" w:hAnsi="Times New Roman" w:cs="Times New Roman" w:eastAsiaTheme="minorHAnsi"/>
                <w:sz w:val="22"/>
                <w:szCs w:val="22"/>
                <w:vertAlign w:val="baseline"/>
                <w:lang w:val="en-US" w:eastAsia="zh-CN" w:bidi="ar-SA"/>
              </w:rPr>
              <w:fldChar w:fldCharType="end"/>
            </w:r>
          </w:p>
        </w:tc>
        <w:tc>
          <w:tcPr>
            <w:tcW w:w="51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South Korea</w:t>
            </w:r>
          </w:p>
        </w:tc>
        <w:tc>
          <w:tcPr>
            <w:tcW w:w="407"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701"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EE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1080"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TPZ 50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QD(92)</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TPZ 100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QD(91)</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EPZ 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QD(22)</w:t>
            </w:r>
          </w:p>
        </w:tc>
        <w:tc>
          <w:tcPr>
            <w:tcW w:w="572" w:type="pct"/>
            <w:tcBorders>
              <w:top w:val="single" w:color="auto" w:sz="4" w:space="0"/>
              <w:bottom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 weeks</w:t>
            </w:r>
          </w:p>
        </w:tc>
        <w:tc>
          <w:tcPr>
            <w:tcW w:w="1239"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 xml:space="preserve">eek 4: TPZ 50, 100 mg/91.3%, 93.4%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EPZ 94.3%</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W</w:t>
            </w:r>
            <w:r>
              <w:rPr>
                <w:rFonts w:hint="default" w:ascii="Times New Roman" w:hAnsi="Times New Roman" w:eastAsia="宋体" w:cs="Times New Roman"/>
                <w:i w:val="0"/>
                <w:iCs w:val="0"/>
                <w:color w:val="000000"/>
                <w:kern w:val="0"/>
                <w:sz w:val="20"/>
                <w:szCs w:val="20"/>
                <w:u w:val="none"/>
                <w:lang w:val="en-US" w:eastAsia="zh-CN" w:bidi="ar"/>
              </w:rPr>
              <w:t xml:space="preserve">eek 8: TPZ 50, 100 mg/98.9%, 98.9%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EPZ 98.9%</w:t>
            </w:r>
          </w:p>
        </w:tc>
      </w:tr>
    </w:tbl>
    <w:p>
      <w:pPr>
        <w:pStyle w:val="56"/>
        <w:numPr>
          <w:ilvl w:val="0"/>
          <w:numId w:val="0"/>
        </w:numPr>
        <w:spacing w:before="0" w:after="0" w:line="360" w:lineRule="auto"/>
        <w:contextualSpacing w:val="0"/>
        <w:rPr>
          <w:rFonts w:hint="default" w:ascii="Times New Roman" w:hAnsi="Times New Roman" w:eastAsia="宋体" w:cs="Times New Roman"/>
          <w:i w:val="0"/>
          <w:iCs w:val="0"/>
          <w:color w:val="000000"/>
          <w:kern w:val="0"/>
          <w:sz w:val="20"/>
          <w:szCs w:val="20"/>
          <w:u w:val="none"/>
          <w:lang w:val="en-US" w:eastAsia="zh-CN" w:bidi="ar"/>
        </w:rPr>
      </w:pPr>
      <w:bookmarkStart w:id="100" w:name="OLE_LINK5"/>
      <w:bookmarkStart w:id="101" w:name="OLE_LINK6"/>
      <w:r>
        <w:rPr>
          <w:rFonts w:ascii="Times New Roman" w:hAnsi="Times New Roman" w:cs="Times New Roman"/>
          <w:sz w:val="20"/>
          <w:szCs w:val="20"/>
          <w:lang w:val="en-GB"/>
        </w:rPr>
        <w:t>Notes:</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i w:val="0"/>
          <w:iCs w:val="0"/>
          <w:color w:val="000000"/>
          <w:kern w:val="0"/>
          <w:sz w:val="20"/>
          <w:szCs w:val="20"/>
          <w:u w:val="none"/>
          <w:lang w:val="en-US" w:eastAsia="zh-CN" w:bidi="ar"/>
        </w:rPr>
        <w:t>EE</w:t>
      </w:r>
      <w:r>
        <w:rPr>
          <w:rFonts w:hint="eastAsia" w:ascii="Times New Roman" w:hAnsi="Times New Roman" w:eastAsia="宋体" w:cs="Times New Roman"/>
          <w:i w:val="0"/>
          <w:iCs w:val="0"/>
          <w:color w:val="000000"/>
          <w:kern w:val="0"/>
          <w:sz w:val="20"/>
          <w:szCs w:val="20"/>
          <w:u w:val="none"/>
          <w:lang w:val="en-US" w:eastAsia="zh-CN" w:bidi="ar"/>
        </w:rPr>
        <w:t xml:space="preserve">, erosive oesophagitis; </w:t>
      </w:r>
      <w:r>
        <w:rPr>
          <w:rFonts w:hint="default" w:ascii="Times New Roman" w:hAnsi="Times New Roman" w:eastAsia="宋体" w:cs="Times New Roman"/>
          <w:i w:val="0"/>
          <w:iCs w:val="0"/>
          <w:color w:val="000000"/>
          <w:kern w:val="0"/>
          <w:sz w:val="20"/>
          <w:szCs w:val="20"/>
          <w:u w:val="none"/>
          <w:lang w:val="en-US" w:eastAsia="zh-CN" w:bidi="ar"/>
        </w:rPr>
        <w:t>RCT</w:t>
      </w:r>
      <w:r>
        <w:rPr>
          <w:rFonts w:hint="eastAsia" w:ascii="Times New Roman" w:hAnsi="Times New Roman" w:eastAsia="宋体" w:cs="Times New Roman"/>
          <w:i w:val="0"/>
          <w:iCs w:val="0"/>
          <w:color w:val="000000"/>
          <w:kern w:val="0"/>
          <w:sz w:val="20"/>
          <w:szCs w:val="20"/>
          <w:u w:val="none"/>
          <w:lang w:val="en-US" w:eastAsia="zh-CN" w:bidi="ar"/>
        </w:rPr>
        <w:t xml:space="preserve">, randomized controlled trial; </w:t>
      </w: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sz w:val="20"/>
          <w:szCs w:val="20"/>
          <w:lang w:val="en-US" w:eastAsia="zh-CN"/>
        </w:rPr>
        <w:t xml:space="preserve">vonoprazan; </w:t>
      </w:r>
      <w:r>
        <w:rPr>
          <w:rFonts w:hint="default" w:ascii="Times New Roman" w:hAnsi="Times New Roman" w:eastAsia="宋体" w:cs="Times New Roman"/>
          <w:i w:val="0"/>
          <w:iCs w:val="0"/>
          <w:color w:val="000000"/>
          <w:kern w:val="0"/>
          <w:sz w:val="20"/>
          <w:szCs w:val="20"/>
          <w:u w:val="none"/>
          <w:lang w:val="en-US" w:eastAsia="zh-CN" w:bidi="ar"/>
        </w:rPr>
        <w:t>LPZ</w:t>
      </w:r>
      <w:r>
        <w:rPr>
          <w:rFonts w:hint="eastAsia" w:ascii="Times New Roman" w:hAnsi="Times New Roman" w:eastAsia="宋体" w:cs="Times New Roman"/>
          <w:i w:val="0"/>
          <w:iCs w:val="0"/>
          <w:color w:val="000000"/>
          <w:kern w:val="0"/>
          <w:sz w:val="20"/>
          <w:szCs w:val="20"/>
          <w:u w:val="none"/>
          <w:lang w:val="en-US" w:eastAsia="zh-CN" w:bidi="ar"/>
        </w:rPr>
        <w:t xml:space="preserve">, lansoprazole; </w:t>
      </w: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sz w:val="20"/>
          <w:szCs w:val="20"/>
          <w:lang w:val="en-US" w:eastAsia="zh-CN"/>
        </w:rPr>
        <w:t xml:space="preserve">tegoprazan; </w:t>
      </w:r>
      <w:r>
        <w:rPr>
          <w:rFonts w:hint="default" w:ascii="Times New Roman" w:hAnsi="Times New Roman" w:eastAsia="宋体" w:cs="Times New Roman"/>
          <w:i w:val="0"/>
          <w:iCs w:val="0"/>
          <w:color w:val="000000"/>
          <w:kern w:val="0"/>
          <w:sz w:val="20"/>
          <w:szCs w:val="20"/>
          <w:u w:val="none"/>
          <w:lang w:val="en-US" w:eastAsia="zh-CN" w:bidi="ar"/>
        </w:rPr>
        <w:t>EPZ</w:t>
      </w:r>
      <w:r>
        <w:rPr>
          <w:rFonts w:hint="eastAsia" w:ascii="Times New Roman" w:hAnsi="Times New Roman" w:eastAsia="宋体" w:cs="Times New Roman"/>
          <w:i w:val="0"/>
          <w:iCs w:val="0"/>
          <w:color w:val="000000"/>
          <w:kern w:val="0"/>
          <w:sz w:val="20"/>
          <w:szCs w:val="20"/>
          <w:u w:val="none"/>
          <w:lang w:val="en-US" w:eastAsia="zh-CN" w:bidi="ar"/>
        </w:rPr>
        <w:t>, esomeprazole</w:t>
      </w:r>
      <w:bookmarkEnd w:id="100"/>
      <w:r>
        <w:rPr>
          <w:rFonts w:hint="eastAsia" w:ascii="Times New Roman" w:hAnsi="Times New Roman" w:eastAsia="宋体" w:cs="Times New Roman"/>
          <w:i w:val="0"/>
          <w:iCs w:val="0"/>
          <w:color w:val="000000"/>
          <w:kern w:val="0"/>
          <w:sz w:val="20"/>
          <w:szCs w:val="20"/>
          <w:u w:val="none"/>
          <w:lang w:val="en-US" w:eastAsia="zh-CN" w:bidi="ar"/>
        </w:rPr>
        <w:t>.</w:t>
      </w:r>
    </w:p>
    <w:bookmarkEnd w:id="101"/>
    <w:p>
      <w:pPr>
        <w:keepNext w:val="0"/>
        <w:keepLines w:val="0"/>
        <w:pageBreakBefore w:val="0"/>
        <w:widowControl/>
        <w:kinsoku/>
        <w:wordWrap/>
        <w:overflowPunct/>
        <w:topLinePunct w:val="0"/>
        <w:autoSpaceDE/>
        <w:autoSpaceDN/>
        <w:bidi w:val="0"/>
        <w:adjustRightInd/>
        <w:snapToGrid/>
        <w:spacing w:before="360" w:after="0" w:line="360" w:lineRule="auto"/>
        <w:ind w:left="440" w:leftChars="200"/>
        <w:textAlignment w:val="auto"/>
        <w:rPr>
          <w:rFonts w:hint="default" w:ascii="Times New Roman" w:hAnsi="Times New Roman" w:cs="Times New Roman"/>
          <w:b/>
          <w:bCs/>
          <w:sz w:val="24"/>
          <w:szCs w:val="24"/>
          <w:lang w:val="en-US" w:eastAsia="zh-CN"/>
        </w:rPr>
      </w:pPr>
      <w:bookmarkStart w:id="102" w:name="OLE_LINK4"/>
      <w:r>
        <w:rPr>
          <w:rFonts w:hint="eastAsia" w:ascii="Times New Roman" w:hAnsi="Times New Roman" w:cs="Times New Roman"/>
          <w:b/>
          <w:bCs/>
          <w:sz w:val="24"/>
          <w:szCs w:val="24"/>
          <w:lang w:val="en-GB" w:eastAsia="zh-CN"/>
        </w:rPr>
        <w:t>pH</w:t>
      </w:r>
      <w:r>
        <w:rPr>
          <w:rFonts w:hint="default" w:ascii="Times New Roman" w:hAnsi="Times New Roman" w:cs="Times New Roman"/>
          <w:b/>
          <w:bCs/>
          <w:sz w:val="24"/>
          <w:szCs w:val="24"/>
          <w:lang w:val="en-GB" w:eastAsia="zh-CN"/>
        </w:rPr>
        <w:t>≥</w:t>
      </w:r>
      <w:r>
        <w:rPr>
          <w:rFonts w:hint="eastAsia" w:ascii="Times New Roman" w:hAnsi="Times New Roman" w:cs="Times New Roman"/>
          <w:b/>
          <w:bCs/>
          <w:sz w:val="24"/>
          <w:szCs w:val="24"/>
          <w:lang w:val="en-GB" w:eastAsia="zh-CN"/>
        </w:rPr>
        <w:t>4 holding time ratio</w:t>
      </w:r>
      <w:bookmarkEnd w:id="102"/>
      <w:r>
        <w:rPr>
          <w:rFonts w:hint="eastAsia" w:ascii="Times New Roman" w:hAnsi="Times New Roman" w:cs="Times New Roman"/>
          <w:b/>
          <w:bCs/>
          <w:sz w:val="24"/>
          <w:szCs w:val="24"/>
          <w:lang w:val="en-US" w:eastAsia="zh-CN"/>
        </w:rPr>
        <w:t>s</w:t>
      </w:r>
    </w:p>
    <w:p>
      <w:pPr>
        <w:pStyle w:val="56"/>
        <w:numPr>
          <w:ilvl w:val="0"/>
          <w:numId w:val="0"/>
        </w:numPr>
        <w:spacing w:before="0" w:after="0" w:line="360" w:lineRule="auto"/>
        <w:contextualSpacing w:val="0"/>
        <w:rPr>
          <w:rFonts w:hint="eastAsia" w:ascii="Times New Roman" w:hAnsi="Times New Roman" w:cs="Times New Roman"/>
          <w:b/>
          <w:bCs/>
          <w:sz w:val="24"/>
          <w:szCs w:val="24"/>
          <w:lang w:val="en-US" w:eastAsia="zh-CN"/>
        </w:rPr>
      </w:pPr>
      <w:bookmarkStart w:id="103" w:name="OLE_LINK7"/>
      <w:r>
        <w:rPr>
          <w:rFonts w:hint="eastAsia" w:ascii="Times New Roman" w:hAnsi="Times New Roman" w:eastAsia="宋体" w:cs="Times New Roman"/>
          <w:sz w:val="20"/>
          <w:szCs w:val="20"/>
          <w:lang w:val="en-US" w:eastAsia="zh-CN"/>
        </w:rPr>
        <w:t>Table 2 pH</w:t>
      </w:r>
      <w:r>
        <w:rPr>
          <w:rFonts w:hint="default" w:ascii="Times New Roman" w:hAnsi="Times New Roman" w:eastAsia="宋体" w:cs="Times New Roman"/>
          <w:sz w:val="20"/>
          <w:szCs w:val="20"/>
          <w:lang w:val="en-US" w:eastAsia="zh-CN"/>
        </w:rPr>
        <w:t>≥</w:t>
      </w:r>
      <w:r>
        <w:rPr>
          <w:rFonts w:hint="eastAsia" w:ascii="Times New Roman" w:hAnsi="Times New Roman" w:eastAsia="宋体" w:cs="Times New Roman"/>
          <w:sz w:val="20"/>
          <w:szCs w:val="20"/>
          <w:lang w:val="en-US" w:eastAsia="zh-CN"/>
        </w:rPr>
        <w:t>4 holding time ratios of vonoprazan and tegoprazan</w:t>
      </w:r>
      <w:bookmarkEnd w:id="103"/>
    </w:p>
    <w:tbl>
      <w:tblPr>
        <w:tblStyle w:val="40"/>
        <w:tblW w:w="4998" w:type="pct"/>
        <w:tblInd w:w="0" w:type="dxa"/>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Layout w:type="fixed"/>
        <w:tblCellMar>
          <w:top w:w="0" w:type="dxa"/>
          <w:left w:w="108" w:type="dxa"/>
          <w:bottom w:w="0" w:type="dxa"/>
          <w:right w:w="108" w:type="dxa"/>
        </w:tblCellMar>
      </w:tblPr>
      <w:tblGrid>
        <w:gridCol w:w="1058"/>
        <w:gridCol w:w="826"/>
        <w:gridCol w:w="2083"/>
        <w:gridCol w:w="897"/>
        <w:gridCol w:w="5121"/>
        <w:gridCol w:w="3464"/>
      </w:tblGrid>
      <w:tr>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CellMar>
            <w:top w:w="0" w:type="dxa"/>
            <w:left w:w="108" w:type="dxa"/>
            <w:bottom w:w="0" w:type="dxa"/>
            <w:right w:w="108" w:type="dxa"/>
          </w:tblCellMar>
        </w:tblPrEx>
        <w:trPr>
          <w:trHeight w:val="300" w:hRule="atLeast"/>
        </w:trPr>
        <w:tc>
          <w:tcPr>
            <w:tcW w:w="39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Author(s), year</w:t>
            </w:r>
          </w:p>
        </w:tc>
        <w:tc>
          <w:tcPr>
            <w:tcW w:w="307"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101214"/>
                <w:sz w:val="20"/>
                <w:szCs w:val="20"/>
                <w:u w:val="none"/>
              </w:rPr>
            </w:pPr>
            <w:r>
              <w:rPr>
                <w:rFonts w:hint="eastAsia" w:ascii="Times New Roman" w:hAnsi="Times New Roman" w:eastAsia="宋体" w:cs="Times New Roman"/>
                <w:i w:val="0"/>
                <w:iCs w:val="0"/>
                <w:color w:val="101214"/>
                <w:kern w:val="0"/>
                <w:sz w:val="20"/>
                <w:szCs w:val="20"/>
                <w:u w:val="none"/>
                <w:lang w:val="en-US" w:eastAsia="zh-CN" w:bidi="ar"/>
              </w:rPr>
              <w:t>C</w:t>
            </w:r>
            <w:r>
              <w:rPr>
                <w:rFonts w:hint="default" w:ascii="Times New Roman" w:hAnsi="Times New Roman" w:eastAsia="宋体" w:cs="Times New Roman"/>
                <w:i w:val="0"/>
                <w:iCs w:val="0"/>
                <w:color w:val="101214"/>
                <w:kern w:val="0"/>
                <w:sz w:val="20"/>
                <w:szCs w:val="20"/>
                <w:u w:val="none"/>
                <w:lang w:val="en-US" w:eastAsia="zh-CN" w:bidi="ar"/>
              </w:rPr>
              <w:t>ountry</w:t>
            </w:r>
          </w:p>
        </w:tc>
        <w:tc>
          <w:tcPr>
            <w:tcW w:w="77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Study design</w:t>
            </w:r>
          </w:p>
        </w:tc>
        <w:tc>
          <w:tcPr>
            <w:tcW w:w="33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Subjects</w:t>
            </w:r>
          </w:p>
        </w:tc>
        <w:tc>
          <w:tcPr>
            <w:tcW w:w="190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Treatment</w:t>
            </w:r>
          </w:p>
        </w:tc>
        <w:tc>
          <w:tcPr>
            <w:tcW w:w="128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Outcomes</w:t>
            </w:r>
          </w:p>
        </w:tc>
      </w:tr>
      <w:tr>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CellMar>
            <w:top w:w="0" w:type="dxa"/>
            <w:left w:w="108" w:type="dxa"/>
            <w:bottom w:w="0" w:type="dxa"/>
            <w:right w:w="108" w:type="dxa"/>
          </w:tblCellMar>
        </w:tblPrEx>
        <w:trPr>
          <w:trHeight w:val="1875" w:hRule="atLeast"/>
        </w:trPr>
        <w:tc>
          <w:tcPr>
            <w:tcW w:w="39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Takeuchi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2020</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NE.Ref.{6516F1F4-BF6F-4322-A53B-07D2312B9BD6}</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[25]</w:t>
            </w:r>
            <w:r>
              <w:rPr>
                <w:rFonts w:hint="default" w:ascii="Times New Roman" w:hAnsi="Times New Roman" w:cs="Times New Roman" w:eastAsiaTheme="minorHAnsi"/>
                <w:sz w:val="22"/>
                <w:szCs w:val="22"/>
                <w:vertAlign w:val="baseline"/>
                <w:lang w:val="en-US" w:eastAsia="zh-CN" w:bidi="ar-SA"/>
              </w:rPr>
              <w:fldChar w:fldCharType="end"/>
            </w:r>
          </w:p>
        </w:tc>
        <w:tc>
          <w:tcPr>
            <w:tcW w:w="30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Japan</w:t>
            </w:r>
          </w:p>
        </w:tc>
        <w:tc>
          <w:tcPr>
            <w:tcW w:w="77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M</w:t>
            </w:r>
            <w:r>
              <w:rPr>
                <w:rFonts w:hint="default" w:ascii="Times New Roman" w:hAnsi="Times New Roman" w:eastAsia="宋体" w:cs="Times New Roman"/>
                <w:i w:val="0"/>
                <w:iCs w:val="0"/>
                <w:color w:val="000000"/>
                <w:kern w:val="0"/>
                <w:sz w:val="20"/>
                <w:szCs w:val="20"/>
                <w:u w:val="none"/>
                <w:lang w:val="en-US" w:eastAsia="zh-CN" w:bidi="ar"/>
              </w:rPr>
              <w:t>ulticente</w:t>
            </w:r>
            <w:r>
              <w:rPr>
                <w:rFonts w:hint="eastAsia" w:ascii="Times New Roman" w:hAnsi="Times New Roman" w:eastAsia="宋体" w:cs="Times New Roman"/>
                <w:i w:val="0"/>
                <w:iCs w:val="0"/>
                <w:color w:val="000000"/>
                <w:kern w:val="0"/>
                <w:sz w:val="20"/>
                <w:szCs w:val="20"/>
                <w:u w:val="none"/>
                <w:lang w:val="en-US" w:eastAsia="zh-CN" w:bidi="ar"/>
              </w:rPr>
              <w:t>r</w:t>
            </w:r>
            <w:r>
              <w:rPr>
                <w:rFonts w:hint="default" w:ascii="Times New Roman" w:hAnsi="Times New Roman" w:eastAsia="宋体" w:cs="Times New Roman"/>
                <w:i w:val="0"/>
                <w:iCs w:val="0"/>
                <w:color w:val="000000"/>
                <w:kern w:val="0"/>
                <w:sz w:val="20"/>
                <w:szCs w:val="20"/>
                <w:u w:val="none"/>
                <w:lang w:val="en-US" w:eastAsia="zh-CN" w:bidi="ar"/>
              </w:rPr>
              <w:t>, randomi</w:t>
            </w:r>
            <w:r>
              <w:rPr>
                <w:rFonts w:hint="eastAsia" w:ascii="Times New Roman" w:hAnsi="Times New Roman" w:eastAsia="宋体" w:cs="Times New Roman"/>
                <w:i w:val="0"/>
                <w:iCs w:val="0"/>
                <w:color w:val="000000"/>
                <w:kern w:val="0"/>
                <w:sz w:val="20"/>
                <w:szCs w:val="20"/>
                <w:u w:val="none"/>
                <w:lang w:val="en-US" w:eastAsia="zh-CN" w:bidi="ar"/>
              </w:rPr>
              <w:t>z</w:t>
            </w:r>
            <w:r>
              <w:rPr>
                <w:rFonts w:hint="default" w:ascii="Times New Roman" w:hAnsi="Times New Roman" w:eastAsia="宋体" w:cs="Times New Roman"/>
                <w:i w:val="0"/>
                <w:iCs w:val="0"/>
                <w:color w:val="000000"/>
                <w:kern w:val="0"/>
                <w:sz w:val="20"/>
                <w:szCs w:val="20"/>
                <w:u w:val="none"/>
                <w:lang w:val="en-US" w:eastAsia="zh-CN" w:bidi="ar"/>
              </w:rPr>
              <w:t>ed, open-label, two-period, crossover study</w:t>
            </w:r>
          </w:p>
        </w:tc>
        <w:tc>
          <w:tcPr>
            <w:tcW w:w="33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Healthy adults</w:t>
            </w:r>
          </w:p>
        </w:tc>
        <w:tc>
          <w:tcPr>
            <w:tcW w:w="190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Cohort A:</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R</w:t>
            </w:r>
            <w:r>
              <w:rPr>
                <w:rFonts w:hint="eastAsia" w:ascii="Times New Roman" w:hAnsi="Times New Roman" w:eastAsia="宋体" w:cs="Times New Roman"/>
                <w:i w:val="0"/>
                <w:iCs w:val="0"/>
                <w:color w:val="000000"/>
                <w:kern w:val="0"/>
                <w:sz w:val="20"/>
                <w:szCs w:val="20"/>
                <w:u w:val="none"/>
                <w:lang w:val="en-US" w:eastAsia="zh-CN" w:bidi="ar"/>
              </w:rPr>
              <w:t>PZ</w:t>
            </w:r>
            <w:r>
              <w:rPr>
                <w:rFonts w:hint="default" w:ascii="Times New Roman" w:hAnsi="Times New Roman" w:eastAsia="宋体" w:cs="Times New Roman"/>
                <w:i w:val="0"/>
                <w:iCs w:val="0"/>
                <w:color w:val="000000"/>
                <w:kern w:val="0"/>
                <w:sz w:val="20"/>
                <w:szCs w:val="20"/>
                <w:u w:val="none"/>
                <w:lang w:val="en-US" w:eastAsia="zh-CN" w:bidi="ar"/>
              </w:rPr>
              <w:t xml:space="preserve"> 20 mg/day (RPZ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i w:val="0"/>
                <w:iCs w:val="0"/>
                <w:color w:val="000000"/>
                <w:kern w:val="0"/>
                <w:sz w:val="20"/>
                <w:szCs w:val="20"/>
                <w:u w:val="none"/>
                <w:lang w:val="en-US" w:eastAsia="zh-CN" w:bidi="ar"/>
              </w:rPr>
              <w:t xml:space="preserve">VPZ </w:t>
            </w:r>
            <w:r>
              <w:rPr>
                <w:rFonts w:hint="default" w:ascii="Times New Roman" w:hAnsi="Times New Roman" w:eastAsia="宋体" w:cs="Times New Roman"/>
                <w:i w:val="0"/>
                <w:iCs w:val="0"/>
                <w:color w:val="000000"/>
                <w:kern w:val="0"/>
                <w:sz w:val="20"/>
                <w:szCs w:val="20"/>
                <w:u w:val="none"/>
                <w:lang w:val="en-US" w:eastAsia="zh-CN" w:bidi="ar"/>
              </w:rPr>
              <w:t>20 mg/day (VPZ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Cohort B:</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RPZ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40 </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Cohort C:</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10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RPZ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Each cohort consists of 10 people</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Period 1 for 7 days, wash out at least 7 days, </w:t>
            </w:r>
            <w:r>
              <w:rPr>
                <w:rFonts w:hint="eastAsia" w:ascii="Times New Roman" w:hAnsi="Times New Roman" w:eastAsia="宋体" w:cs="Times New Roman"/>
                <w:i w:val="0"/>
                <w:iCs w:val="0"/>
                <w:color w:val="000000"/>
                <w:kern w:val="0"/>
                <w:sz w:val="20"/>
                <w:szCs w:val="20"/>
                <w:u w:val="none"/>
                <w:lang w:val="en-US" w:eastAsia="zh-CN" w:bidi="ar"/>
              </w:rPr>
              <w:t xml:space="preserve">and </w:t>
            </w:r>
            <w:r>
              <w:rPr>
                <w:rFonts w:hint="default" w:ascii="Times New Roman" w:hAnsi="Times New Roman" w:eastAsia="宋体" w:cs="Times New Roman"/>
                <w:i w:val="0"/>
                <w:iCs w:val="0"/>
                <w:color w:val="000000"/>
                <w:kern w:val="0"/>
                <w:sz w:val="20"/>
                <w:szCs w:val="20"/>
                <w:u w:val="none"/>
                <w:lang w:val="en-US" w:eastAsia="zh-CN" w:bidi="ar"/>
              </w:rPr>
              <w:t>period 2 for 7 days.</w:t>
            </w:r>
          </w:p>
        </w:tc>
        <w:tc>
          <w:tcPr>
            <w:tcW w:w="128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Style w:val="101"/>
                <w:rFonts w:eastAsia="宋体"/>
                <w:sz w:val="20"/>
                <w:szCs w:val="20"/>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24 h pH</w:t>
            </w:r>
            <w:r>
              <w:rPr>
                <w:rStyle w:val="100"/>
                <w:rFonts w:ascii="Times New Roman" w:hAnsi="Times New Roman" w:eastAsia="宋体" w:cs="Times New Roman"/>
                <w:sz w:val="20"/>
                <w:szCs w:val="20"/>
                <w:lang w:val="en-US" w:eastAsia="zh-CN" w:bidi="ar"/>
              </w:rPr>
              <w:t>≥</w:t>
            </w:r>
            <w:r>
              <w:rPr>
                <w:rStyle w:val="101"/>
                <w:rFonts w:eastAsia="宋体"/>
                <w:sz w:val="20"/>
                <w:szCs w:val="20"/>
                <w:lang w:val="en-US" w:eastAsia="zh-CN" w:bidi="ar"/>
              </w:rPr>
              <w:t>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Style w:val="101"/>
                <w:rFonts w:eastAsia="宋体"/>
                <w:sz w:val="20"/>
                <w:szCs w:val="20"/>
                <w:lang w:val="en-US" w:eastAsia="zh-CN" w:bidi="ar"/>
              </w:rPr>
            </w:pPr>
            <w:r>
              <w:rPr>
                <w:rStyle w:val="101"/>
                <w:rFonts w:eastAsia="宋体"/>
                <w:sz w:val="20"/>
                <w:szCs w:val="20"/>
                <w:lang w:val="en-US" w:eastAsia="zh-CN" w:bidi="ar"/>
              </w:rPr>
              <w:t>VPZ</w:t>
            </w:r>
            <w:r>
              <w:rPr>
                <w:rStyle w:val="101"/>
                <w:rFonts w:hint="eastAsia" w:eastAsia="宋体"/>
                <w:sz w:val="20"/>
                <w:szCs w:val="20"/>
                <w:lang w:val="en-US" w:eastAsia="zh-CN" w:bidi="ar"/>
              </w:rPr>
              <w:t xml:space="preserve"> </w:t>
            </w:r>
            <w:r>
              <w:rPr>
                <w:rStyle w:val="101"/>
                <w:rFonts w:eastAsia="宋体"/>
                <w:sz w:val="20"/>
                <w:szCs w:val="20"/>
                <w:lang w:val="en-US" w:eastAsia="zh-CN" w:bidi="ar"/>
              </w:rPr>
              <w:t>10, 69.9%</w:t>
            </w:r>
            <w:r>
              <w:rPr>
                <w:rStyle w:val="101"/>
                <w:rFonts w:hint="eastAsia" w:eastAsia="宋体"/>
                <w:sz w:val="20"/>
                <w:szCs w:val="20"/>
                <w:lang w:val="en-US" w:eastAsia="zh-CN" w:bidi="ar"/>
              </w:rPr>
              <w:t xml:space="preserve">; </w:t>
            </w:r>
            <w:r>
              <w:rPr>
                <w:rStyle w:val="101"/>
                <w:rFonts w:eastAsia="宋体"/>
                <w:sz w:val="20"/>
                <w:szCs w:val="20"/>
                <w:lang w:val="en-US" w:eastAsia="zh-CN" w:bidi="ar"/>
              </w:rPr>
              <w:t>VPZ</w:t>
            </w:r>
            <w:r>
              <w:rPr>
                <w:rStyle w:val="101"/>
                <w:rFonts w:hint="eastAsia" w:eastAsia="宋体"/>
                <w:sz w:val="20"/>
                <w:szCs w:val="20"/>
                <w:lang w:val="en-US" w:eastAsia="zh-CN" w:bidi="ar"/>
              </w:rPr>
              <w:t xml:space="preserve"> </w:t>
            </w:r>
            <w:r>
              <w:rPr>
                <w:rStyle w:val="101"/>
                <w:rFonts w:eastAsia="宋体"/>
                <w:sz w:val="20"/>
                <w:szCs w:val="20"/>
                <w:lang w:val="en-US" w:eastAsia="zh-CN" w:bidi="ar"/>
              </w:rPr>
              <w:t>20, 88.4%</w:t>
            </w:r>
            <w:r>
              <w:rPr>
                <w:rStyle w:val="101"/>
                <w:rFonts w:hint="default" w:eastAsia="宋体"/>
                <w:sz w:val="20"/>
                <w:szCs w:val="20"/>
                <w:lang w:val="en-US" w:eastAsia="zh-CN" w:bidi="ar"/>
              </w:rPr>
              <w:t>–</w:t>
            </w:r>
            <w:r>
              <w:rPr>
                <w:rStyle w:val="101"/>
                <w:rFonts w:eastAsia="宋体"/>
                <w:sz w:val="20"/>
                <w:szCs w:val="20"/>
                <w:lang w:val="en-US" w:eastAsia="zh-CN" w:bidi="ar"/>
              </w:rPr>
              <w:t>95%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Style w:val="101"/>
                <w:rFonts w:eastAsia="宋体"/>
                <w:sz w:val="20"/>
                <w:szCs w:val="20"/>
                <w:lang w:val="en-US" w:eastAsia="zh-CN" w:bidi="ar"/>
              </w:rPr>
            </w:pPr>
            <w:r>
              <w:rPr>
                <w:rStyle w:val="101"/>
                <w:rFonts w:eastAsia="宋体"/>
                <w:sz w:val="20"/>
                <w:szCs w:val="20"/>
                <w:lang w:val="en-US" w:eastAsia="zh-CN" w:bidi="ar"/>
              </w:rPr>
              <w:t>RPZ</w:t>
            </w:r>
            <w:r>
              <w:rPr>
                <w:rStyle w:val="101"/>
                <w:rFonts w:hint="eastAsia" w:eastAsia="宋体"/>
                <w:sz w:val="20"/>
                <w:szCs w:val="20"/>
                <w:lang w:val="en-US" w:eastAsia="zh-CN" w:bidi="ar"/>
              </w:rPr>
              <w:t xml:space="preserve"> </w:t>
            </w:r>
            <w:r>
              <w:rPr>
                <w:rStyle w:val="101"/>
                <w:rFonts w:eastAsia="宋体"/>
                <w:sz w:val="20"/>
                <w:szCs w:val="20"/>
                <w:lang w:val="en-US" w:eastAsia="zh-CN" w:bidi="ar"/>
              </w:rPr>
              <w:t>20, 53.8%</w:t>
            </w:r>
            <w:r>
              <w:rPr>
                <w:rStyle w:val="101"/>
                <w:rFonts w:hint="default" w:ascii="Times New Roman" w:hAnsi="Times New Roman" w:eastAsia="宋体" w:cs="Times New Roman"/>
                <w:sz w:val="20"/>
                <w:szCs w:val="20"/>
                <w:lang w:val="en-US" w:eastAsia="zh-CN" w:bidi="ar"/>
              </w:rPr>
              <w:t>–</w:t>
            </w:r>
            <w:r>
              <w:rPr>
                <w:rStyle w:val="101"/>
                <w:rFonts w:eastAsia="宋体"/>
                <w:sz w:val="20"/>
                <w:szCs w:val="20"/>
                <w:lang w:val="en-US" w:eastAsia="zh-CN" w:bidi="ar"/>
              </w:rPr>
              <w:t>69.5%</w:t>
            </w:r>
            <w:r>
              <w:rPr>
                <w:rStyle w:val="101"/>
                <w:rFonts w:hint="eastAsia" w:eastAsia="宋体"/>
                <w:sz w:val="20"/>
                <w:szCs w:val="20"/>
                <w:lang w:val="en-US" w:eastAsia="zh-CN" w:bidi="ar"/>
              </w:rPr>
              <w:t xml:space="preserve">; </w:t>
            </w:r>
            <w:r>
              <w:rPr>
                <w:rStyle w:val="101"/>
                <w:rFonts w:eastAsia="宋体"/>
                <w:sz w:val="20"/>
                <w:szCs w:val="20"/>
                <w:lang w:val="en-US" w:eastAsia="zh-CN" w:bidi="ar"/>
              </w:rPr>
              <w:t>RPZ</w:t>
            </w:r>
            <w:r>
              <w:rPr>
                <w:rStyle w:val="101"/>
                <w:rFonts w:hint="eastAsia" w:eastAsia="宋体"/>
                <w:sz w:val="20"/>
                <w:szCs w:val="20"/>
                <w:lang w:val="en-US" w:eastAsia="zh-CN" w:bidi="ar"/>
              </w:rPr>
              <w:t xml:space="preserve"> </w:t>
            </w:r>
            <w:r>
              <w:rPr>
                <w:rStyle w:val="101"/>
                <w:rFonts w:eastAsia="宋体"/>
                <w:sz w:val="20"/>
                <w:szCs w:val="20"/>
                <w:lang w:val="en-US" w:eastAsia="zh-CN" w:bidi="ar"/>
              </w:rPr>
              <w:t>40, 74.5%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Style w:val="101"/>
                <w:rFonts w:eastAsia="宋体"/>
                <w:sz w:val="20"/>
                <w:szCs w:val="20"/>
                <w:lang w:val="en-US" w:eastAsia="zh-CN" w:bidi="ar"/>
              </w:rPr>
            </w:pPr>
            <w:r>
              <w:rPr>
                <w:rStyle w:val="101"/>
                <w:rFonts w:eastAsia="宋体"/>
                <w:sz w:val="20"/>
                <w:szCs w:val="20"/>
                <w:lang w:val="en-US" w:eastAsia="zh-CN" w:bidi="ar"/>
              </w:rPr>
              <w:t>Nocturnal pH</w:t>
            </w:r>
            <w:r>
              <w:rPr>
                <w:rStyle w:val="100"/>
                <w:rFonts w:ascii="Times New Roman" w:hAnsi="Times New Roman" w:eastAsia="宋体" w:cs="Times New Roman"/>
                <w:sz w:val="20"/>
                <w:szCs w:val="20"/>
                <w:lang w:val="en-US" w:eastAsia="zh-CN" w:bidi="ar"/>
              </w:rPr>
              <w:t>≥</w:t>
            </w:r>
            <w:r>
              <w:rPr>
                <w:rStyle w:val="101"/>
                <w:rFonts w:eastAsia="宋体"/>
                <w:sz w:val="20"/>
                <w:szCs w:val="20"/>
                <w:lang w:val="en-US" w:eastAsia="zh-CN" w:bidi="ar"/>
              </w:rPr>
              <w:t>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Style w:val="101"/>
                <w:rFonts w:eastAsia="宋体"/>
                <w:sz w:val="20"/>
                <w:szCs w:val="20"/>
                <w:lang w:val="en-US" w:eastAsia="zh-CN" w:bidi="ar"/>
              </w:rPr>
            </w:pPr>
            <w:r>
              <w:rPr>
                <w:rStyle w:val="101"/>
                <w:rFonts w:eastAsia="宋体"/>
                <w:sz w:val="20"/>
                <w:szCs w:val="20"/>
                <w:lang w:val="en-US" w:eastAsia="zh-CN" w:bidi="ar"/>
              </w:rPr>
              <w:t>VPZ</w:t>
            </w:r>
            <w:r>
              <w:rPr>
                <w:rStyle w:val="101"/>
                <w:rFonts w:hint="eastAsia" w:eastAsia="宋体"/>
                <w:sz w:val="20"/>
                <w:szCs w:val="20"/>
                <w:lang w:val="en-US" w:eastAsia="zh-CN" w:bidi="ar"/>
              </w:rPr>
              <w:t xml:space="preserve"> </w:t>
            </w:r>
            <w:r>
              <w:rPr>
                <w:rStyle w:val="101"/>
                <w:rFonts w:eastAsia="宋体"/>
                <w:sz w:val="20"/>
                <w:szCs w:val="20"/>
                <w:lang w:val="en-US" w:eastAsia="zh-CN" w:bidi="ar"/>
              </w:rPr>
              <w:t>10, 54.0%</w:t>
            </w:r>
            <w:r>
              <w:rPr>
                <w:rStyle w:val="101"/>
                <w:rFonts w:hint="eastAsia" w:eastAsia="宋体"/>
                <w:sz w:val="20"/>
                <w:szCs w:val="20"/>
                <w:lang w:val="en-US" w:eastAsia="zh-CN" w:bidi="ar"/>
              </w:rPr>
              <w:t xml:space="preserve">; </w:t>
            </w:r>
            <w:r>
              <w:rPr>
                <w:rStyle w:val="101"/>
                <w:rFonts w:eastAsia="宋体"/>
                <w:sz w:val="20"/>
                <w:szCs w:val="20"/>
                <w:lang w:val="en-US" w:eastAsia="zh-CN" w:bidi="ar"/>
              </w:rPr>
              <w:t>VPZ</w:t>
            </w:r>
            <w:r>
              <w:rPr>
                <w:rStyle w:val="101"/>
                <w:rFonts w:hint="eastAsia" w:eastAsia="宋体"/>
                <w:sz w:val="20"/>
                <w:szCs w:val="20"/>
                <w:lang w:val="en-US" w:eastAsia="zh-CN" w:bidi="ar"/>
              </w:rPr>
              <w:t xml:space="preserve"> </w:t>
            </w:r>
            <w:r>
              <w:rPr>
                <w:rStyle w:val="101"/>
                <w:rFonts w:eastAsia="宋体"/>
                <w:sz w:val="20"/>
                <w:szCs w:val="20"/>
                <w:lang w:val="en-US" w:eastAsia="zh-CN" w:bidi="ar"/>
              </w:rPr>
              <w:t>20, 70.7%</w:t>
            </w:r>
            <w:r>
              <w:rPr>
                <w:rStyle w:val="101"/>
                <w:rFonts w:hint="default" w:ascii="Times New Roman" w:hAnsi="Times New Roman" w:eastAsia="宋体" w:cs="Times New Roman"/>
                <w:sz w:val="20"/>
                <w:szCs w:val="20"/>
                <w:lang w:val="en-US" w:eastAsia="zh-CN" w:bidi="ar"/>
              </w:rPr>
              <w:t>–</w:t>
            </w:r>
            <w:r>
              <w:rPr>
                <w:rStyle w:val="101"/>
                <w:rFonts w:eastAsia="宋体"/>
                <w:sz w:val="20"/>
                <w:szCs w:val="20"/>
                <w:lang w:val="en-US" w:eastAsia="zh-CN" w:bidi="ar"/>
              </w:rPr>
              <w:t>91.5%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Style w:val="101"/>
                <w:rFonts w:eastAsia="宋体"/>
                <w:sz w:val="20"/>
                <w:szCs w:val="20"/>
                <w:lang w:val="en-US" w:eastAsia="zh-CN" w:bidi="ar"/>
              </w:rPr>
              <w:t>RPZ</w:t>
            </w:r>
            <w:r>
              <w:rPr>
                <w:rStyle w:val="101"/>
                <w:rFonts w:hint="eastAsia" w:eastAsia="宋体"/>
                <w:sz w:val="20"/>
                <w:szCs w:val="20"/>
                <w:lang w:val="en-US" w:eastAsia="zh-CN" w:bidi="ar"/>
              </w:rPr>
              <w:t xml:space="preserve"> </w:t>
            </w:r>
            <w:r>
              <w:rPr>
                <w:rStyle w:val="101"/>
                <w:rFonts w:eastAsia="宋体"/>
                <w:sz w:val="20"/>
                <w:szCs w:val="20"/>
                <w:lang w:val="en-US" w:eastAsia="zh-CN" w:bidi="ar"/>
              </w:rPr>
              <w:t>20, 57.1%</w:t>
            </w:r>
            <w:r>
              <w:rPr>
                <w:rStyle w:val="101"/>
                <w:rFonts w:hint="default" w:ascii="Times New Roman" w:hAnsi="Times New Roman" w:eastAsia="宋体" w:cs="Times New Roman"/>
                <w:sz w:val="20"/>
                <w:szCs w:val="20"/>
                <w:lang w:val="en-US" w:eastAsia="zh-CN" w:bidi="ar"/>
              </w:rPr>
              <w:t>–</w:t>
            </w:r>
            <w:r>
              <w:rPr>
                <w:rStyle w:val="101"/>
                <w:rFonts w:eastAsia="宋体"/>
                <w:sz w:val="20"/>
                <w:szCs w:val="20"/>
                <w:lang w:val="en-US" w:eastAsia="zh-CN" w:bidi="ar"/>
              </w:rPr>
              <w:t>59.8%</w:t>
            </w:r>
            <w:r>
              <w:rPr>
                <w:rStyle w:val="101"/>
                <w:rFonts w:hint="eastAsia" w:eastAsia="宋体"/>
                <w:sz w:val="20"/>
                <w:szCs w:val="20"/>
                <w:lang w:val="en-US" w:eastAsia="zh-CN" w:bidi="ar"/>
              </w:rPr>
              <w:t>;</w:t>
            </w:r>
            <w:r>
              <w:rPr>
                <w:rStyle w:val="101"/>
                <w:rFonts w:eastAsia="宋体"/>
                <w:sz w:val="20"/>
                <w:szCs w:val="20"/>
                <w:lang w:val="en-US" w:eastAsia="zh-CN" w:bidi="ar"/>
              </w:rPr>
              <w:t xml:space="preserve"> RPZ</w:t>
            </w:r>
            <w:r>
              <w:rPr>
                <w:rStyle w:val="101"/>
                <w:rFonts w:hint="eastAsia" w:eastAsia="宋体"/>
                <w:sz w:val="20"/>
                <w:szCs w:val="20"/>
                <w:lang w:val="en-US" w:eastAsia="zh-CN" w:bidi="ar"/>
              </w:rPr>
              <w:t xml:space="preserve"> </w:t>
            </w:r>
            <w:r>
              <w:rPr>
                <w:rStyle w:val="101"/>
                <w:rFonts w:eastAsia="宋体"/>
                <w:sz w:val="20"/>
                <w:szCs w:val="20"/>
                <w:lang w:val="en-US" w:eastAsia="zh-CN" w:bidi="ar"/>
              </w:rPr>
              <w:t>40, 73.2%</w:t>
            </w:r>
          </w:p>
        </w:tc>
      </w:tr>
      <w:tr>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CellMar>
            <w:top w:w="0" w:type="dxa"/>
            <w:left w:w="108" w:type="dxa"/>
            <w:bottom w:w="0" w:type="dxa"/>
            <w:right w:w="108" w:type="dxa"/>
          </w:tblCellMar>
        </w:tblPrEx>
        <w:trPr>
          <w:trHeight w:val="830" w:hRule="atLeast"/>
        </w:trPr>
        <w:tc>
          <w:tcPr>
            <w:tcW w:w="39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Sakurai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2015</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NE.Ref.{7C618E34-6E62-4453-BA44-096B32F67B4E}</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[26]</w:t>
            </w:r>
            <w:r>
              <w:rPr>
                <w:rFonts w:hint="default" w:ascii="Times New Roman" w:hAnsi="Times New Roman" w:cs="Times New Roman" w:eastAsiaTheme="minorHAnsi"/>
                <w:sz w:val="22"/>
                <w:szCs w:val="22"/>
                <w:vertAlign w:val="baseline"/>
                <w:lang w:val="en-US" w:eastAsia="zh-CN" w:bidi="ar-SA"/>
              </w:rPr>
              <w:fldChar w:fldCharType="end"/>
            </w:r>
          </w:p>
        </w:tc>
        <w:tc>
          <w:tcPr>
            <w:tcW w:w="30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Japan</w:t>
            </w:r>
          </w:p>
        </w:tc>
        <w:tc>
          <w:tcPr>
            <w:tcW w:w="77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R</w:t>
            </w:r>
            <w:r>
              <w:rPr>
                <w:rFonts w:hint="default" w:ascii="Times New Roman" w:hAnsi="Times New Roman" w:eastAsia="宋体" w:cs="Times New Roman"/>
                <w:i w:val="0"/>
                <w:iCs w:val="0"/>
                <w:color w:val="000000"/>
                <w:kern w:val="0"/>
                <w:sz w:val="20"/>
                <w:szCs w:val="20"/>
                <w:u w:val="none"/>
                <w:lang w:val="en-US" w:eastAsia="zh-CN" w:bidi="ar"/>
              </w:rPr>
              <w:t>andomi</w:t>
            </w:r>
            <w:r>
              <w:rPr>
                <w:rFonts w:hint="eastAsia" w:ascii="Times New Roman" w:hAnsi="Times New Roman" w:eastAsia="宋体" w:cs="Times New Roman"/>
                <w:i w:val="0"/>
                <w:iCs w:val="0"/>
                <w:color w:val="000000"/>
                <w:kern w:val="0"/>
                <w:sz w:val="20"/>
                <w:szCs w:val="20"/>
                <w:u w:val="none"/>
                <w:lang w:val="en-US" w:eastAsia="zh-CN" w:bidi="ar"/>
              </w:rPr>
              <w:t>z</w:t>
            </w:r>
            <w:r>
              <w:rPr>
                <w:rFonts w:hint="default" w:ascii="Times New Roman" w:hAnsi="Times New Roman" w:eastAsia="宋体" w:cs="Times New Roman"/>
                <w:i w:val="0"/>
                <w:iCs w:val="0"/>
                <w:color w:val="000000"/>
                <w:kern w:val="0"/>
                <w:sz w:val="20"/>
                <w:szCs w:val="20"/>
                <w:u w:val="none"/>
                <w:lang w:val="en-US" w:eastAsia="zh-CN" w:bidi="ar"/>
              </w:rPr>
              <w:t>ed, open-label, two-period, crossover study</w:t>
            </w:r>
          </w:p>
        </w:tc>
        <w:tc>
          <w:tcPr>
            <w:tcW w:w="33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Healthy adults</w:t>
            </w:r>
          </w:p>
        </w:tc>
        <w:tc>
          <w:tcPr>
            <w:tcW w:w="190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Cohort A:</w:t>
            </w:r>
            <w:r>
              <w:rPr>
                <w:rFonts w:hint="eastAsia" w:ascii="Times New Roman" w:hAnsi="Times New Roman" w:eastAsia="宋体" w:cs="Times New Roman"/>
                <w:i w:val="0"/>
                <w:iCs w:val="0"/>
                <w:color w:val="000000"/>
                <w:kern w:val="0"/>
                <w:sz w:val="20"/>
                <w:szCs w:val="20"/>
                <w:u w:val="none"/>
                <w:lang w:val="en-US" w:eastAsia="zh-CN" w:bidi="ar"/>
              </w:rPr>
              <w:t xml:space="preserve"> VPZ </w:t>
            </w:r>
            <w:r>
              <w:rPr>
                <w:rFonts w:hint="default" w:ascii="Times New Roman" w:hAnsi="Times New Roman" w:eastAsia="宋体" w:cs="Times New Roman"/>
                <w:i w:val="0"/>
                <w:iCs w:val="0"/>
                <w:color w:val="000000"/>
                <w:kern w:val="0"/>
                <w:sz w:val="20"/>
                <w:szCs w:val="20"/>
                <w:u w:val="none"/>
                <w:lang w:val="en-US" w:eastAsia="zh-CN" w:bidi="ar"/>
              </w:rPr>
              <w:t>20 mg/day (VPZ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i w:val="0"/>
                <w:iCs w:val="0"/>
                <w:color w:val="000000"/>
                <w:kern w:val="0"/>
                <w:sz w:val="20"/>
                <w:szCs w:val="20"/>
                <w:u w:val="none"/>
                <w:lang w:val="en-US" w:eastAsia="zh-CN" w:bidi="ar"/>
              </w:rPr>
              <w:t>EPZ</w:t>
            </w:r>
            <w:r>
              <w:rPr>
                <w:rFonts w:hint="default" w:ascii="Times New Roman" w:hAnsi="Times New Roman" w:eastAsia="宋体" w:cs="Times New Roman"/>
                <w:i w:val="0"/>
                <w:iCs w:val="0"/>
                <w:color w:val="000000"/>
                <w:kern w:val="0"/>
                <w:sz w:val="20"/>
                <w:szCs w:val="20"/>
                <w:u w:val="none"/>
                <w:lang w:val="en-US" w:eastAsia="zh-CN" w:bidi="ar"/>
              </w:rPr>
              <w:t xml:space="preserve"> 20 mg/day</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(EPZ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20) </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Cohort B:</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V</w:t>
            </w:r>
            <w:r>
              <w:rPr>
                <w:rFonts w:hint="eastAsia" w:ascii="Times New Roman" w:hAnsi="Times New Roman" w:eastAsia="宋体" w:cs="Times New Roman"/>
                <w:i w:val="0"/>
                <w:iCs w:val="0"/>
                <w:color w:val="000000"/>
                <w:kern w:val="0"/>
                <w:sz w:val="20"/>
                <w:szCs w:val="20"/>
                <w:u w:val="none"/>
                <w:lang w:val="en-US" w:eastAsia="zh-CN" w:bidi="ar"/>
              </w:rPr>
              <w:t xml:space="preserve">PZ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i w:val="0"/>
                <w:iCs w:val="0"/>
                <w:color w:val="000000"/>
                <w:kern w:val="0"/>
                <w:sz w:val="20"/>
                <w:szCs w:val="20"/>
                <w:u w:val="none"/>
                <w:lang w:val="en-US" w:eastAsia="zh-CN" w:bidi="ar"/>
              </w:rPr>
              <w:t>RPZ</w:t>
            </w:r>
            <w:r>
              <w:rPr>
                <w:rFonts w:hint="default" w:ascii="Times New Roman" w:hAnsi="Times New Roman" w:eastAsia="宋体" w:cs="Times New Roman"/>
                <w:i w:val="0"/>
                <w:iCs w:val="0"/>
                <w:color w:val="000000"/>
                <w:kern w:val="0"/>
                <w:sz w:val="20"/>
                <w:szCs w:val="20"/>
                <w:u w:val="none"/>
                <w:lang w:val="en-US" w:eastAsia="zh-CN" w:bidi="ar"/>
              </w:rPr>
              <w:t xml:space="preserve"> 20 mg/day</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(RPZ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20) </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Each cohort consists of 10 people</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Period 1 for 7 days, wash out at least 7 days, </w:t>
            </w:r>
            <w:r>
              <w:rPr>
                <w:rFonts w:hint="eastAsia" w:ascii="Times New Roman" w:hAnsi="Times New Roman" w:eastAsia="宋体" w:cs="Times New Roman"/>
                <w:i w:val="0"/>
                <w:iCs w:val="0"/>
                <w:color w:val="000000"/>
                <w:kern w:val="0"/>
                <w:sz w:val="20"/>
                <w:szCs w:val="20"/>
                <w:u w:val="none"/>
                <w:lang w:val="en-US" w:eastAsia="zh-CN" w:bidi="ar"/>
              </w:rPr>
              <w:t>and p</w:t>
            </w:r>
            <w:r>
              <w:rPr>
                <w:rFonts w:hint="default" w:ascii="Times New Roman" w:hAnsi="Times New Roman" w:eastAsia="宋体" w:cs="Times New Roman"/>
                <w:i w:val="0"/>
                <w:iCs w:val="0"/>
                <w:color w:val="000000"/>
                <w:kern w:val="0"/>
                <w:sz w:val="20"/>
                <w:szCs w:val="20"/>
                <w:u w:val="none"/>
                <w:lang w:val="en-US" w:eastAsia="zh-CN" w:bidi="ar"/>
              </w:rPr>
              <w:t>eriod 2 for 7 days</w:t>
            </w:r>
            <w:r>
              <w:rPr>
                <w:rFonts w:hint="eastAsia" w:ascii="Times New Roman" w:hAnsi="Times New Roman" w:eastAsia="宋体" w:cs="Times New Roman"/>
                <w:i w:val="0"/>
                <w:iCs w:val="0"/>
                <w:color w:val="000000"/>
                <w:kern w:val="0"/>
                <w:sz w:val="20"/>
                <w:szCs w:val="20"/>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Drugs were administered at time 0 (as a rule, 9:00 AM).</w:t>
            </w:r>
          </w:p>
        </w:tc>
        <w:tc>
          <w:tcPr>
            <w:tcW w:w="128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w:t>
            </w:r>
            <w:r>
              <w:rPr>
                <w:rStyle w:val="101"/>
                <w:rFonts w:hint="default" w:ascii="Times New Roman" w:hAnsi="Times New Roman" w:eastAsia="宋体" w:cs="Times New Roman"/>
                <w:sz w:val="20"/>
                <w:szCs w:val="20"/>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24 h pH≥4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EPZ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 85.8%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61.2%</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RPZ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 93.8%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65.1%</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12</w:t>
            </w:r>
            <w:r>
              <w:rPr>
                <w:rStyle w:val="101"/>
                <w:rFonts w:hint="default" w:ascii="Times New Roman" w:hAnsi="Times New Roman" w:eastAsia="宋体" w:cs="Times New Roman"/>
                <w:sz w:val="20"/>
                <w:szCs w:val="20"/>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24 h pH</w:t>
            </w:r>
            <w:r>
              <w:rPr>
                <w:rStyle w:val="100"/>
                <w:rFonts w:ascii="Times New Roman" w:hAnsi="Times New Roman" w:eastAsia="宋体" w:cs="Times New Roman"/>
                <w:sz w:val="20"/>
                <w:szCs w:val="20"/>
                <w:lang w:val="en-US" w:eastAsia="zh-CN" w:bidi="ar"/>
              </w:rPr>
              <w:t>≥</w:t>
            </w:r>
            <w:r>
              <w:rPr>
                <w:rStyle w:val="101"/>
                <w:rFonts w:eastAsia="宋体"/>
                <w:sz w:val="20"/>
                <w:szCs w:val="20"/>
                <w:lang w:val="en-US" w:eastAsia="zh-CN" w:bidi="ar"/>
              </w:rPr>
              <w:t>4</w:t>
            </w:r>
            <w:r>
              <w:rPr>
                <w:rFonts w:hint="default" w:ascii="Times New Roman" w:hAnsi="Times New Roman" w:eastAsia="宋体" w:cs="Times New Roman"/>
                <w:i w:val="0"/>
                <w:iCs w:val="0"/>
                <w:color w:val="000000"/>
                <w:kern w:val="0"/>
                <w:sz w:val="20"/>
                <w:szCs w:val="20"/>
                <w:u w:val="none"/>
                <w:lang w:val="en-US" w:eastAsia="zh-CN" w:bidi="ar"/>
              </w:rPr>
              <w:t xml:space="preserve">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EPZ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 75.2%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44.8%</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RPZ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 88.8%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54.1%</w:t>
            </w:r>
          </w:p>
        </w:tc>
      </w:tr>
      <w:tr>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CellMar>
            <w:top w:w="0" w:type="dxa"/>
            <w:left w:w="108" w:type="dxa"/>
            <w:bottom w:w="0" w:type="dxa"/>
            <w:right w:w="108" w:type="dxa"/>
          </w:tblCellMar>
        </w:tblPrEx>
        <w:trPr>
          <w:trHeight w:val="1800" w:hRule="atLeast"/>
        </w:trPr>
        <w:tc>
          <w:tcPr>
            <w:tcW w:w="39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Laine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2022</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NE.Ref.{081601B2-F90B-4F22-B243-CBEEFF6CEC55}</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[27]</w:t>
            </w:r>
            <w:r>
              <w:rPr>
                <w:rFonts w:hint="default" w:ascii="Times New Roman" w:hAnsi="Times New Roman" w:cs="Times New Roman" w:eastAsiaTheme="minorHAnsi"/>
                <w:sz w:val="22"/>
                <w:szCs w:val="22"/>
                <w:vertAlign w:val="baseline"/>
                <w:lang w:val="en-US" w:eastAsia="zh-CN" w:bidi="ar-SA"/>
              </w:rPr>
              <w:fldChar w:fldCharType="end"/>
            </w:r>
          </w:p>
        </w:tc>
        <w:tc>
          <w:tcPr>
            <w:tcW w:w="30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USA</w:t>
            </w:r>
          </w:p>
        </w:tc>
        <w:tc>
          <w:tcPr>
            <w:tcW w:w="77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R</w:t>
            </w:r>
            <w:r>
              <w:rPr>
                <w:rFonts w:hint="default" w:ascii="Times New Roman" w:hAnsi="Times New Roman" w:eastAsia="宋体" w:cs="Times New Roman"/>
                <w:i w:val="0"/>
                <w:iCs w:val="0"/>
                <w:color w:val="000000"/>
                <w:kern w:val="0"/>
                <w:sz w:val="20"/>
                <w:szCs w:val="20"/>
                <w:u w:val="none"/>
                <w:lang w:val="en-US" w:eastAsia="zh-CN" w:bidi="ar"/>
              </w:rPr>
              <w:t>andomi</w:t>
            </w:r>
            <w:r>
              <w:rPr>
                <w:rFonts w:hint="eastAsia" w:ascii="Times New Roman" w:hAnsi="Times New Roman" w:eastAsia="宋体" w:cs="Times New Roman"/>
                <w:i w:val="0"/>
                <w:iCs w:val="0"/>
                <w:color w:val="000000"/>
                <w:kern w:val="0"/>
                <w:sz w:val="20"/>
                <w:szCs w:val="20"/>
                <w:u w:val="none"/>
                <w:lang w:val="en-US" w:eastAsia="zh-CN" w:bidi="ar"/>
              </w:rPr>
              <w:t>z</w:t>
            </w:r>
            <w:r>
              <w:rPr>
                <w:rFonts w:hint="default" w:ascii="Times New Roman" w:hAnsi="Times New Roman" w:eastAsia="宋体" w:cs="Times New Roman"/>
                <w:i w:val="0"/>
                <w:iCs w:val="0"/>
                <w:color w:val="000000"/>
                <w:kern w:val="0"/>
                <w:sz w:val="20"/>
                <w:szCs w:val="20"/>
                <w:u w:val="none"/>
                <w:lang w:val="en-US" w:eastAsia="zh-CN" w:bidi="ar"/>
              </w:rPr>
              <w:t>ed, open-label, two-period, crossover study</w:t>
            </w:r>
          </w:p>
        </w:tc>
        <w:tc>
          <w:tcPr>
            <w:tcW w:w="33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Healthy adults</w:t>
            </w:r>
          </w:p>
        </w:tc>
        <w:tc>
          <w:tcPr>
            <w:tcW w:w="190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w:t>
            </w:r>
            <w:r>
              <w:rPr>
                <w:rFonts w:hint="eastAsia" w:ascii="Times New Roman" w:hAnsi="Times New Roman" w:eastAsia="宋体" w:cs="Times New Roman"/>
                <w:i w:val="0"/>
                <w:iCs w:val="0"/>
                <w:color w:val="000000"/>
                <w:kern w:val="0"/>
                <w:sz w:val="20"/>
                <w:szCs w:val="20"/>
                <w:u w:val="none"/>
                <w:lang w:val="en-US" w:eastAsia="zh-CN" w:bidi="ar"/>
              </w:rPr>
              <w:t>PZ</w:t>
            </w:r>
            <w:r>
              <w:rPr>
                <w:rFonts w:hint="default" w:ascii="Times New Roman" w:hAnsi="Times New Roman" w:eastAsia="宋体" w:cs="Times New Roman"/>
                <w:i w:val="0"/>
                <w:iCs w:val="0"/>
                <w:color w:val="000000"/>
                <w:kern w:val="0"/>
                <w:sz w:val="20"/>
                <w:szCs w:val="20"/>
                <w:u w:val="none"/>
                <w:lang w:val="en-US" w:eastAsia="zh-CN" w:bidi="ar"/>
              </w:rPr>
              <w:t xml:space="preserve"> 20 mg (VPZ20, 40 people)</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and </w:t>
            </w:r>
            <w:r>
              <w:rPr>
                <w:rFonts w:hint="eastAsia" w:ascii="Times New Roman" w:hAnsi="Times New Roman" w:eastAsia="宋体" w:cs="Times New Roman"/>
                <w:i w:val="0"/>
                <w:iCs w:val="0"/>
                <w:color w:val="000000"/>
                <w:kern w:val="0"/>
                <w:sz w:val="20"/>
                <w:szCs w:val="20"/>
                <w:u w:val="none"/>
                <w:lang w:val="en-US" w:eastAsia="zh-CN" w:bidi="ar"/>
              </w:rPr>
              <w:t>LPZ</w:t>
            </w:r>
            <w:r>
              <w:rPr>
                <w:rFonts w:hint="default" w:ascii="Times New Roman" w:hAnsi="Times New Roman" w:eastAsia="宋体" w:cs="Times New Roman"/>
                <w:i w:val="0"/>
                <w:iCs w:val="0"/>
                <w:color w:val="000000"/>
                <w:kern w:val="0"/>
                <w:sz w:val="20"/>
                <w:szCs w:val="20"/>
                <w:u w:val="none"/>
                <w:lang w:val="en-US" w:eastAsia="zh-CN" w:bidi="ar"/>
              </w:rPr>
              <w:t xml:space="preserve"> 30 mg (LPZ30, 41 people) were administered orally once daily for a 7-day period, separated by a washout interval of ≥7 days.</w:t>
            </w:r>
          </w:p>
        </w:tc>
        <w:tc>
          <w:tcPr>
            <w:tcW w:w="128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24 h pH≥4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LPZ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30 = 87.8%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42.3%</w:t>
            </w:r>
          </w:p>
        </w:tc>
      </w:tr>
      <w:tr>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CellMar>
            <w:top w:w="0" w:type="dxa"/>
            <w:left w:w="108" w:type="dxa"/>
            <w:bottom w:w="0" w:type="dxa"/>
            <w:right w:w="108" w:type="dxa"/>
          </w:tblCellMar>
        </w:tblPrEx>
        <w:trPr>
          <w:trHeight w:val="2100" w:hRule="atLeast"/>
        </w:trPr>
        <w:tc>
          <w:tcPr>
            <w:tcW w:w="39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Yang et </w:t>
            </w:r>
            <w:r>
              <w:rPr>
                <w:rFonts w:hint="eastAsia" w:ascii="Times New Roman" w:hAnsi="Times New Roman" w:eastAsia="宋体" w:cs="Times New Roman"/>
                <w:i w:val="0"/>
                <w:iCs w:val="0"/>
                <w:color w:val="000000"/>
                <w:kern w:val="0"/>
                <w:sz w:val="20"/>
                <w:szCs w:val="20"/>
                <w:u w:val="none"/>
                <w:lang w:val="en-US" w:eastAsia="zh-CN" w:bidi="ar"/>
              </w:rPr>
              <w:t>a</w:t>
            </w:r>
            <w:r>
              <w:rPr>
                <w:rFonts w:hint="default" w:ascii="Times New Roman" w:hAnsi="Times New Roman" w:eastAsia="宋体" w:cs="Times New Roman"/>
                <w:i w:val="0"/>
                <w:iCs w:val="0"/>
                <w:color w:val="000000"/>
                <w:kern w:val="0"/>
                <w:sz w:val="20"/>
                <w:szCs w:val="20"/>
                <w:u w:val="none"/>
                <w:lang w:val="en-US" w:eastAsia="zh-CN" w:bidi="ar"/>
              </w:rPr>
              <w:t>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2022</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NE.Ref.{6F32D877-4803-4D39-915E-AF2A9F215D10}</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[28]</w:t>
            </w:r>
            <w:r>
              <w:rPr>
                <w:rFonts w:hint="default" w:ascii="Times New Roman" w:hAnsi="Times New Roman" w:cs="Times New Roman" w:eastAsiaTheme="minorHAnsi"/>
                <w:sz w:val="22"/>
                <w:szCs w:val="22"/>
                <w:vertAlign w:val="baseline"/>
                <w:lang w:val="en-US" w:eastAsia="zh-CN" w:bidi="ar-SA"/>
              </w:rPr>
              <w:fldChar w:fldCharType="end"/>
            </w:r>
          </w:p>
        </w:tc>
        <w:tc>
          <w:tcPr>
            <w:tcW w:w="30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Korea</w:t>
            </w:r>
          </w:p>
        </w:tc>
        <w:tc>
          <w:tcPr>
            <w:tcW w:w="77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R</w:t>
            </w:r>
            <w:r>
              <w:rPr>
                <w:rFonts w:hint="default" w:ascii="Times New Roman" w:hAnsi="Times New Roman" w:eastAsia="宋体" w:cs="Times New Roman"/>
                <w:i w:val="0"/>
                <w:iCs w:val="0"/>
                <w:color w:val="000000"/>
                <w:kern w:val="0"/>
                <w:sz w:val="20"/>
                <w:szCs w:val="20"/>
                <w:u w:val="none"/>
                <w:lang w:val="en-US" w:eastAsia="zh-CN" w:bidi="ar"/>
              </w:rPr>
              <w:t>andomized, open-label, single-dose, 3-treatment, 3-period, 6-sequence crossover design</w:t>
            </w:r>
          </w:p>
        </w:tc>
        <w:tc>
          <w:tcPr>
            <w:tcW w:w="33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Healthy adults</w:t>
            </w:r>
          </w:p>
        </w:tc>
        <w:tc>
          <w:tcPr>
            <w:tcW w:w="190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w:t>
            </w:r>
            <w:r>
              <w:rPr>
                <w:rFonts w:hint="eastAsia" w:ascii="Times New Roman" w:hAnsi="Times New Roman" w:eastAsia="宋体" w:cs="Times New Roman"/>
                <w:i w:val="0"/>
                <w:iCs w:val="0"/>
                <w:color w:val="000000"/>
                <w:kern w:val="0"/>
                <w:sz w:val="20"/>
                <w:szCs w:val="20"/>
                <w:u w:val="none"/>
                <w:lang w:val="en-US" w:eastAsia="zh-CN" w:bidi="ar"/>
              </w:rPr>
              <w:t>PZ</w:t>
            </w:r>
            <w:r>
              <w:rPr>
                <w:rFonts w:hint="default" w:ascii="Times New Roman" w:hAnsi="Times New Roman" w:eastAsia="宋体" w:cs="Times New Roman"/>
                <w:i w:val="0"/>
                <w:iCs w:val="0"/>
                <w:color w:val="000000"/>
                <w:kern w:val="0"/>
                <w:sz w:val="20"/>
                <w:szCs w:val="20"/>
                <w:u w:val="none"/>
                <w:lang w:val="en-US" w:eastAsia="zh-CN" w:bidi="ar"/>
              </w:rPr>
              <w:t xml:space="preserve"> 50 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(TPZ50), V</w:t>
            </w:r>
            <w:r>
              <w:rPr>
                <w:rFonts w:hint="eastAsia" w:ascii="Times New Roman" w:hAnsi="Times New Roman" w:eastAsia="宋体" w:cs="Times New Roman"/>
                <w:i w:val="0"/>
                <w:iCs w:val="0"/>
                <w:color w:val="000000"/>
                <w:kern w:val="0"/>
                <w:sz w:val="20"/>
                <w:szCs w:val="20"/>
                <w:u w:val="none"/>
                <w:lang w:val="en-US" w:eastAsia="zh-CN" w:bidi="ar"/>
              </w:rPr>
              <w:t>PZ</w:t>
            </w:r>
            <w:r>
              <w:rPr>
                <w:rFonts w:hint="default" w:ascii="Times New Roman" w:hAnsi="Times New Roman" w:eastAsia="宋体" w:cs="Times New Roman"/>
                <w:i w:val="0"/>
                <w:iCs w:val="0"/>
                <w:color w:val="000000"/>
                <w:kern w:val="0"/>
                <w:sz w:val="20"/>
                <w:szCs w:val="20"/>
                <w:u w:val="none"/>
                <w:lang w:val="en-US" w:eastAsia="zh-CN" w:bidi="ar"/>
              </w:rPr>
              <w:t xml:space="preserve"> 20 mg (VPZ20)</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and </w:t>
            </w:r>
            <w:r>
              <w:rPr>
                <w:rFonts w:hint="eastAsia" w:ascii="Times New Roman" w:hAnsi="Times New Roman" w:eastAsia="宋体" w:cs="Times New Roman"/>
                <w:i w:val="0"/>
                <w:iCs w:val="0"/>
                <w:color w:val="000000"/>
                <w:kern w:val="0"/>
                <w:sz w:val="20"/>
                <w:szCs w:val="20"/>
                <w:u w:val="none"/>
                <w:lang w:val="en-US" w:eastAsia="zh-CN" w:bidi="ar"/>
              </w:rPr>
              <w:t>EPZ</w:t>
            </w:r>
            <w:r>
              <w:rPr>
                <w:rFonts w:hint="default" w:ascii="Times New Roman" w:hAnsi="Times New Roman" w:eastAsia="宋体" w:cs="Times New Roman"/>
                <w:i w:val="0"/>
                <w:iCs w:val="0"/>
                <w:color w:val="000000"/>
                <w:kern w:val="0"/>
                <w:sz w:val="20"/>
                <w:szCs w:val="20"/>
                <w:u w:val="none"/>
                <w:lang w:val="en-US" w:eastAsia="zh-CN" w:bidi="ar"/>
              </w:rPr>
              <w:t xml:space="preserve"> 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(EPZ40) were administered orally once daily for a 7-day period, separated by a washout interval of ≥7 days</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Each group consists of 10 people.</w:t>
            </w:r>
          </w:p>
        </w:tc>
        <w:tc>
          <w:tcPr>
            <w:tcW w:w="128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Nocturnal pH≥4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50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20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EPZ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40 = 66.0%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60.5% vs</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36.1%</w:t>
            </w:r>
          </w:p>
        </w:tc>
      </w:tr>
      <w:tr>
        <w:tblPrEx>
          <w:tblBorders>
            <w:top w:val="single" w:color="000000" w:sz="4" w:space="0"/>
            <w:left w:val="none" w:color="auto" w:sz="0" w:space="0"/>
            <w:bottom w:val="single" w:color="000000" w:sz="4" w:space="0"/>
            <w:right w:val="none" w:color="auto" w:sz="0" w:space="0"/>
            <w:insideH w:val="single" w:color="000000" w:sz="4" w:space="0"/>
            <w:insideV w:val="none" w:color="auto" w:sz="0" w:space="0"/>
          </w:tblBorders>
          <w:shd w:val="clear" w:color="auto" w:fill="auto"/>
          <w:tblCellMar>
            <w:top w:w="0" w:type="dxa"/>
            <w:left w:w="108" w:type="dxa"/>
            <w:bottom w:w="0" w:type="dxa"/>
            <w:right w:w="108" w:type="dxa"/>
          </w:tblCellMar>
        </w:tblPrEx>
        <w:trPr>
          <w:trHeight w:val="2700" w:hRule="atLeast"/>
        </w:trPr>
        <w:tc>
          <w:tcPr>
            <w:tcW w:w="39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Han et al</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2022</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NE.Ref.{3AF8176D-A63E-4751-9D3F-520C5D6AB479}</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[29]</w:t>
            </w:r>
            <w:r>
              <w:rPr>
                <w:rFonts w:hint="default" w:ascii="Times New Roman" w:hAnsi="Times New Roman" w:cs="Times New Roman" w:eastAsiaTheme="minorHAnsi"/>
                <w:sz w:val="22"/>
                <w:szCs w:val="22"/>
                <w:vertAlign w:val="baseline"/>
                <w:lang w:val="en-US" w:eastAsia="zh-CN" w:bidi="ar-SA"/>
              </w:rPr>
              <w:fldChar w:fldCharType="end"/>
            </w:r>
          </w:p>
        </w:tc>
        <w:tc>
          <w:tcPr>
            <w:tcW w:w="30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Korea</w:t>
            </w:r>
          </w:p>
        </w:tc>
        <w:tc>
          <w:tcPr>
            <w:tcW w:w="77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R</w:t>
            </w:r>
            <w:r>
              <w:rPr>
                <w:rFonts w:hint="default" w:ascii="Times New Roman" w:hAnsi="Times New Roman" w:eastAsia="宋体" w:cs="Times New Roman"/>
                <w:i w:val="0"/>
                <w:iCs w:val="0"/>
                <w:color w:val="000000"/>
                <w:kern w:val="0"/>
                <w:sz w:val="20"/>
                <w:szCs w:val="20"/>
                <w:u w:val="none"/>
                <w:lang w:val="en-US" w:eastAsia="zh-CN" w:bidi="ar"/>
              </w:rPr>
              <w:t>andomized, open-label, single-dose, balanced incomplete block crossover study</w:t>
            </w:r>
          </w:p>
        </w:tc>
        <w:tc>
          <w:tcPr>
            <w:tcW w:w="33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Healthy adults</w:t>
            </w:r>
          </w:p>
        </w:tc>
        <w:tc>
          <w:tcPr>
            <w:tcW w:w="190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The 24 subjects were assigned to receive </w:t>
            </w:r>
            <w:r>
              <w:rPr>
                <w:rFonts w:hint="eastAsia" w:ascii="Times New Roman" w:hAnsi="Times New Roman" w:eastAsia="宋体" w:cs="Times New Roman"/>
                <w:i w:val="0"/>
                <w:iCs w:val="0"/>
                <w:color w:val="000000"/>
                <w:kern w:val="0"/>
                <w:sz w:val="20"/>
                <w:szCs w:val="20"/>
                <w:u w:val="none"/>
                <w:lang w:val="en-US" w:eastAsia="zh-CN" w:bidi="ar"/>
              </w:rPr>
              <w:t>DPZ</w:t>
            </w:r>
            <w:r>
              <w:rPr>
                <w:rFonts w:hint="default" w:ascii="Times New Roman" w:hAnsi="Times New Roman" w:eastAsia="宋体" w:cs="Times New Roman"/>
                <w:i w:val="0"/>
                <w:iCs w:val="0"/>
                <w:color w:val="000000"/>
                <w:kern w:val="0"/>
                <w:sz w:val="20"/>
                <w:szCs w:val="20"/>
                <w:u w:val="none"/>
                <w:lang w:val="en-US" w:eastAsia="zh-CN" w:bidi="ar"/>
              </w:rPr>
              <w:t xml:space="preserve"> 60 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 xml:space="preserve">(DPZ60) or </w:t>
            </w:r>
            <w:r>
              <w:rPr>
                <w:rFonts w:hint="eastAsia" w:ascii="Times New Roman" w:hAnsi="Times New Roman" w:eastAsia="宋体" w:cs="Times New Roman"/>
                <w:i w:val="0"/>
                <w:iCs w:val="0"/>
                <w:color w:val="000000"/>
                <w:kern w:val="0"/>
                <w:sz w:val="20"/>
                <w:szCs w:val="20"/>
                <w:u w:val="none"/>
                <w:lang w:val="en-US" w:eastAsia="zh-CN" w:bidi="ar"/>
              </w:rPr>
              <w:t>TPZ</w:t>
            </w:r>
            <w:r>
              <w:rPr>
                <w:rFonts w:hint="default" w:ascii="Times New Roman" w:hAnsi="Times New Roman" w:eastAsia="宋体" w:cs="Times New Roman"/>
                <w:i w:val="0"/>
                <w:iCs w:val="0"/>
                <w:color w:val="000000"/>
                <w:kern w:val="0"/>
                <w:sz w:val="20"/>
                <w:szCs w:val="20"/>
                <w:u w:val="none"/>
                <w:lang w:val="en-US" w:eastAsia="zh-CN" w:bidi="ar"/>
              </w:rPr>
              <w:t xml:space="preserve"> 50, 100, or 200 mg (TPZ50, 100, 200)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orally during each of two administration periods, separated by a washout interval of 7 to 10 days.</w:t>
            </w:r>
          </w:p>
        </w:tc>
        <w:tc>
          <w:tcPr>
            <w:tcW w:w="128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w:t>
            </w:r>
            <w:r>
              <w:rPr>
                <w:rStyle w:val="101"/>
                <w:rFonts w:hint="default" w:ascii="Times New Roman" w:hAnsi="Times New Roman" w:eastAsia="宋体" w:cs="Times New Roman"/>
                <w:sz w:val="20"/>
                <w:szCs w:val="20"/>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24 h pH≥4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50, 100, 200 = 58.55%, 70.07%, 81.73%</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DPZ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60 = 60.55%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Nocturnal pH≥4 HTRs:</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50, 100, 200 = 65.11%, 65.61%, 78.15%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DPZ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60 = 37.78%</w:t>
            </w:r>
          </w:p>
        </w:tc>
      </w:tr>
    </w:tbl>
    <w:p>
      <w:pPr>
        <w:keepNext w:val="0"/>
        <w:keepLines w:val="0"/>
        <w:pageBreakBefore w:val="0"/>
        <w:widowControl/>
        <w:kinsoku/>
        <w:wordWrap/>
        <w:overflowPunct/>
        <w:topLinePunct w:val="0"/>
        <w:autoSpaceDE/>
        <w:autoSpaceDN/>
        <w:bidi w:val="0"/>
        <w:adjustRightInd/>
        <w:snapToGrid/>
        <w:spacing w:before="0" w:after="0" w:line="360" w:lineRule="auto"/>
        <w:textAlignment w:val="auto"/>
        <w:rPr>
          <w:rStyle w:val="101"/>
          <w:rFonts w:hint="eastAsia" w:eastAsia="宋体"/>
          <w:lang w:val="en-US" w:eastAsia="zh-CN" w:bidi="ar"/>
        </w:rPr>
      </w:pPr>
      <w:r>
        <w:rPr>
          <w:rFonts w:ascii="Times New Roman" w:hAnsi="Times New Roman" w:cs="Times New Roman"/>
          <w:sz w:val="20"/>
          <w:szCs w:val="20"/>
          <w:lang w:val="en-GB"/>
        </w:rPr>
        <w:t>Notes:</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sz w:val="20"/>
          <w:szCs w:val="20"/>
          <w:lang w:val="en-US" w:eastAsia="zh-CN"/>
        </w:rPr>
        <w:t>vonoprazan; RPZ, r</w:t>
      </w:r>
      <w:r>
        <w:rPr>
          <w:rFonts w:hint="default" w:ascii="Times New Roman" w:hAnsi="Times New Roman" w:eastAsia="宋体" w:cs="Times New Roman"/>
          <w:i w:val="0"/>
          <w:iCs w:val="0"/>
          <w:color w:val="000000"/>
          <w:kern w:val="0"/>
          <w:sz w:val="20"/>
          <w:szCs w:val="20"/>
          <w:u w:val="none"/>
          <w:lang w:val="en-US" w:eastAsia="zh-CN" w:bidi="ar"/>
        </w:rPr>
        <w:t>abeprazole</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LPZ</w:t>
      </w:r>
      <w:r>
        <w:rPr>
          <w:rFonts w:hint="eastAsia" w:ascii="Times New Roman" w:hAnsi="Times New Roman" w:eastAsia="宋体" w:cs="Times New Roman"/>
          <w:i w:val="0"/>
          <w:iCs w:val="0"/>
          <w:color w:val="000000"/>
          <w:kern w:val="0"/>
          <w:sz w:val="20"/>
          <w:szCs w:val="20"/>
          <w:u w:val="none"/>
          <w:lang w:val="en-US" w:eastAsia="zh-CN" w:bidi="ar"/>
        </w:rPr>
        <w:t xml:space="preserve">, lansoprazole; </w:t>
      </w: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sz w:val="20"/>
          <w:szCs w:val="20"/>
          <w:lang w:val="en-US" w:eastAsia="zh-CN"/>
        </w:rPr>
        <w:t xml:space="preserve">tegoprazan; </w:t>
      </w:r>
      <w:r>
        <w:rPr>
          <w:rFonts w:hint="default" w:ascii="Times New Roman" w:hAnsi="Times New Roman" w:eastAsia="宋体" w:cs="Times New Roman"/>
          <w:i w:val="0"/>
          <w:iCs w:val="0"/>
          <w:color w:val="000000"/>
          <w:kern w:val="0"/>
          <w:sz w:val="20"/>
          <w:szCs w:val="20"/>
          <w:u w:val="none"/>
          <w:lang w:val="en-US" w:eastAsia="zh-CN" w:bidi="ar"/>
        </w:rPr>
        <w:t>EPZ</w:t>
      </w:r>
      <w:r>
        <w:rPr>
          <w:rFonts w:hint="eastAsia" w:ascii="Times New Roman" w:hAnsi="Times New Roman" w:eastAsia="宋体" w:cs="Times New Roman"/>
          <w:i w:val="0"/>
          <w:iCs w:val="0"/>
          <w:color w:val="000000"/>
          <w:kern w:val="0"/>
          <w:sz w:val="20"/>
          <w:szCs w:val="20"/>
          <w:u w:val="none"/>
          <w:lang w:val="en-US" w:eastAsia="zh-CN" w:bidi="ar"/>
        </w:rPr>
        <w:t xml:space="preserve">, esomeprazole; </w:t>
      </w:r>
      <w:r>
        <w:rPr>
          <w:rFonts w:hint="default" w:ascii="Times New Roman" w:hAnsi="Times New Roman" w:eastAsia="宋体" w:cs="Times New Roman"/>
          <w:i w:val="0"/>
          <w:iCs w:val="0"/>
          <w:color w:val="000000"/>
          <w:kern w:val="0"/>
          <w:sz w:val="22"/>
          <w:szCs w:val="22"/>
          <w:u w:val="none"/>
          <w:lang w:val="en-US" w:eastAsia="zh-CN" w:bidi="ar"/>
        </w:rPr>
        <w:t>DPZ</w:t>
      </w:r>
      <w:r>
        <w:rPr>
          <w:rFonts w:hint="eastAsia" w:ascii="Times New Roman" w:hAnsi="Times New Roman" w:eastAsia="宋体" w:cs="Times New Roman"/>
          <w:i w:val="0"/>
          <w:iCs w:val="0"/>
          <w:color w:val="000000"/>
          <w:kern w:val="0"/>
          <w:sz w:val="22"/>
          <w:szCs w:val="22"/>
          <w:u w:val="none"/>
          <w:lang w:val="en-US" w:eastAsia="zh-CN" w:bidi="ar"/>
        </w:rPr>
        <w:t xml:space="preserve">, </w:t>
      </w:r>
      <w:r>
        <w:rPr>
          <w:rFonts w:hint="default" w:ascii="Times New Roman" w:hAnsi="Times New Roman" w:eastAsia="宋体" w:cs="Times New Roman"/>
          <w:i w:val="0"/>
          <w:iCs w:val="0"/>
          <w:color w:val="000000"/>
          <w:kern w:val="0"/>
          <w:sz w:val="22"/>
          <w:szCs w:val="22"/>
          <w:u w:val="none"/>
          <w:lang w:val="en-US" w:eastAsia="zh-CN" w:bidi="ar"/>
        </w:rPr>
        <w:t>dexlansoprazole</w:t>
      </w:r>
      <w:r>
        <w:rPr>
          <w:rFonts w:hint="eastAsia" w:ascii="Times New Roman" w:hAnsi="Times New Roman" w:eastAsia="宋体" w:cs="Times New Roman"/>
          <w:i w:val="0"/>
          <w:iCs w:val="0"/>
          <w:color w:val="000000"/>
          <w:kern w:val="0"/>
          <w:sz w:val="22"/>
          <w:szCs w:val="22"/>
          <w:u w:val="none"/>
          <w:lang w:val="en-US" w:eastAsia="zh-CN" w:bidi="ar"/>
        </w:rPr>
        <w:t xml:space="preserve">; </w:t>
      </w:r>
      <w:r>
        <w:rPr>
          <w:rFonts w:hint="default" w:ascii="Times New Roman" w:hAnsi="Times New Roman" w:eastAsia="宋体" w:cs="Times New Roman"/>
          <w:i w:val="0"/>
          <w:iCs w:val="0"/>
          <w:color w:val="000000"/>
          <w:kern w:val="0"/>
          <w:sz w:val="22"/>
          <w:szCs w:val="22"/>
          <w:u w:val="none"/>
          <w:lang w:val="en-US" w:eastAsia="zh-CN" w:bidi="ar"/>
        </w:rPr>
        <w:t>pH</w:t>
      </w:r>
      <w:r>
        <w:rPr>
          <w:rStyle w:val="100"/>
          <w:rFonts w:ascii="Times New Roman" w:hAnsi="Times New Roman" w:eastAsia="宋体" w:cs="Times New Roman"/>
          <w:lang w:val="en-US" w:eastAsia="zh-CN" w:bidi="ar"/>
        </w:rPr>
        <w:t>≥</w:t>
      </w:r>
      <w:r>
        <w:rPr>
          <w:rStyle w:val="101"/>
          <w:rFonts w:eastAsia="宋体"/>
          <w:lang w:val="en-US" w:eastAsia="zh-CN" w:bidi="ar"/>
        </w:rPr>
        <w:t>4 HTR</w:t>
      </w:r>
      <w:r>
        <w:rPr>
          <w:rStyle w:val="101"/>
          <w:rFonts w:hint="eastAsia" w:eastAsia="宋体"/>
          <w:lang w:val="en-US" w:eastAsia="zh-CN" w:bidi="ar"/>
        </w:rPr>
        <w:t>, pH</w:t>
      </w:r>
      <w:r>
        <w:rPr>
          <w:rStyle w:val="101"/>
          <w:rFonts w:hint="default" w:eastAsia="宋体"/>
          <w:lang w:val="en-US" w:eastAsia="zh-CN" w:bidi="ar"/>
        </w:rPr>
        <w:t>≥</w:t>
      </w:r>
      <w:r>
        <w:rPr>
          <w:rStyle w:val="101"/>
          <w:rFonts w:hint="eastAsia" w:eastAsia="宋体"/>
          <w:lang w:val="en-US" w:eastAsia="zh-CN" w:bidi="ar"/>
        </w:rPr>
        <w:t>4 holding time ratio.</w:t>
      </w:r>
      <w:bookmarkStart w:id="104" w:name="_Toc13476"/>
    </w:p>
    <w:p>
      <w:pPr>
        <w:keepNext w:val="0"/>
        <w:keepLines w:val="0"/>
        <w:pageBreakBefore w:val="0"/>
        <w:widowControl/>
        <w:kinsoku/>
        <w:wordWrap/>
        <w:overflowPunct/>
        <w:topLinePunct w:val="0"/>
        <w:autoSpaceDE/>
        <w:autoSpaceDN/>
        <w:bidi w:val="0"/>
        <w:adjustRightInd/>
        <w:snapToGrid/>
        <w:spacing w:before="0" w:after="0" w:line="360" w:lineRule="auto"/>
        <w:textAlignment w:val="auto"/>
        <w:rPr>
          <w:rStyle w:val="101"/>
          <w:rFonts w:hint="eastAsia" w:eastAsia="宋体"/>
          <w:lang w:val="en-US" w:eastAsia="zh-CN" w:bidi="ar"/>
        </w:rPr>
      </w:pPr>
    </w:p>
    <w:p>
      <w:pPr>
        <w:keepNext w:val="0"/>
        <w:keepLines w:val="0"/>
        <w:pageBreakBefore w:val="0"/>
        <w:widowControl/>
        <w:kinsoku/>
        <w:wordWrap/>
        <w:overflowPunct/>
        <w:topLinePunct w:val="0"/>
        <w:autoSpaceDE/>
        <w:autoSpaceDN/>
        <w:bidi w:val="0"/>
        <w:adjustRightInd/>
        <w:snapToGrid/>
        <w:spacing w:before="0" w:after="0" w:line="360" w:lineRule="auto"/>
        <w:textAlignment w:val="auto"/>
        <w:rPr>
          <w:rFonts w:ascii="Times New Roman" w:hAnsi="Times New Roman" w:cs="Times New Roman"/>
          <w:b/>
          <w:bCs/>
          <w:smallCaps w:val="0"/>
          <w:color w:val="auto"/>
          <w:sz w:val="24"/>
          <w:szCs w:val="24"/>
          <w:lang w:val="en-GB"/>
        </w:rPr>
      </w:pPr>
      <w:r>
        <w:rPr>
          <w:rFonts w:hint="eastAsia" w:ascii="Times New Roman" w:hAnsi="Times New Roman" w:eastAsia="宋体" w:cs="Times New Roman"/>
          <w:b/>
          <w:bCs/>
          <w:smallCaps w:val="0"/>
          <w:color w:val="auto"/>
          <w:sz w:val="28"/>
          <w:szCs w:val="56"/>
          <w:lang w:val="en-US" w:eastAsia="zh-CN"/>
        </w:rPr>
        <w:t xml:space="preserve">2.2 </w:t>
      </w:r>
      <w:r>
        <w:rPr>
          <w:rFonts w:hint="eastAsia" w:ascii="Times New Roman" w:hAnsi="Times New Roman" w:cs="Times New Roman"/>
          <w:b/>
          <w:bCs/>
          <w:smallCaps w:val="0"/>
          <w:color w:val="auto"/>
          <w:sz w:val="28"/>
          <w:szCs w:val="56"/>
          <w:lang w:val="en-GB"/>
        </w:rPr>
        <w:t>Comparative safety</w:t>
      </w:r>
      <w:bookmarkEnd w:id="104"/>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VPZ vs. PPIs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default" w:eastAsia="宋体"/>
          <w:lang w:val="en-US" w:eastAsia="zh-CN" w:bidi="ar"/>
        </w:rPr>
      </w:pPr>
      <w:r>
        <w:rPr>
          <w:rStyle w:val="101"/>
          <w:rFonts w:hint="default" w:eastAsia="宋体"/>
          <w:lang w:val="en-US" w:eastAsia="zh-CN" w:bidi="ar"/>
        </w:rPr>
        <w:t xml:space="preserve">A large number of systematic reviews have reported safety outcomes for </w:t>
      </w:r>
      <w:r>
        <w:rPr>
          <w:rStyle w:val="101"/>
          <w:rFonts w:hint="eastAsia" w:eastAsia="宋体"/>
          <w:lang w:val="en-US" w:eastAsia="zh-CN" w:bidi="ar"/>
        </w:rPr>
        <w:t>VPZ</w:t>
      </w:r>
      <w:r>
        <w:rPr>
          <w:rStyle w:val="101"/>
          <w:rFonts w:hint="default" w:eastAsia="宋体"/>
          <w:lang w:val="en-US" w:eastAsia="zh-CN" w:bidi="ar"/>
        </w:rPr>
        <w:t xml:space="preserve"> </w:t>
      </w:r>
      <w:r>
        <w:rPr>
          <w:rStyle w:val="101"/>
          <w:rFonts w:hint="eastAsia" w:eastAsia="宋体"/>
          <w:lang w:val="en-US" w:eastAsia="zh-CN" w:bidi="ar"/>
        </w:rPr>
        <w:t>vs.</w:t>
      </w:r>
      <w:r>
        <w:rPr>
          <w:rStyle w:val="101"/>
          <w:rFonts w:hint="default" w:eastAsia="宋体"/>
          <w:lang w:val="en-US" w:eastAsia="zh-CN" w:bidi="ar"/>
        </w:rPr>
        <w:t xml:space="preserve"> PPI</w:t>
      </w:r>
      <w:r>
        <w:rPr>
          <w:rStyle w:val="101"/>
          <w:rFonts w:hint="eastAsia" w:eastAsia="宋体"/>
          <w:lang w:val="en-US" w:eastAsia="zh-CN" w:bidi="ar"/>
        </w:rPr>
        <w:t>s</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NE.Ref.{CAC357BB-EEB2-41CE-91B3-8B04EA18567E}</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[30-32]</w:t>
      </w:r>
      <w:r>
        <w:rPr>
          <w:rFonts w:hint="default" w:ascii="Times New Roman" w:hAnsi="Times New Roman" w:cs="Times New Roman"/>
          <w:vertAlign w:val="baseline"/>
          <w:lang w:val="en-US" w:eastAsia="zh-CN"/>
        </w:rPr>
        <w:fldChar w:fldCharType="end"/>
      </w:r>
      <w:r>
        <w:rPr>
          <w:rFonts w:hint="eastAsia" w:ascii="Times New Roman" w:hAnsi="Times New Roman" w:cs="Times New Roman"/>
          <w:vertAlign w:val="baseline"/>
          <w:lang w:val="en-US"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default" w:eastAsia="宋体"/>
          <w:lang w:val="en-US" w:eastAsia="zh-CN" w:bidi="ar"/>
        </w:rPr>
      </w:pPr>
      <w:r>
        <w:rPr>
          <w:rStyle w:val="101"/>
          <w:rFonts w:hint="default" w:eastAsia="宋体"/>
          <w:lang w:val="en-US" w:eastAsia="zh-CN" w:bidi="ar"/>
        </w:rPr>
        <w:t xml:space="preserve">The pooled incidences of any AEs, drug-related AEs, serious AEs, and AEs leading to drug discontinuation were 20%, 7%, 1%, and 1%, respectively. </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default" w:eastAsia="宋体"/>
          <w:lang w:val="en-US" w:eastAsia="zh-CN" w:bidi="ar"/>
        </w:rPr>
      </w:pPr>
      <w:r>
        <w:rPr>
          <w:rStyle w:val="101"/>
          <w:rFonts w:hint="default" w:eastAsia="宋体"/>
          <w:lang w:val="en-US" w:eastAsia="zh-CN" w:bidi="ar"/>
        </w:rPr>
        <w:t xml:space="preserve">The incidences of any AEs (OR = 0.96, </w:t>
      </w:r>
      <w:r>
        <w:rPr>
          <w:rStyle w:val="101"/>
          <w:rFonts w:hint="default" w:eastAsia="宋体"/>
          <w:i/>
          <w:iCs/>
          <w:lang w:val="en-US" w:eastAsia="zh-CN" w:bidi="ar"/>
        </w:rPr>
        <w:t>p</w:t>
      </w:r>
      <w:r>
        <w:rPr>
          <w:rStyle w:val="101"/>
          <w:rFonts w:hint="default" w:eastAsia="宋体"/>
          <w:lang w:val="en-US" w:eastAsia="zh-CN" w:bidi="ar"/>
        </w:rPr>
        <w:t xml:space="preserve"> = 0.66), drug-related AEs (OR = 1.10, </w:t>
      </w:r>
      <w:r>
        <w:rPr>
          <w:rStyle w:val="101"/>
          <w:rFonts w:hint="default" w:eastAsia="宋体"/>
          <w:i/>
          <w:iCs/>
          <w:lang w:val="en-US" w:eastAsia="zh-CN" w:bidi="ar"/>
        </w:rPr>
        <w:t>p</w:t>
      </w:r>
      <w:r>
        <w:rPr>
          <w:rStyle w:val="101"/>
          <w:rFonts w:hint="default" w:eastAsia="宋体"/>
          <w:lang w:val="en-US" w:eastAsia="zh-CN" w:bidi="ar"/>
        </w:rPr>
        <w:t xml:space="preserve"> = 0.44), serious AEs (OR = 1.14, </w:t>
      </w:r>
      <w:r>
        <w:rPr>
          <w:rStyle w:val="101"/>
          <w:rFonts w:hint="default" w:eastAsia="宋体"/>
          <w:i/>
          <w:iCs/>
          <w:lang w:val="en-US" w:eastAsia="zh-CN" w:bidi="ar"/>
        </w:rPr>
        <w:t>p</w:t>
      </w:r>
      <w:r>
        <w:rPr>
          <w:rStyle w:val="101"/>
          <w:rFonts w:hint="default" w:eastAsia="宋体"/>
          <w:lang w:val="en-US" w:eastAsia="zh-CN" w:bidi="ar"/>
        </w:rPr>
        <w:t xml:space="preserve"> = 0.36), and AEs leading to drug discontinuation (OR = 1.09, </w:t>
      </w:r>
      <w:r>
        <w:rPr>
          <w:rStyle w:val="101"/>
          <w:rFonts w:hint="default" w:eastAsia="宋体"/>
          <w:i/>
          <w:iCs/>
          <w:lang w:val="en-US" w:eastAsia="zh-CN" w:bidi="ar"/>
        </w:rPr>
        <w:t>p</w:t>
      </w:r>
      <w:r>
        <w:rPr>
          <w:rStyle w:val="101"/>
          <w:rFonts w:hint="default" w:eastAsia="宋体"/>
          <w:lang w:val="en-US" w:eastAsia="zh-CN" w:bidi="ar"/>
        </w:rPr>
        <w:t xml:space="preserve"> = 0.55) were not significantly different between patients taking </w:t>
      </w:r>
      <w:r>
        <w:rPr>
          <w:rStyle w:val="101"/>
          <w:rFonts w:hint="eastAsia" w:eastAsia="宋体"/>
          <w:lang w:val="en-US" w:eastAsia="zh-CN" w:bidi="ar"/>
        </w:rPr>
        <w:t>VPZ</w:t>
      </w:r>
      <w:r>
        <w:rPr>
          <w:rStyle w:val="101"/>
          <w:rFonts w:hint="default" w:eastAsia="宋体"/>
          <w:lang w:val="en-US" w:eastAsia="zh-CN" w:bidi="ar"/>
        </w:rPr>
        <w:t xml:space="preserve"> and PPIs.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default" w:eastAsia="宋体"/>
          <w:lang w:val="en-US" w:eastAsia="zh-CN" w:bidi="ar"/>
        </w:rPr>
      </w:pPr>
      <w:r>
        <w:rPr>
          <w:rStyle w:val="101"/>
          <w:rFonts w:hint="default" w:eastAsia="宋体"/>
          <w:lang w:val="en-US" w:eastAsia="zh-CN" w:bidi="ar"/>
        </w:rPr>
        <w:t xml:space="preserve">Diarrhea or loose stool analysis showed that there was a statistically significant difference between </w:t>
      </w:r>
      <w:r>
        <w:rPr>
          <w:rStyle w:val="101"/>
          <w:rFonts w:hint="eastAsia" w:eastAsia="宋体"/>
          <w:lang w:val="en-US" w:eastAsia="zh-CN" w:bidi="ar"/>
        </w:rPr>
        <w:t>VPZ</w:t>
      </w:r>
      <w:r>
        <w:rPr>
          <w:rStyle w:val="101"/>
          <w:rFonts w:hint="default" w:eastAsia="宋体"/>
          <w:lang w:val="en-US" w:eastAsia="zh-CN" w:bidi="ar"/>
        </w:rPr>
        <w:t xml:space="preserve"> and PPI treatment (95% CI = 0.661–0.966, </w:t>
      </w:r>
      <w:r>
        <w:rPr>
          <w:rStyle w:val="101"/>
          <w:rFonts w:hint="default" w:eastAsia="宋体"/>
          <w:i/>
          <w:iCs/>
          <w:lang w:val="en-US" w:eastAsia="zh-CN" w:bidi="ar"/>
        </w:rPr>
        <w:t>p</w:t>
      </w:r>
      <w:r>
        <w:rPr>
          <w:rStyle w:val="101"/>
          <w:rFonts w:hint="default" w:eastAsia="宋体"/>
          <w:lang w:val="en-US" w:eastAsia="zh-CN" w:bidi="ar"/>
        </w:rPr>
        <w:t xml:space="preserve"> = 0.021).</w:t>
      </w:r>
    </w:p>
    <w:p>
      <w:pPr>
        <w:keepNext w:val="0"/>
        <w:keepLines w:val="0"/>
        <w:pageBreakBefore w:val="0"/>
        <w:widowControl/>
        <w:kinsoku/>
        <w:wordWrap/>
        <w:overflowPunct/>
        <w:topLinePunct w:val="0"/>
        <w:autoSpaceDE/>
        <w:autoSpaceDN/>
        <w:bidi w:val="0"/>
        <w:adjustRightInd/>
        <w:snapToGrid/>
        <w:spacing w:before="0" w:after="0" w:line="360" w:lineRule="auto"/>
        <w:ind w:leftChars="200"/>
        <w:textAlignment w:val="auto"/>
        <w:rPr>
          <w:rFonts w:hint="default" w:ascii="Times New Roman" w:hAnsi="Times New Roman" w:eastAsia="宋体" w:cs="Times New Roman"/>
          <w:b/>
          <w:bCs/>
          <w:sz w:val="24"/>
          <w:szCs w:val="24"/>
          <w:lang w:val="en-US" w:eastAsia="zh-CN"/>
        </w:rPr>
      </w:pPr>
      <w:bookmarkStart w:id="105" w:name="OLE_LINK10"/>
      <w:r>
        <w:rPr>
          <w:rFonts w:hint="default" w:ascii="Times New Roman" w:hAnsi="Times New Roman" w:eastAsia="宋体" w:cs="Times New Roman"/>
          <w:b/>
          <w:bCs/>
          <w:sz w:val="24"/>
          <w:szCs w:val="24"/>
          <w:lang w:val="en-US" w:eastAsia="zh-CN"/>
        </w:rPr>
        <w:t>T</w:t>
      </w:r>
      <w:r>
        <w:rPr>
          <w:rFonts w:hint="eastAsia" w:ascii="Times New Roman" w:hAnsi="Times New Roman" w:eastAsia="宋体" w:cs="Times New Roman"/>
          <w:b/>
          <w:bCs/>
          <w:sz w:val="24"/>
          <w:szCs w:val="24"/>
          <w:lang w:val="en-US" w:eastAsia="zh-CN"/>
        </w:rPr>
        <w:t>PZ vs. PPI</w:t>
      </w:r>
      <w:bookmarkEnd w:id="105"/>
      <w:r>
        <w:rPr>
          <w:rFonts w:hint="eastAsia" w:ascii="Times New Roman" w:hAnsi="Times New Roman" w:eastAsia="宋体" w:cs="Times New Roman"/>
          <w:b/>
          <w:bCs/>
          <w:sz w:val="24"/>
          <w:szCs w:val="24"/>
          <w:lang w:val="en-US" w:eastAsia="zh-CN"/>
        </w:rPr>
        <w:t>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2"/>
          <w:szCs w:val="22"/>
          <w:lang w:val="en-US" w:eastAsia="zh-CN"/>
        </w:rPr>
        <w:t xml:space="preserve">A total of </w:t>
      </w:r>
      <w:r>
        <w:rPr>
          <w:rFonts w:hint="eastAsia" w:ascii="Times New Roman" w:hAnsi="Times New Roman" w:eastAsia="宋体" w:cs="Times New Roman"/>
          <w:b w:val="0"/>
          <w:bCs w:val="0"/>
          <w:sz w:val="22"/>
          <w:szCs w:val="22"/>
          <w:lang w:val="en-US" w:eastAsia="zh-CN"/>
        </w:rPr>
        <w:t>four</w:t>
      </w:r>
      <w:r>
        <w:rPr>
          <w:rFonts w:hint="default" w:ascii="Times New Roman" w:hAnsi="Times New Roman" w:eastAsia="宋体" w:cs="Times New Roman"/>
          <w:b w:val="0"/>
          <w:bCs w:val="0"/>
          <w:sz w:val="22"/>
          <w:szCs w:val="22"/>
          <w:lang w:val="en-US" w:eastAsia="zh-CN"/>
        </w:rPr>
        <w:t xml:space="preserve"> clinical studies reported the adverse event rate of T</w:t>
      </w:r>
      <w:r>
        <w:rPr>
          <w:rFonts w:hint="eastAsia" w:ascii="Times New Roman" w:hAnsi="Times New Roman" w:eastAsia="宋体" w:cs="Times New Roman"/>
          <w:b w:val="0"/>
          <w:bCs w:val="0"/>
          <w:sz w:val="22"/>
          <w:szCs w:val="22"/>
          <w:lang w:val="en-US" w:eastAsia="zh-CN"/>
        </w:rPr>
        <w:t>PZ</w:t>
      </w:r>
      <w:r>
        <w:rPr>
          <w:rFonts w:hint="default" w:ascii="Times New Roman" w:hAnsi="Times New Roman" w:eastAsia="宋体" w:cs="Times New Roman"/>
          <w:b w:val="0"/>
          <w:bCs w:val="0"/>
          <w:sz w:val="22"/>
          <w:szCs w:val="22"/>
          <w:lang w:val="en-US" w:eastAsia="zh-CN"/>
        </w:rPr>
        <w:t xml:space="preserve"> </w:t>
      </w:r>
      <w:r>
        <w:rPr>
          <w:rFonts w:hint="eastAsia" w:ascii="Times New Roman" w:hAnsi="Times New Roman" w:eastAsia="宋体" w:cs="Times New Roman"/>
          <w:b w:val="0"/>
          <w:bCs w:val="0"/>
          <w:sz w:val="22"/>
          <w:szCs w:val="22"/>
          <w:lang w:val="en-US" w:eastAsia="zh-CN"/>
        </w:rPr>
        <w:t>vs.</w:t>
      </w:r>
      <w:r>
        <w:rPr>
          <w:rFonts w:hint="default" w:ascii="Times New Roman" w:hAnsi="Times New Roman" w:eastAsia="宋体" w:cs="Times New Roman"/>
          <w:b w:val="0"/>
          <w:bCs w:val="0"/>
          <w:sz w:val="22"/>
          <w:szCs w:val="22"/>
          <w:lang w:val="en-US" w:eastAsia="zh-CN"/>
        </w:rPr>
        <w:t xml:space="preserve"> PPI</w:t>
      </w:r>
      <w:r>
        <w:rPr>
          <w:rFonts w:hint="eastAsia" w:ascii="Times New Roman" w:hAnsi="Times New Roman" w:eastAsia="宋体" w:cs="Times New Roman"/>
          <w:b w:val="0"/>
          <w:bCs w:val="0"/>
          <w:sz w:val="22"/>
          <w:szCs w:val="22"/>
          <w:lang w:val="en-US" w:eastAsia="zh-CN"/>
        </w:rPr>
        <w:t>s</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NE.Ref.{6D6D6602-89EB-4F67-A0E7-43BF8DBA424C}</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[24, 33-35]</w:t>
      </w:r>
      <w:r>
        <w:rPr>
          <w:rFonts w:hint="default" w:ascii="Times New Roman" w:hAnsi="Times New Roman" w:cs="Times New Roman"/>
          <w:vertAlign w:val="baseline"/>
          <w:lang w:val="en-US" w:eastAsia="zh-CN"/>
        </w:rPr>
        <w:fldChar w:fldCharType="end"/>
      </w:r>
      <w:r>
        <w:rPr>
          <w:rFonts w:hint="default" w:ascii="Times New Roman" w:hAnsi="Times New Roman" w:eastAsia="宋体" w:cs="Times New Roman"/>
          <w:b w:val="0"/>
          <w:bCs w:val="0"/>
          <w:sz w:val="22"/>
          <w:szCs w:val="22"/>
          <w:lang w:val="en-US"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Fonts w:hint="default" w:ascii="Times New Roman" w:hAnsi="Times New Roman" w:eastAsia="宋体" w:cs="Times New Roman"/>
          <w:b/>
          <w:bCs/>
          <w:sz w:val="24"/>
          <w:szCs w:val="24"/>
          <w:lang w:val="en-US" w:eastAsia="zh-CN"/>
        </w:rPr>
      </w:pPr>
      <w:r>
        <w:rPr>
          <w:rStyle w:val="101"/>
          <w:rFonts w:hint="default" w:eastAsia="宋体"/>
          <w:lang w:val="en-US" w:eastAsia="zh-CN" w:bidi="ar"/>
        </w:rPr>
        <w:t>The pooled incidences of any AEs, drug-related AEs, and serious AEs were 2</w:t>
      </w:r>
      <w:r>
        <w:rPr>
          <w:rStyle w:val="101"/>
          <w:rFonts w:hint="eastAsia" w:eastAsia="宋体"/>
          <w:lang w:val="en-US" w:eastAsia="zh-CN" w:bidi="ar"/>
        </w:rPr>
        <w:t>3.6</w:t>
      </w:r>
      <w:r>
        <w:rPr>
          <w:rStyle w:val="101"/>
          <w:rFonts w:hint="default" w:eastAsia="宋体"/>
          <w:lang w:val="en-US" w:eastAsia="zh-CN" w:bidi="ar"/>
        </w:rPr>
        <w:t xml:space="preserve">%, </w:t>
      </w:r>
      <w:r>
        <w:rPr>
          <w:rStyle w:val="101"/>
          <w:rFonts w:hint="eastAsia" w:eastAsia="宋体"/>
          <w:lang w:val="en-US" w:eastAsia="zh-CN" w:bidi="ar"/>
        </w:rPr>
        <w:t>10.8</w:t>
      </w:r>
      <w:r>
        <w:rPr>
          <w:rStyle w:val="101"/>
          <w:rFonts w:hint="default" w:eastAsia="宋体"/>
          <w:lang w:val="en-US" w:eastAsia="zh-CN" w:bidi="ar"/>
        </w:rPr>
        <w:t>%, and 1</w:t>
      </w:r>
      <w:r>
        <w:rPr>
          <w:rStyle w:val="101"/>
          <w:rFonts w:hint="eastAsia" w:eastAsia="宋体"/>
          <w:lang w:val="en-US" w:eastAsia="zh-CN" w:bidi="ar"/>
        </w:rPr>
        <w:t>.5</w:t>
      </w:r>
      <w:r>
        <w:rPr>
          <w:rStyle w:val="101"/>
          <w:rFonts w:hint="default" w:eastAsia="宋体"/>
          <w:lang w:val="en-US" w:eastAsia="zh-CN" w:bidi="ar"/>
        </w:rPr>
        <w:t>%, respectively.</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default" w:eastAsia="宋体"/>
          <w:lang w:val="en-US" w:eastAsia="zh-CN" w:bidi="ar"/>
        </w:rPr>
      </w:pPr>
      <w:r>
        <w:rPr>
          <w:rStyle w:val="101"/>
          <w:rFonts w:hint="default" w:eastAsia="宋体"/>
          <w:lang w:val="en-US" w:eastAsia="zh-CN" w:bidi="ar"/>
        </w:rPr>
        <w:t>The incidences of any AEs (OR = 0.</w:t>
      </w:r>
      <w:r>
        <w:rPr>
          <w:rStyle w:val="101"/>
          <w:rFonts w:hint="eastAsia" w:eastAsia="宋体"/>
          <w:lang w:val="en-US" w:eastAsia="zh-CN" w:bidi="ar"/>
        </w:rPr>
        <w:t>79</w:t>
      </w:r>
      <w:r>
        <w:rPr>
          <w:rStyle w:val="101"/>
          <w:rFonts w:hint="default" w:eastAsia="宋体"/>
          <w:lang w:val="en-US" w:eastAsia="zh-CN" w:bidi="ar"/>
        </w:rPr>
        <w:t xml:space="preserve">, </w:t>
      </w:r>
      <w:r>
        <w:rPr>
          <w:rStyle w:val="101"/>
          <w:rFonts w:hint="default" w:eastAsia="宋体"/>
          <w:i/>
          <w:iCs/>
          <w:lang w:val="en-US" w:eastAsia="zh-CN" w:bidi="ar"/>
        </w:rPr>
        <w:t>p</w:t>
      </w:r>
      <w:r>
        <w:rPr>
          <w:rStyle w:val="101"/>
          <w:rFonts w:hint="default" w:eastAsia="宋体"/>
          <w:lang w:val="en-US" w:eastAsia="zh-CN" w:bidi="ar"/>
        </w:rPr>
        <w:t> = 0.</w:t>
      </w:r>
      <w:r>
        <w:rPr>
          <w:rStyle w:val="101"/>
          <w:rFonts w:hint="eastAsia" w:eastAsia="宋体"/>
          <w:lang w:val="en-US" w:eastAsia="zh-CN" w:bidi="ar"/>
        </w:rPr>
        <w:t>22</w:t>
      </w:r>
      <w:r>
        <w:rPr>
          <w:rStyle w:val="101"/>
          <w:rFonts w:hint="default" w:eastAsia="宋体"/>
          <w:lang w:val="en-US" w:eastAsia="zh-CN" w:bidi="ar"/>
        </w:rPr>
        <w:t>), drug-related AEs (OR =</w:t>
      </w:r>
      <w:r>
        <w:rPr>
          <w:rStyle w:val="101"/>
          <w:rFonts w:hint="eastAsia" w:eastAsia="宋体"/>
          <w:lang w:val="en-US" w:eastAsia="zh-CN" w:bidi="ar"/>
        </w:rPr>
        <w:t xml:space="preserve"> 0.82</w:t>
      </w:r>
      <w:r>
        <w:rPr>
          <w:rStyle w:val="101"/>
          <w:rFonts w:hint="default" w:eastAsia="宋体"/>
          <w:lang w:val="en-US" w:eastAsia="zh-CN" w:bidi="ar"/>
        </w:rPr>
        <w:t xml:space="preserve">, </w:t>
      </w:r>
      <w:r>
        <w:rPr>
          <w:rStyle w:val="101"/>
          <w:rFonts w:hint="default" w:eastAsia="宋体"/>
          <w:i/>
          <w:iCs/>
          <w:lang w:val="en-US" w:eastAsia="zh-CN" w:bidi="ar"/>
        </w:rPr>
        <w:t>p</w:t>
      </w:r>
      <w:r>
        <w:rPr>
          <w:rStyle w:val="101"/>
          <w:rFonts w:hint="default" w:eastAsia="宋体"/>
          <w:lang w:val="en-US" w:eastAsia="zh-CN" w:bidi="ar"/>
        </w:rPr>
        <w:t> = 0.4</w:t>
      </w:r>
      <w:r>
        <w:rPr>
          <w:rStyle w:val="101"/>
          <w:rFonts w:hint="eastAsia" w:eastAsia="宋体"/>
          <w:lang w:val="en-US" w:eastAsia="zh-CN" w:bidi="ar"/>
        </w:rPr>
        <w:t>7</w:t>
      </w:r>
      <w:r>
        <w:rPr>
          <w:rStyle w:val="101"/>
          <w:rFonts w:hint="default" w:eastAsia="宋体"/>
          <w:lang w:val="en-US" w:eastAsia="zh-CN" w:bidi="ar"/>
        </w:rPr>
        <w:t>), and serious AEs (OR = </w:t>
      </w:r>
      <w:r>
        <w:rPr>
          <w:rStyle w:val="101"/>
          <w:rFonts w:hint="eastAsia" w:eastAsia="宋体"/>
          <w:lang w:val="en-US" w:eastAsia="zh-CN" w:bidi="ar"/>
        </w:rPr>
        <w:t>2.25</w:t>
      </w:r>
      <w:r>
        <w:rPr>
          <w:rStyle w:val="101"/>
          <w:rFonts w:hint="default" w:eastAsia="宋体"/>
          <w:lang w:val="en-US" w:eastAsia="zh-CN" w:bidi="ar"/>
        </w:rPr>
        <w:t xml:space="preserve">, </w:t>
      </w:r>
      <w:r>
        <w:rPr>
          <w:rStyle w:val="101"/>
          <w:rFonts w:hint="default" w:eastAsia="宋体"/>
          <w:i/>
          <w:iCs/>
          <w:lang w:val="en-US" w:eastAsia="zh-CN" w:bidi="ar"/>
        </w:rPr>
        <w:t>p</w:t>
      </w:r>
      <w:r>
        <w:rPr>
          <w:rStyle w:val="101"/>
          <w:rFonts w:hint="default" w:eastAsia="宋体"/>
          <w:lang w:val="en-US" w:eastAsia="zh-CN" w:bidi="ar"/>
        </w:rPr>
        <w:t> = 0.3</w:t>
      </w:r>
      <w:r>
        <w:rPr>
          <w:rStyle w:val="101"/>
          <w:rFonts w:hint="eastAsia" w:eastAsia="宋体"/>
          <w:lang w:val="en-US" w:eastAsia="zh-CN" w:bidi="ar"/>
        </w:rPr>
        <w:t>0</w:t>
      </w:r>
      <w:r>
        <w:rPr>
          <w:rStyle w:val="101"/>
          <w:rFonts w:hint="default" w:eastAsia="宋体"/>
          <w:lang w:val="en-US" w:eastAsia="zh-CN" w:bidi="ar"/>
        </w:rPr>
        <w:t xml:space="preserve">), were </w:t>
      </w:r>
      <w:r>
        <w:rPr>
          <w:rStyle w:val="101"/>
          <w:rFonts w:hint="eastAsia" w:eastAsia="宋体"/>
          <w:lang w:val="en-US" w:eastAsia="zh-CN" w:bidi="ar"/>
        </w:rPr>
        <w:t xml:space="preserve">not </w:t>
      </w:r>
      <w:r>
        <w:rPr>
          <w:rStyle w:val="101"/>
          <w:rFonts w:hint="default" w:eastAsia="宋体"/>
          <w:lang w:val="en-US" w:eastAsia="zh-CN" w:bidi="ar"/>
        </w:rPr>
        <w:t>significantly different</w:t>
      </w:r>
      <w:r>
        <w:rPr>
          <w:rStyle w:val="101"/>
          <w:rFonts w:hint="eastAsia" w:eastAsia="宋体"/>
          <w:lang w:val="en-US" w:eastAsia="zh-CN" w:bidi="ar"/>
        </w:rPr>
        <w:t xml:space="preserve"> </w:t>
      </w:r>
      <w:r>
        <w:rPr>
          <w:rStyle w:val="101"/>
          <w:rFonts w:hint="default" w:eastAsia="宋体"/>
          <w:lang w:val="en-US" w:eastAsia="zh-CN" w:bidi="ar"/>
        </w:rPr>
        <w:t xml:space="preserve">between patients taking </w:t>
      </w:r>
      <w:r>
        <w:rPr>
          <w:rStyle w:val="101"/>
          <w:rFonts w:hint="eastAsia" w:eastAsia="宋体"/>
          <w:lang w:val="en-US" w:eastAsia="zh-CN" w:bidi="ar"/>
        </w:rPr>
        <w:t>TPZ</w:t>
      </w:r>
      <w:r>
        <w:rPr>
          <w:rStyle w:val="101"/>
          <w:rFonts w:hint="default" w:eastAsia="宋体"/>
          <w:lang w:val="en-US" w:eastAsia="zh-CN" w:bidi="ar"/>
        </w:rPr>
        <w:t xml:space="preserve"> and PPIs.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default" w:eastAsia="宋体"/>
          <w:lang w:val="en-US" w:eastAsia="zh-CN" w:bidi="ar"/>
        </w:rPr>
      </w:pPr>
      <w:r>
        <w:rPr>
          <w:rStyle w:val="101"/>
          <w:rFonts w:hint="default" w:eastAsia="宋体"/>
          <w:lang w:val="en-US" w:eastAsia="zh-CN" w:bidi="ar"/>
        </w:rPr>
        <w:t>Drug</w:t>
      </w:r>
      <w:r>
        <w:rPr>
          <w:rStyle w:val="101"/>
          <w:rFonts w:hint="eastAsia" w:eastAsia="宋体"/>
          <w:lang w:val="en-US" w:eastAsia="zh-CN" w:bidi="ar"/>
        </w:rPr>
        <w:t>-</w:t>
      </w:r>
      <w:r>
        <w:rPr>
          <w:rStyle w:val="101"/>
          <w:rFonts w:hint="default" w:eastAsia="宋体"/>
          <w:lang w:val="en-US" w:eastAsia="zh-CN" w:bidi="ar"/>
        </w:rPr>
        <w:t xml:space="preserve">related AEs were less frequent in the </w:t>
      </w:r>
      <w:r>
        <w:rPr>
          <w:rStyle w:val="101"/>
          <w:rFonts w:hint="eastAsia" w:eastAsia="宋体"/>
          <w:lang w:val="en-US" w:eastAsia="zh-CN" w:bidi="ar"/>
        </w:rPr>
        <w:t>TPZ</w:t>
      </w:r>
      <w:r>
        <w:rPr>
          <w:rStyle w:val="101"/>
          <w:rFonts w:hint="default" w:eastAsia="宋体"/>
          <w:lang w:val="en-US" w:eastAsia="zh-CN" w:bidi="ar"/>
        </w:rPr>
        <w:t xml:space="preserve"> 25 mg group (12.7%, 22/173 patients) than in the lansoprazole 15 mg group (21.3%, 37/174 patients) (</w:t>
      </w:r>
      <w:r>
        <w:rPr>
          <w:rStyle w:val="101"/>
          <w:rFonts w:hint="default" w:eastAsia="宋体"/>
          <w:i/>
          <w:iCs/>
          <w:lang w:val="en-US" w:eastAsia="zh-CN" w:bidi="ar"/>
        </w:rPr>
        <w:t>p</w:t>
      </w:r>
      <w:r>
        <w:rPr>
          <w:rStyle w:val="101"/>
          <w:rFonts w:hint="default" w:eastAsia="宋体"/>
          <w:lang w:val="en-US" w:eastAsia="zh-CN" w:bidi="ar"/>
        </w:rPr>
        <w:t xml:space="preserve"> = 0.0341)</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NE.Ref.{F77F3E12-BAD8-4154-B6D6-37D125D9D4AB}</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[35]</w:t>
      </w:r>
      <w:r>
        <w:rPr>
          <w:rFonts w:hint="default" w:ascii="Times New Roman" w:hAnsi="Times New Roman" w:cs="Times New Roman"/>
          <w:vertAlign w:val="baseline"/>
          <w:lang w:val="en-US" w:eastAsia="zh-CN"/>
        </w:rPr>
        <w:fldChar w:fldCharType="end"/>
      </w:r>
      <w:r>
        <w:rPr>
          <w:rStyle w:val="101"/>
          <w:rFonts w:hint="default" w:eastAsia="宋体"/>
          <w:lang w:val="en-US" w:eastAsia="zh-CN" w:bidi="ar"/>
        </w:rPr>
        <w:t>.</w:t>
      </w:r>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ascii="Times New Roman" w:hAnsi="Times New Roman" w:cs="Times New Roman"/>
          <w:b/>
          <w:bCs/>
          <w:smallCaps w:val="0"/>
          <w:color w:val="auto"/>
          <w:sz w:val="24"/>
          <w:szCs w:val="24"/>
          <w:lang w:val="en-GB"/>
        </w:rPr>
      </w:pPr>
      <w:bookmarkStart w:id="106" w:name="_Toc19948"/>
      <w:r>
        <w:rPr>
          <w:rFonts w:hint="eastAsia" w:ascii="Times New Roman" w:hAnsi="Times New Roman" w:eastAsia="宋体" w:cs="Times New Roman"/>
          <w:b/>
          <w:bCs/>
          <w:smallCaps w:val="0"/>
          <w:color w:val="auto"/>
          <w:sz w:val="28"/>
          <w:szCs w:val="56"/>
          <w:lang w:val="en-US" w:eastAsia="zh-CN"/>
        </w:rPr>
        <w:t xml:space="preserve">2.3 </w:t>
      </w:r>
      <w:r>
        <w:rPr>
          <w:rFonts w:hint="eastAsia" w:ascii="Times New Roman" w:hAnsi="Times New Roman" w:cs="Times New Roman"/>
          <w:b/>
          <w:bCs/>
          <w:smallCaps w:val="0"/>
          <w:color w:val="auto"/>
          <w:sz w:val="28"/>
          <w:szCs w:val="56"/>
          <w:lang w:val="en-GB"/>
        </w:rPr>
        <w:t>Comparative patient-perceived health</w:t>
      </w:r>
      <w:bookmarkEnd w:id="106"/>
    </w:p>
    <w:p>
      <w:pPr>
        <w:keepNext w:val="0"/>
        <w:keepLines w:val="0"/>
        <w:pageBreakBefore w:val="0"/>
        <w:widowControl/>
        <w:kinsoku/>
        <w:wordWrap/>
        <w:overflowPunct/>
        <w:topLinePunct w:val="0"/>
        <w:autoSpaceDE/>
        <w:autoSpaceDN/>
        <w:bidi w:val="0"/>
        <w:adjustRightInd/>
        <w:snapToGrid/>
        <w:spacing w:before="0" w:after="0" w:line="360" w:lineRule="auto"/>
        <w:ind w:left="440" w:leftChars="200"/>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H</w:t>
      </w:r>
      <w:r>
        <w:rPr>
          <w:rFonts w:hint="eastAsia" w:ascii="Times New Roman" w:hAnsi="Times New Roman" w:cs="Times New Roman"/>
          <w:b/>
          <w:bCs/>
          <w:sz w:val="24"/>
          <w:szCs w:val="24"/>
          <w:lang w:val="en-GB" w:eastAsia="zh-CN"/>
        </w:rPr>
        <w:t>eartburn</w:t>
      </w:r>
    </w:p>
    <w:p>
      <w:pPr>
        <w:keepNext w:val="0"/>
        <w:keepLines w:val="0"/>
        <w:pageBreakBefore w:val="0"/>
        <w:widowControl/>
        <w:kinsoku/>
        <w:wordWrap/>
        <w:overflowPunct/>
        <w:topLinePunct w:val="0"/>
        <w:autoSpaceDE/>
        <w:autoSpaceDN/>
        <w:bidi w:val="0"/>
        <w:adjustRightInd/>
        <w:snapToGrid/>
        <w:spacing w:before="0" w:after="0" w:line="360" w:lineRule="auto"/>
        <w:rPr>
          <w:rFonts w:hint="eastAsia" w:ascii="Times New Roman" w:hAnsi="Times New Roman" w:eastAsia="宋体" w:cs="Times New Roman"/>
          <w:sz w:val="20"/>
          <w:szCs w:val="20"/>
          <w:lang w:val="en-US" w:eastAsia="zh-CN"/>
        </w:rPr>
      </w:pPr>
    </w:p>
    <w:p>
      <w:pPr>
        <w:keepNext w:val="0"/>
        <w:keepLines w:val="0"/>
        <w:pageBreakBefore w:val="0"/>
        <w:widowControl/>
        <w:kinsoku/>
        <w:wordWrap/>
        <w:overflowPunct/>
        <w:topLinePunct w:val="0"/>
        <w:autoSpaceDE/>
        <w:autoSpaceDN/>
        <w:bidi w:val="0"/>
        <w:adjustRightInd/>
        <w:snapToGrid/>
        <w:spacing w:before="0" w:after="0" w:line="360" w:lineRule="auto"/>
        <w:rPr>
          <w:rFonts w:hint="eastAsia"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Tab. 3 H</w:t>
      </w:r>
      <w:r>
        <w:rPr>
          <w:rFonts w:hint="default" w:ascii="Times New Roman" w:hAnsi="Times New Roman" w:eastAsia="宋体" w:cs="Times New Roman"/>
          <w:i w:val="0"/>
          <w:iCs w:val="0"/>
          <w:color w:val="000000"/>
          <w:kern w:val="0"/>
          <w:sz w:val="20"/>
          <w:szCs w:val="20"/>
          <w:u w:val="none"/>
          <w:lang w:val="en-US" w:eastAsia="zh-CN" w:bidi="ar"/>
        </w:rPr>
        <w:t>eartburn-free</w:t>
      </w:r>
      <w:r>
        <w:rPr>
          <w:rFonts w:hint="eastAsia" w:ascii="Times New Roman" w:hAnsi="Times New Roman" w:eastAsia="宋体" w:cs="Times New Roman"/>
          <w:sz w:val="20"/>
          <w:szCs w:val="20"/>
          <w:lang w:val="en-US" w:eastAsia="zh-CN"/>
        </w:rPr>
        <w:t xml:space="preserve"> ratio of vonoprazan and tegoprazan</w:t>
      </w:r>
    </w:p>
    <w:tbl>
      <w:tblPr>
        <w:tblStyle w:val="40"/>
        <w:tblW w:w="5000" w:type="pct"/>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Layout w:type="autofit"/>
        <w:tblCellMar>
          <w:top w:w="0" w:type="dxa"/>
          <w:left w:w="108" w:type="dxa"/>
          <w:bottom w:w="0" w:type="dxa"/>
          <w:right w:w="108" w:type="dxa"/>
        </w:tblCellMar>
      </w:tblPr>
      <w:tblGrid>
        <w:gridCol w:w="1470"/>
        <w:gridCol w:w="1201"/>
        <w:gridCol w:w="1751"/>
        <w:gridCol w:w="1234"/>
        <w:gridCol w:w="2219"/>
        <w:gridCol w:w="1428"/>
        <w:gridCol w:w="1608"/>
        <w:gridCol w:w="2543"/>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108" w:type="dxa"/>
            <w:bottom w:w="0" w:type="dxa"/>
            <w:right w:w="108" w:type="dxa"/>
          </w:tblCellMar>
        </w:tblPrEx>
        <w:trPr>
          <w:trHeight w:val="23" w:hRule="atLeast"/>
        </w:trPr>
        <w:tc>
          <w:tcPr>
            <w:tcW w:w="5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Author(s), year</w:t>
            </w:r>
          </w:p>
        </w:tc>
        <w:tc>
          <w:tcPr>
            <w:tcW w:w="4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101214"/>
                <w:sz w:val="20"/>
                <w:szCs w:val="20"/>
                <w:u w:val="none"/>
              </w:rPr>
            </w:pPr>
            <w:r>
              <w:rPr>
                <w:rFonts w:hint="eastAsia" w:ascii="Times New Roman" w:hAnsi="Times New Roman" w:eastAsia="宋体" w:cs="Times New Roman"/>
                <w:i w:val="0"/>
                <w:iCs w:val="0"/>
                <w:color w:val="101214"/>
                <w:kern w:val="0"/>
                <w:sz w:val="20"/>
                <w:szCs w:val="20"/>
                <w:u w:val="none"/>
                <w:lang w:val="en-US" w:eastAsia="zh-CN" w:bidi="ar"/>
              </w:rPr>
              <w:t>C</w:t>
            </w:r>
            <w:r>
              <w:rPr>
                <w:rFonts w:hint="default" w:ascii="Times New Roman" w:hAnsi="Times New Roman" w:eastAsia="宋体" w:cs="Times New Roman"/>
                <w:i w:val="0"/>
                <w:iCs w:val="0"/>
                <w:color w:val="101214"/>
                <w:kern w:val="0"/>
                <w:sz w:val="20"/>
                <w:szCs w:val="20"/>
                <w:u w:val="none"/>
                <w:lang w:val="en-US" w:eastAsia="zh-CN" w:bidi="ar"/>
              </w:rPr>
              <w:t>ountry</w:t>
            </w:r>
          </w:p>
        </w:tc>
        <w:tc>
          <w:tcPr>
            <w:tcW w:w="65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Study design</w:t>
            </w:r>
          </w:p>
        </w:tc>
        <w:tc>
          <w:tcPr>
            <w:tcW w:w="45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Subjects</w:t>
            </w:r>
          </w:p>
        </w:tc>
        <w:tc>
          <w:tcPr>
            <w:tcW w:w="82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Treatment (sample size)</w:t>
            </w:r>
          </w:p>
        </w:tc>
        <w:tc>
          <w:tcPr>
            <w:tcW w:w="5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Treatment duration</w:t>
            </w:r>
          </w:p>
        </w:tc>
        <w:tc>
          <w:tcPr>
            <w:tcW w:w="59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color w:val="000000"/>
                <w:kern w:val="0"/>
                <w:sz w:val="20"/>
                <w:szCs w:val="20"/>
                <w:u w:val="none"/>
                <w:lang w:val="en-US" w:eastAsia="zh-CN" w:bidi="ar"/>
              </w:rPr>
              <w:t>E</w:t>
            </w:r>
            <w:r>
              <w:rPr>
                <w:rFonts w:hint="default" w:ascii="Times New Roman" w:hAnsi="Times New Roman" w:eastAsia="宋体" w:cs="Times New Roman"/>
                <w:i w:val="0"/>
                <w:iCs w:val="0"/>
                <w:color w:val="000000"/>
                <w:kern w:val="0"/>
                <w:sz w:val="20"/>
                <w:szCs w:val="20"/>
                <w:u w:val="none"/>
                <w:lang w:val="en-US" w:eastAsia="zh-CN" w:bidi="ar"/>
              </w:rPr>
              <w:t>ndpoint</w:t>
            </w:r>
          </w:p>
        </w:tc>
        <w:tc>
          <w:tcPr>
            <w:tcW w:w="94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Outcomes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 w:hRule="atLeast"/>
        </w:trPr>
        <w:tc>
          <w:tcPr>
            <w:tcW w:w="5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Tackl et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al</w:t>
            </w:r>
            <w:r>
              <w:rPr>
                <w:rFonts w:hint="eastAsia" w:ascii="Times New Roman" w:hAnsi="Times New Roman" w:eastAsia="宋体" w:cs="Times New Roman"/>
                <w:i w:val="0"/>
                <w:iCs w:val="0"/>
                <w:color w:val="000000"/>
                <w:kern w:val="0"/>
                <w:sz w:val="20"/>
                <w:szCs w:val="20"/>
                <w:u w:val="none"/>
                <w:lang w:val="en-US" w:eastAsia="zh-CN" w:bidi="ar"/>
              </w:rPr>
              <w:t xml:space="preserve">., </w:t>
            </w:r>
            <w:r>
              <w:rPr>
                <w:rStyle w:val="103"/>
                <w:rFonts w:hint="default" w:ascii="Times New Roman" w:hAnsi="Times New Roman" w:eastAsia="宋体" w:cs="Times New Roman"/>
                <w:sz w:val="20"/>
                <w:szCs w:val="20"/>
                <w:lang w:val="en-US" w:eastAsia="zh-CN" w:bidi="ar"/>
              </w:rPr>
              <w:t>2022</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NE.Ref.{D1CAE11B-376C-4F1B-8DD1-1FE33CA417B3}</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[36]</w:t>
            </w:r>
            <w:r>
              <w:rPr>
                <w:rFonts w:hint="default" w:ascii="Times New Roman" w:hAnsi="Times New Roman" w:cs="Times New Roman" w:eastAsiaTheme="minorHAnsi"/>
                <w:sz w:val="22"/>
                <w:szCs w:val="22"/>
                <w:vertAlign w:val="baseline"/>
                <w:lang w:val="en-US" w:eastAsia="zh-CN" w:bidi="ar-SA"/>
              </w:rPr>
              <w:fldChar w:fldCharType="end"/>
            </w:r>
          </w:p>
        </w:tc>
        <w:tc>
          <w:tcPr>
            <w:tcW w:w="4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231F20"/>
                <w:sz w:val="20"/>
                <w:szCs w:val="20"/>
                <w:u w:val="none"/>
              </w:rPr>
            </w:pPr>
            <w:r>
              <w:rPr>
                <w:rFonts w:hint="default" w:ascii="Times New Roman" w:hAnsi="Times New Roman" w:eastAsia="宋体" w:cs="Times New Roman"/>
                <w:i w:val="0"/>
                <w:iCs w:val="0"/>
                <w:color w:val="231F20"/>
                <w:kern w:val="0"/>
                <w:sz w:val="20"/>
                <w:szCs w:val="20"/>
                <w:u w:val="none"/>
                <w:lang w:val="en-US" w:eastAsia="zh-CN" w:bidi="ar"/>
              </w:rPr>
              <w:t>Europe</w:t>
            </w:r>
          </w:p>
        </w:tc>
        <w:tc>
          <w:tcPr>
            <w:tcW w:w="65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45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GERD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82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EPZ 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QD(86)</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 20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QD(85)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 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QD(85)</w:t>
            </w:r>
          </w:p>
        </w:tc>
        <w:tc>
          <w:tcPr>
            <w:tcW w:w="5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 weeks</w:t>
            </w:r>
          </w:p>
        </w:tc>
        <w:tc>
          <w:tcPr>
            <w:tcW w:w="59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Percentages of heartburn-free</w:t>
            </w:r>
          </w:p>
        </w:tc>
        <w:tc>
          <w:tcPr>
            <w:tcW w:w="94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EPZ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36.5%</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36.7%</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38.4%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 w:hRule="atLeast"/>
        </w:trPr>
        <w:tc>
          <w:tcPr>
            <w:tcW w:w="5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Oshima et al</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2019</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NE.Ref.{5D1EA1BC-7929-420D-9DF3-D0E8C2392845}</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[37]</w:t>
            </w:r>
            <w:r>
              <w:rPr>
                <w:rFonts w:hint="default" w:ascii="Times New Roman" w:hAnsi="Times New Roman" w:cs="Times New Roman" w:eastAsiaTheme="minorHAnsi"/>
                <w:sz w:val="22"/>
                <w:szCs w:val="22"/>
                <w:vertAlign w:val="baseline"/>
                <w:lang w:val="en-US" w:eastAsia="zh-CN" w:bidi="ar-SA"/>
              </w:rPr>
              <w:fldChar w:fldCharType="end"/>
            </w:r>
          </w:p>
        </w:tc>
        <w:tc>
          <w:tcPr>
            <w:tcW w:w="4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Japan</w:t>
            </w:r>
          </w:p>
        </w:tc>
        <w:tc>
          <w:tcPr>
            <w:tcW w:w="65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45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GERD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82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LPZ 30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QD(16)</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 20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QD(16)</w:t>
            </w:r>
          </w:p>
        </w:tc>
        <w:tc>
          <w:tcPr>
            <w:tcW w:w="5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 weeks</w:t>
            </w:r>
          </w:p>
        </w:tc>
        <w:tc>
          <w:tcPr>
            <w:tcW w:w="59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Complete heartburn relief</w:t>
            </w:r>
          </w:p>
        </w:tc>
        <w:tc>
          <w:tcPr>
            <w:tcW w:w="94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VPZ </w:t>
            </w:r>
            <w:r>
              <w:rPr>
                <w:rFonts w:hint="eastAsia" w:ascii="Times New Roman" w:hAnsi="Times New Roman" w:eastAsia="宋体" w:cs="Times New Roman"/>
                <w:i w:val="0"/>
                <w:iCs w:val="0"/>
                <w:color w:val="000000"/>
                <w:kern w:val="0"/>
                <w:sz w:val="20"/>
                <w:szCs w:val="20"/>
                <w:u w:val="none"/>
                <w:lang w:val="en-US" w:eastAsia="zh-CN" w:bidi="ar"/>
              </w:rPr>
              <w:t>vs.</w:t>
            </w:r>
            <w:r>
              <w:rPr>
                <w:rFonts w:hint="default" w:ascii="Times New Roman" w:hAnsi="Times New Roman" w:eastAsia="宋体" w:cs="Times New Roman"/>
                <w:i w:val="0"/>
                <w:iCs w:val="0"/>
                <w:color w:val="000000"/>
                <w:kern w:val="0"/>
                <w:sz w:val="20"/>
                <w:szCs w:val="20"/>
                <w:u w:val="none"/>
                <w:lang w:val="en-US" w:eastAsia="zh-CN" w:bidi="ar"/>
              </w:rPr>
              <w:t xml:space="preserve"> LPZ</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HR</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3.58, 95% CI</w:t>
            </w:r>
            <w:r>
              <w:rPr>
                <w:rFonts w:hint="eastAsia"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1.16–11.08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 w:hRule="atLeast"/>
        </w:trPr>
        <w:tc>
          <w:tcPr>
            <w:tcW w:w="5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Kinoshita et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al</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2019</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NE.Ref.{46EBE9FA-FC02-47B4-BC10-64786BD8AD3E}</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[38]</w:t>
            </w:r>
            <w:r>
              <w:rPr>
                <w:rFonts w:hint="default" w:ascii="Times New Roman" w:hAnsi="Times New Roman" w:cs="Times New Roman" w:eastAsiaTheme="minorHAnsi"/>
                <w:sz w:val="22"/>
                <w:szCs w:val="22"/>
                <w:vertAlign w:val="baseline"/>
                <w:lang w:val="en-US" w:eastAsia="zh-CN" w:bidi="ar-SA"/>
              </w:rPr>
              <w:fldChar w:fldCharType="end"/>
            </w:r>
          </w:p>
        </w:tc>
        <w:tc>
          <w:tcPr>
            <w:tcW w:w="4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Japan</w:t>
            </w:r>
          </w:p>
        </w:tc>
        <w:tc>
          <w:tcPr>
            <w:tcW w:w="65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45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NERD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82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Placebo,</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QD(232)</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 10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QD(244)</w:t>
            </w:r>
          </w:p>
        </w:tc>
        <w:tc>
          <w:tcPr>
            <w:tcW w:w="5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 weeks</w:t>
            </w:r>
          </w:p>
        </w:tc>
        <w:tc>
          <w:tcPr>
            <w:tcW w:w="59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Proportion of days without heartburn</w:t>
            </w:r>
          </w:p>
        </w:tc>
        <w:tc>
          <w:tcPr>
            <w:tcW w:w="94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Placebo</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61.4%</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10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73.6%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 w:hRule="atLeast"/>
        </w:trPr>
        <w:tc>
          <w:tcPr>
            <w:tcW w:w="5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Kim et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al</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2021</w:t>
            </w:r>
            <w:r>
              <w:rPr>
                <w:rFonts w:hint="default" w:ascii="Times New Roman" w:hAnsi="Times New Roman" w:cs="Times New Roman" w:eastAsiaTheme="minorHAnsi"/>
                <w:sz w:val="22"/>
                <w:szCs w:val="22"/>
                <w:vertAlign w:val="baseline"/>
                <w:lang w:val="en-US" w:eastAsia="zh-CN" w:bidi="ar-SA"/>
              </w:rPr>
              <w:fldChar w:fldCharType="begin"/>
            </w:r>
            <w:r>
              <w:rPr>
                <w:rFonts w:hint="default" w:ascii="Times New Roman" w:hAnsi="Times New Roman" w:cs="Times New Roman" w:eastAsiaTheme="minorHAnsi"/>
                <w:sz w:val="22"/>
                <w:szCs w:val="22"/>
                <w:vertAlign w:val="baseline"/>
                <w:lang w:val="en-US" w:eastAsia="zh-CN" w:bidi="ar-SA"/>
              </w:rPr>
              <w:instrText xml:space="preserve"> ADDIN NE.Ref.{0578E40E-F436-4B3B-8E4D-870327732D12}</w:instrText>
            </w:r>
            <w:r>
              <w:rPr>
                <w:rFonts w:hint="default" w:ascii="Times New Roman" w:hAnsi="Times New Roman" w:cs="Times New Roman" w:eastAsiaTheme="minorHAnsi"/>
                <w:sz w:val="22"/>
                <w:szCs w:val="22"/>
                <w:vertAlign w:val="baseline"/>
                <w:lang w:val="en-US" w:eastAsia="zh-CN" w:bidi="ar-SA"/>
              </w:rPr>
              <w:fldChar w:fldCharType="separate"/>
            </w:r>
            <w:r>
              <w:rPr>
                <w:rFonts w:hint="default" w:ascii="Times New Roman" w:hAnsi="Times New Roman" w:cs="Times New Roman" w:eastAsiaTheme="minorHAnsi"/>
                <w:sz w:val="22"/>
                <w:szCs w:val="22"/>
                <w:vertAlign w:val="baseline"/>
                <w:lang w:val="en-GB" w:eastAsia="en-US" w:bidi="ar-SA"/>
              </w:rPr>
              <w:t>[39]</w:t>
            </w:r>
            <w:r>
              <w:rPr>
                <w:rFonts w:hint="default" w:ascii="Times New Roman" w:hAnsi="Times New Roman" w:cs="Times New Roman" w:eastAsiaTheme="minorHAnsi"/>
                <w:sz w:val="22"/>
                <w:szCs w:val="22"/>
                <w:vertAlign w:val="baseline"/>
                <w:lang w:val="en-US" w:eastAsia="zh-CN" w:bidi="ar-SA"/>
              </w:rPr>
              <w:fldChar w:fldCharType="end"/>
            </w:r>
          </w:p>
        </w:tc>
        <w:tc>
          <w:tcPr>
            <w:tcW w:w="4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Korea</w:t>
            </w:r>
          </w:p>
        </w:tc>
        <w:tc>
          <w:tcPr>
            <w:tcW w:w="65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45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NERD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82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Placebo,</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QD(99)</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TPZ 50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QD(106)</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TPZ 100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QD(99)</w:t>
            </w:r>
          </w:p>
        </w:tc>
        <w:tc>
          <w:tcPr>
            <w:tcW w:w="5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 weeks</w:t>
            </w:r>
          </w:p>
        </w:tc>
        <w:tc>
          <w:tcPr>
            <w:tcW w:w="59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Proportion of patients with complete resolution of heartburn</w:t>
            </w:r>
          </w:p>
        </w:tc>
        <w:tc>
          <w:tcPr>
            <w:tcW w:w="94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Placebo</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56.7%</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50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67.6%</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100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66.5%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 w:hRule="atLeast"/>
        </w:trPr>
        <w:tc>
          <w:tcPr>
            <w:tcW w:w="5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Kim et al</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2023</w:t>
            </w:r>
            <w:r>
              <w:rPr>
                <w:rFonts w:hint="default" w:ascii="Times New Roman" w:hAnsi="Times New Roman" w:eastAsia="宋体" w:cs="Times New Roman"/>
                <w:i w:val="0"/>
                <w:iCs w:val="0"/>
                <w:color w:val="000000"/>
                <w:kern w:val="0"/>
                <w:sz w:val="20"/>
                <w:szCs w:val="20"/>
                <w:u w:val="none"/>
                <w:lang w:val="en-US" w:eastAsia="zh-CN" w:bidi="ar"/>
              </w:rPr>
              <w:fldChar w:fldCharType="begin"/>
            </w:r>
            <w:r>
              <w:rPr>
                <w:rFonts w:hint="eastAsia" w:ascii="Times New Roman" w:hAnsi="Times New Roman" w:eastAsia="宋体" w:cs="Times New Roman"/>
                <w:i w:val="0"/>
                <w:iCs w:val="0"/>
                <w:color w:val="000000"/>
                <w:kern w:val="0"/>
                <w:sz w:val="20"/>
                <w:szCs w:val="20"/>
                <w:u w:val="none"/>
                <w:lang w:val="en-US" w:eastAsia="zh-CN" w:bidi="ar"/>
              </w:rPr>
              <w:instrText xml:space="preserve"> ADDIN NE.Ref.{12F3C201-4C84-4BFD-B6C6-59F48373B1E9}</w:instrText>
            </w:r>
            <w:r>
              <w:rPr>
                <w:rFonts w:hint="default" w:ascii="Times New Roman" w:hAnsi="Times New Roman" w:eastAsia="宋体" w:cs="Times New Roman"/>
                <w:i w:val="0"/>
                <w:iCs w:val="0"/>
                <w:color w:val="000000"/>
                <w:kern w:val="0"/>
                <w:sz w:val="20"/>
                <w:szCs w:val="20"/>
                <w:u w:val="none"/>
                <w:lang w:val="en-US" w:eastAsia="zh-CN" w:bidi="ar"/>
              </w:rPr>
              <w:fldChar w:fldCharType="separate"/>
            </w:r>
            <w:r>
              <w:rPr>
                <w:rFonts w:hint="default" w:ascii="Times New Roman" w:hAnsi="Times New Roman" w:cs="Times New Roman" w:eastAsiaTheme="minorHAnsi"/>
                <w:sz w:val="22"/>
                <w:szCs w:val="22"/>
                <w:vertAlign w:val="baseline"/>
                <w:lang w:val="en-GB" w:eastAsia="en-US" w:bidi="ar-SA"/>
              </w:rPr>
              <w:t>[34]</w:t>
            </w:r>
            <w:r>
              <w:rPr>
                <w:rFonts w:hint="default" w:ascii="Times New Roman" w:hAnsi="Times New Roman" w:eastAsia="宋体" w:cs="Times New Roman"/>
                <w:i w:val="0"/>
                <w:iCs w:val="0"/>
                <w:color w:val="000000"/>
                <w:kern w:val="0"/>
                <w:sz w:val="20"/>
                <w:szCs w:val="20"/>
                <w:u w:val="none"/>
                <w:lang w:val="en-US" w:eastAsia="zh-CN" w:bidi="ar"/>
              </w:rPr>
              <w:fldChar w:fldCharType="end"/>
            </w:r>
          </w:p>
        </w:tc>
        <w:tc>
          <w:tcPr>
            <w:tcW w:w="44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Korea</w:t>
            </w:r>
          </w:p>
        </w:tc>
        <w:tc>
          <w:tcPr>
            <w:tcW w:w="65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RCT</w:t>
            </w:r>
          </w:p>
        </w:tc>
        <w:tc>
          <w:tcPr>
            <w:tcW w:w="45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GERD </w:t>
            </w:r>
            <w:r>
              <w:rPr>
                <w:rFonts w:hint="eastAsia" w:ascii="Times New Roman" w:hAnsi="Times New Roman" w:eastAsia="宋体" w:cs="Times New Roman"/>
                <w:i w:val="0"/>
                <w:iCs w:val="0"/>
                <w:color w:val="000000"/>
                <w:kern w:val="0"/>
                <w:sz w:val="20"/>
                <w:szCs w:val="20"/>
                <w:u w:val="none"/>
                <w:lang w:val="en-US" w:eastAsia="zh-CN" w:bidi="ar"/>
              </w:rPr>
              <w:t>p</w:t>
            </w:r>
            <w:r>
              <w:rPr>
                <w:rFonts w:hint="default" w:ascii="Times New Roman" w:hAnsi="Times New Roman" w:eastAsia="宋体" w:cs="Times New Roman"/>
                <w:i w:val="0"/>
                <w:iCs w:val="0"/>
                <w:color w:val="000000"/>
                <w:kern w:val="0"/>
                <w:sz w:val="20"/>
                <w:szCs w:val="20"/>
                <w:u w:val="none"/>
                <w:lang w:val="en-US" w:eastAsia="zh-CN" w:bidi="ar"/>
              </w:rPr>
              <w:t>atients</w:t>
            </w:r>
          </w:p>
        </w:tc>
        <w:tc>
          <w:tcPr>
            <w:tcW w:w="82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EPZ 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QD(21)</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TPZ 50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mg,</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QD(19)</w:t>
            </w:r>
          </w:p>
        </w:tc>
        <w:tc>
          <w:tcPr>
            <w:tcW w:w="5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 weeks</w:t>
            </w:r>
          </w:p>
        </w:tc>
        <w:tc>
          <w:tcPr>
            <w:tcW w:w="597"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Percentage of nighttime heartburn-free days</w:t>
            </w:r>
          </w:p>
        </w:tc>
        <w:tc>
          <w:tcPr>
            <w:tcW w:w="94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EPZ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40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42.8±31.3%</w:t>
            </w:r>
          </w:p>
          <w:p>
            <w:pPr>
              <w:keepNext w:val="0"/>
              <w:keepLines w:val="0"/>
              <w:pageBreakBefore w:val="0"/>
              <w:widowControl/>
              <w:suppressLineNumbers w:val="0"/>
              <w:kinsoku/>
              <w:wordWrap/>
              <w:overflowPunct/>
              <w:topLinePunct w:val="0"/>
              <w:autoSpaceDE/>
              <w:autoSpaceDN/>
              <w:bidi w:val="0"/>
              <w:adjustRightInd/>
              <w:snapToGrid/>
              <w:spacing w:before="0" w:after="0" w:line="360" w:lineRule="auto"/>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50</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i w:val="0"/>
                <w:iCs w:val="0"/>
                <w:color w:val="000000"/>
                <w:kern w:val="0"/>
                <w:sz w:val="20"/>
                <w:szCs w:val="20"/>
                <w:u w:val="none"/>
                <w:lang w:val="en-US" w:eastAsia="zh-CN" w:bidi="ar"/>
              </w:rPr>
              <w:t>52.4±28.7%</w:t>
            </w:r>
          </w:p>
        </w:tc>
      </w:tr>
    </w:tbl>
    <w:p>
      <w:pPr>
        <w:pStyle w:val="5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contextualSpacing w:val="0"/>
        <w:rPr>
          <w:rFonts w:hint="eastAsia" w:ascii="Times New Roman" w:hAnsi="Times New Roman" w:eastAsia="宋体" w:cs="Times New Roman"/>
          <w:i w:val="0"/>
          <w:iCs w:val="0"/>
          <w:color w:val="000000"/>
          <w:kern w:val="0"/>
          <w:sz w:val="20"/>
          <w:szCs w:val="20"/>
          <w:u w:val="none"/>
          <w:lang w:val="en-US" w:eastAsia="zh-CN" w:bidi="ar"/>
        </w:rPr>
      </w:pPr>
      <w:r>
        <w:rPr>
          <w:rFonts w:ascii="Times New Roman" w:hAnsi="Times New Roman" w:cs="Times New Roman"/>
          <w:sz w:val="20"/>
          <w:szCs w:val="20"/>
          <w:lang w:val="en-GB"/>
        </w:rPr>
        <w:t>Notes:</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i w:val="0"/>
          <w:iCs w:val="0"/>
          <w:color w:val="000000"/>
          <w:kern w:val="0"/>
          <w:sz w:val="20"/>
          <w:szCs w:val="20"/>
          <w:u w:val="none"/>
          <w:lang w:val="en-US" w:eastAsia="zh-CN" w:bidi="ar"/>
        </w:rPr>
        <w:t>GERD</w:t>
      </w:r>
      <w:r>
        <w:rPr>
          <w:rFonts w:hint="eastAsia" w:ascii="Times New Roman" w:hAnsi="Times New Roman" w:eastAsia="宋体" w:cs="Times New Roman"/>
          <w:i w:val="0"/>
          <w:iCs w:val="0"/>
          <w:color w:val="000000"/>
          <w:kern w:val="0"/>
          <w:sz w:val="20"/>
          <w:szCs w:val="20"/>
          <w:u w:val="none"/>
          <w:lang w:val="en-US" w:eastAsia="zh-CN" w:bidi="ar"/>
        </w:rPr>
        <w:t xml:space="preserve">, gastroesophageal reflux disease; </w:t>
      </w:r>
      <w:bookmarkStart w:id="107" w:name="OLE_LINK8"/>
      <w:r>
        <w:rPr>
          <w:rFonts w:hint="eastAsia" w:ascii="Times New Roman" w:hAnsi="Times New Roman" w:eastAsia="宋体" w:cs="Times New Roman"/>
          <w:i w:val="0"/>
          <w:iCs w:val="0"/>
          <w:color w:val="000000"/>
          <w:kern w:val="0"/>
          <w:sz w:val="20"/>
          <w:szCs w:val="20"/>
          <w:u w:val="none"/>
          <w:lang w:val="en-US" w:eastAsia="zh-CN" w:bidi="ar"/>
        </w:rPr>
        <w:t xml:space="preserve">NERD, non-erosive reflux disease; </w:t>
      </w:r>
      <w:r>
        <w:rPr>
          <w:rFonts w:hint="default" w:ascii="Times New Roman" w:hAnsi="Times New Roman" w:eastAsia="宋体" w:cs="Times New Roman"/>
          <w:i w:val="0"/>
          <w:iCs w:val="0"/>
          <w:color w:val="000000"/>
          <w:kern w:val="0"/>
          <w:sz w:val="20"/>
          <w:szCs w:val="20"/>
          <w:u w:val="none"/>
          <w:lang w:val="en-US" w:eastAsia="zh-CN" w:bidi="ar"/>
        </w:rPr>
        <w:t>RCT</w:t>
      </w:r>
      <w:bookmarkEnd w:id="107"/>
      <w:r>
        <w:rPr>
          <w:rFonts w:hint="eastAsia" w:ascii="Times New Roman" w:hAnsi="Times New Roman" w:eastAsia="宋体" w:cs="Times New Roman"/>
          <w:i w:val="0"/>
          <w:iCs w:val="0"/>
          <w:color w:val="000000"/>
          <w:kern w:val="0"/>
          <w:sz w:val="20"/>
          <w:szCs w:val="20"/>
          <w:u w:val="none"/>
          <w:lang w:val="en-US" w:eastAsia="zh-CN" w:bidi="ar"/>
        </w:rPr>
        <w:t xml:space="preserve">, randomized controlled trial; </w:t>
      </w:r>
      <w:r>
        <w:rPr>
          <w:rFonts w:hint="default" w:ascii="Times New Roman" w:hAnsi="Times New Roman" w:eastAsia="宋体" w:cs="Times New Roman"/>
          <w:i w:val="0"/>
          <w:iCs w:val="0"/>
          <w:color w:val="000000"/>
          <w:kern w:val="0"/>
          <w:sz w:val="20"/>
          <w:szCs w:val="20"/>
          <w:u w:val="none"/>
          <w:lang w:val="en-US" w:eastAsia="zh-CN" w:bidi="ar"/>
        </w:rPr>
        <w:t>VPZ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sz w:val="20"/>
          <w:szCs w:val="20"/>
          <w:lang w:val="en-US" w:eastAsia="zh-CN"/>
        </w:rPr>
        <w:t xml:space="preserve">vonoprazan; </w:t>
      </w:r>
      <w:r>
        <w:rPr>
          <w:rFonts w:hint="default" w:ascii="Times New Roman" w:hAnsi="Times New Roman" w:eastAsia="宋体" w:cs="Times New Roman"/>
          <w:i w:val="0"/>
          <w:iCs w:val="0"/>
          <w:color w:val="000000"/>
          <w:kern w:val="0"/>
          <w:sz w:val="20"/>
          <w:szCs w:val="20"/>
          <w:u w:val="none"/>
          <w:lang w:val="en-US" w:eastAsia="zh-CN" w:bidi="ar"/>
        </w:rPr>
        <w:t>LPZ</w:t>
      </w:r>
      <w:r>
        <w:rPr>
          <w:rFonts w:hint="eastAsia" w:ascii="Times New Roman" w:hAnsi="Times New Roman" w:eastAsia="宋体" w:cs="Times New Roman"/>
          <w:i w:val="0"/>
          <w:iCs w:val="0"/>
          <w:color w:val="000000"/>
          <w:kern w:val="0"/>
          <w:sz w:val="20"/>
          <w:szCs w:val="20"/>
          <w:u w:val="none"/>
          <w:lang w:val="en-US" w:eastAsia="zh-CN" w:bidi="ar"/>
        </w:rPr>
        <w:t xml:space="preserve">, lansoprazole; </w:t>
      </w:r>
      <w:r>
        <w:rPr>
          <w:rFonts w:hint="default" w:ascii="Times New Roman" w:hAnsi="Times New Roman" w:eastAsia="宋体" w:cs="Times New Roman"/>
          <w:i w:val="0"/>
          <w:iCs w:val="0"/>
          <w:color w:val="000000"/>
          <w:kern w:val="0"/>
          <w:sz w:val="20"/>
          <w:szCs w:val="20"/>
          <w:u w:val="none"/>
          <w:lang w:val="en-US" w:eastAsia="zh-CN" w:bidi="ar"/>
        </w:rPr>
        <w:t>TPZ</w:t>
      </w:r>
      <w:r>
        <w:rPr>
          <w:rFonts w:hint="eastAsia" w:ascii="Times New Roman" w:hAnsi="Times New Roman" w:eastAsia="宋体" w:cs="Times New Roman"/>
          <w:i w:val="0"/>
          <w:iCs w:val="0"/>
          <w:color w:val="000000"/>
          <w:kern w:val="0"/>
          <w:sz w:val="20"/>
          <w:szCs w:val="20"/>
          <w:u w:val="none"/>
          <w:lang w:val="en-US" w:eastAsia="zh-CN" w:bidi="ar"/>
        </w:rPr>
        <w:t xml:space="preserve">, </w:t>
      </w:r>
      <w:r>
        <w:rPr>
          <w:rFonts w:hint="eastAsia" w:ascii="Times New Roman" w:hAnsi="Times New Roman" w:eastAsia="宋体" w:cs="Times New Roman"/>
          <w:sz w:val="20"/>
          <w:szCs w:val="20"/>
          <w:lang w:val="en-US" w:eastAsia="zh-CN"/>
        </w:rPr>
        <w:t xml:space="preserve">tegoprazan; </w:t>
      </w:r>
      <w:r>
        <w:rPr>
          <w:rFonts w:hint="default" w:ascii="Times New Roman" w:hAnsi="Times New Roman" w:eastAsia="宋体" w:cs="Times New Roman"/>
          <w:i w:val="0"/>
          <w:iCs w:val="0"/>
          <w:color w:val="000000"/>
          <w:kern w:val="0"/>
          <w:sz w:val="20"/>
          <w:szCs w:val="20"/>
          <w:u w:val="none"/>
          <w:lang w:val="en-US" w:eastAsia="zh-CN" w:bidi="ar"/>
        </w:rPr>
        <w:t>EPZ</w:t>
      </w:r>
      <w:r>
        <w:rPr>
          <w:rFonts w:hint="eastAsia" w:ascii="Times New Roman" w:hAnsi="Times New Roman" w:eastAsia="宋体" w:cs="Times New Roman"/>
          <w:i w:val="0"/>
          <w:iCs w:val="0"/>
          <w:color w:val="000000"/>
          <w:kern w:val="0"/>
          <w:sz w:val="20"/>
          <w:szCs w:val="20"/>
          <w:u w:val="none"/>
          <w:lang w:val="en-US" w:eastAsia="zh-CN" w:bidi="ar"/>
        </w:rPr>
        <w:t>, esomeprazole.</w:t>
      </w:r>
    </w:p>
    <w:p>
      <w:pPr>
        <w:pStyle w:val="5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contextualSpacing w:val="0"/>
        <w:rPr>
          <w:rFonts w:hint="default" w:ascii="Times New Roman" w:hAnsi="Times New Roman" w:eastAsia="宋体" w:cs="Times New Roman"/>
          <w:i w:val="0"/>
          <w:iCs w:val="0"/>
          <w:color w:val="000000"/>
          <w:kern w:val="0"/>
          <w:sz w:val="20"/>
          <w:szCs w:val="20"/>
          <w:u w:val="none"/>
          <w:lang w:val="en-US" w:eastAsia="zh-CN" w:bidi="ar"/>
        </w:rPr>
      </w:pPr>
    </w:p>
    <w:p>
      <w:pPr>
        <w:keepNext w:val="0"/>
        <w:keepLines w:val="0"/>
        <w:pageBreakBefore w:val="0"/>
        <w:widowControl/>
        <w:kinsoku/>
        <w:wordWrap/>
        <w:overflowPunct/>
        <w:topLinePunct w:val="0"/>
        <w:autoSpaceDE/>
        <w:autoSpaceDN/>
        <w:bidi w:val="0"/>
        <w:adjustRightInd/>
        <w:snapToGrid/>
        <w:spacing w:before="0" w:after="0" w:line="360" w:lineRule="auto"/>
        <w:textAlignment w:val="auto"/>
        <w:outlineLvl w:val="0"/>
        <w:rPr>
          <w:rStyle w:val="67"/>
          <w:rFonts w:hint="default" w:ascii="Times New Roman" w:hAnsi="Times New Roman" w:eastAsia="宋体" w:cs="Times New Roman"/>
          <w:b/>
          <w:bCs/>
          <w:color w:val="auto"/>
          <w:sz w:val="32"/>
          <w:szCs w:val="32"/>
          <w:lang w:val="en-US" w:eastAsia="zh-CN"/>
        </w:rPr>
      </w:pPr>
      <w:bookmarkStart w:id="108" w:name="_Toc29516"/>
      <w:r>
        <w:rPr>
          <w:rStyle w:val="67"/>
          <w:rFonts w:hint="eastAsia" w:ascii="Times New Roman" w:hAnsi="Times New Roman" w:eastAsia="宋体" w:cs="Times New Roman"/>
          <w:b/>
          <w:bCs/>
          <w:color w:val="auto"/>
          <w:sz w:val="32"/>
          <w:szCs w:val="32"/>
          <w:lang w:val="en-US" w:eastAsia="zh-CN"/>
        </w:rPr>
        <w:t>3</w:t>
      </w:r>
      <w:r>
        <w:rPr>
          <w:rStyle w:val="67"/>
          <w:rFonts w:ascii="Times New Roman" w:hAnsi="Times New Roman" w:eastAsia="宋体" w:cs="Times New Roman"/>
          <w:b/>
          <w:bCs/>
          <w:color w:val="auto"/>
          <w:sz w:val="32"/>
          <w:szCs w:val="32"/>
          <w:lang w:val="en-GB"/>
        </w:rPr>
        <w:t xml:space="preserve">. </w:t>
      </w:r>
      <w:r>
        <w:rPr>
          <w:rStyle w:val="67"/>
          <w:rFonts w:hint="eastAsia" w:ascii="Times New Roman" w:hAnsi="Times New Roman" w:eastAsia="宋体" w:cs="Times New Roman"/>
          <w:b/>
          <w:bCs/>
          <w:color w:val="auto"/>
          <w:sz w:val="32"/>
          <w:szCs w:val="32"/>
          <w:lang w:val="en-GB"/>
        </w:rPr>
        <w:t>Type of benefit of intervention</w:t>
      </w:r>
      <w:r>
        <w:rPr>
          <w:rFonts w:hint="eastAsia" w:ascii="Times New Roman" w:hAnsi="Times New Roman" w:cs="Times New Roman"/>
          <w:b/>
          <w:bCs/>
          <w:smallCaps w:val="0"/>
          <w:color w:val="auto"/>
          <w:sz w:val="28"/>
          <w:szCs w:val="56"/>
          <w:lang w:val="en-GB"/>
        </w:rPr>
        <w:t xml:space="preserve"> (Absolute Criterion)</w:t>
      </w:r>
      <w:bookmarkEnd w:id="108"/>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ascii="Times New Roman" w:hAnsi="Times New Roman" w:cs="Times New Roman"/>
          <w:b/>
          <w:bCs/>
          <w:smallCaps w:val="0"/>
          <w:color w:val="auto"/>
          <w:sz w:val="28"/>
          <w:szCs w:val="56"/>
          <w:lang w:val="en-GB"/>
        </w:rPr>
      </w:pPr>
      <w:bookmarkStart w:id="109" w:name="_Toc21363"/>
      <w:r>
        <w:rPr>
          <w:rFonts w:hint="eastAsia" w:ascii="Times New Roman" w:hAnsi="Times New Roman" w:eastAsia="宋体" w:cs="Times New Roman"/>
          <w:b/>
          <w:bCs/>
          <w:smallCaps w:val="0"/>
          <w:color w:val="auto"/>
          <w:sz w:val="28"/>
          <w:szCs w:val="56"/>
          <w:lang w:val="en-US" w:eastAsia="zh-CN"/>
        </w:rPr>
        <w:t xml:space="preserve">3.1 </w:t>
      </w:r>
      <w:r>
        <w:rPr>
          <w:rFonts w:hint="eastAsia" w:ascii="Times New Roman" w:hAnsi="Times New Roman" w:cs="Times New Roman"/>
          <w:b/>
          <w:bCs/>
          <w:smallCaps w:val="0"/>
          <w:color w:val="auto"/>
          <w:sz w:val="28"/>
          <w:szCs w:val="56"/>
          <w:lang w:val="en-GB"/>
        </w:rPr>
        <w:t>Type of preventive benefit</w:t>
      </w:r>
      <w:bookmarkEnd w:id="109"/>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 xml:space="preserve">NERD patients and those with cured EE can benefit from the prophylactic use of VPZ and TPZ. Prophylactic use of VPZ and TPZ can be accomplished in two ways: </w:t>
      </w:r>
      <w:bookmarkStart w:id="110" w:name="OLE_LINK14"/>
      <w:r>
        <w:rPr>
          <w:rStyle w:val="101"/>
          <w:rFonts w:hint="eastAsia" w:eastAsia="宋体"/>
          <w:lang w:val="en-US" w:eastAsia="zh-CN" w:bidi="ar"/>
        </w:rPr>
        <w:t>long-term maintenance therapy and on-demand therapy</w:t>
      </w:r>
      <w:bookmarkEnd w:id="110"/>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NE.Ref.{B6F63E51-005C-41E9-BE83-8B48FA25F8A0}</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[40]</w:t>
      </w:r>
      <w:r>
        <w:rPr>
          <w:rFonts w:hint="default" w:ascii="Times New Roman" w:hAnsi="Times New Roman" w:cs="Times New Roman"/>
          <w:vertAlign w:val="baseline"/>
          <w:lang w:val="en-US" w:eastAsia="zh-CN"/>
        </w:rPr>
        <w:fldChar w:fldCharType="end"/>
      </w:r>
      <w:r>
        <w:rPr>
          <w:rStyle w:val="101"/>
          <w:rFonts w:hint="eastAsia" w:eastAsia="宋体"/>
          <w:lang w:val="en-US" w:eastAsia="zh-CN" w:bidi="ar"/>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VPZ: Data for the maintenance therapy with VPZ have been available for up to 52 weeks</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NE.Ref.{BFEA13BE-2220-46DB-A64D-15BE6EDE5364}</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[41]</w:t>
      </w:r>
      <w:r>
        <w:rPr>
          <w:rFonts w:hint="default" w:ascii="Times New Roman" w:hAnsi="Times New Roman" w:cs="Times New Roman"/>
          <w:vertAlign w:val="baseline"/>
          <w:lang w:val="en-US" w:eastAsia="zh-CN"/>
        </w:rPr>
        <w:fldChar w:fldCharType="end"/>
      </w:r>
      <w:r>
        <w:rPr>
          <w:rStyle w:val="101"/>
          <w:rFonts w:hint="eastAsia" w:eastAsia="宋体"/>
          <w:lang w:val="en-US" w:eastAsia="zh-CN" w:bidi="ar"/>
        </w:rPr>
        <w:t>. The maintenance therapy with VPZ on a daily basis is effective for reflux esophagitis (RE) and those who are resistant to the standard dose of PPIs</w:t>
      </w:r>
      <w:r>
        <w:rPr>
          <w:rFonts w:hint="default" w:ascii="Times New Roman" w:hAnsi="Times New Roman" w:cs="Times New Roman"/>
          <w:vertAlign w:val="baseline"/>
          <w:lang w:val="en-US" w:eastAsia="zh-CN"/>
        </w:rPr>
        <w:fldChar w:fldCharType="begin"/>
      </w:r>
      <w:r>
        <w:rPr>
          <w:rFonts w:hint="default" w:ascii="Times New Roman" w:hAnsi="Times New Roman" w:cs="Times New Roman"/>
          <w:vertAlign w:val="baseline"/>
          <w:lang w:val="en-US" w:eastAsia="zh-CN"/>
        </w:rPr>
        <w:instrText xml:space="preserve"> ADDIN NE.Ref.{E40F7E68-217B-4A68-9EEA-42D5A4F1C1B5}</w:instrText>
      </w:r>
      <w:r>
        <w:rPr>
          <w:rFonts w:hint="default" w:ascii="Times New Roman" w:hAnsi="Times New Roman" w:cs="Times New Roman"/>
          <w:vertAlign w:val="baseline"/>
          <w:lang w:val="en-US" w:eastAsia="zh-CN"/>
        </w:rPr>
        <w:fldChar w:fldCharType="separate"/>
      </w:r>
      <w:r>
        <w:rPr>
          <w:rFonts w:hint="default" w:ascii="Times New Roman" w:hAnsi="Times New Roman" w:cs="Times New Roman"/>
          <w:vertAlign w:val="baseline"/>
          <w:lang w:val="en-GB"/>
        </w:rPr>
        <w:t>[42]</w:t>
      </w:r>
      <w:r>
        <w:rPr>
          <w:rFonts w:hint="default" w:ascii="Times New Roman" w:hAnsi="Times New Roman" w:cs="Times New Roman"/>
          <w:vertAlign w:val="baseline"/>
          <w:lang w:val="en-US" w:eastAsia="zh-CN"/>
        </w:rPr>
        <w:fldChar w:fldCharType="end"/>
      </w:r>
      <w:r>
        <w:rPr>
          <w:rStyle w:val="101"/>
          <w:rFonts w:hint="eastAsia" w:eastAsia="宋体"/>
          <w:lang w:val="en-US" w:eastAsia="zh-CN" w:bidi="ar"/>
        </w:rPr>
        <w:t>. The preventive benefit of patients is mainly manifested in the</w:t>
      </w:r>
      <w:bookmarkStart w:id="111" w:name="OLE_LINK15"/>
      <w:r>
        <w:rPr>
          <w:rStyle w:val="101"/>
          <w:rFonts w:hint="eastAsia" w:eastAsia="宋体"/>
          <w:lang w:val="en-US" w:eastAsia="zh-CN" w:bidi="ar"/>
        </w:rPr>
        <w:t xml:space="preserve"> reduction of GERD recurrence rate.</w:t>
      </w:r>
      <w:bookmarkEnd w:id="111"/>
      <w:r>
        <w:rPr>
          <w:rStyle w:val="101"/>
          <w:rFonts w:hint="eastAsia" w:eastAsia="宋体"/>
          <w:lang w:val="en-US" w:eastAsia="zh-CN" w:bidi="ar"/>
        </w:rPr>
        <w:t xml:space="preserve"> The following factors may also affect the recurrence rate: patients who were: aged &lt; 65 years; of either gender; nonsmokers; had any LA classification grade; CYP2C19 extensive metabolizers; or Helicobacter pylori-negative. Because the acid clearance capability of individuals with mild RE is nearly comparable to that of healthy subjects, effectively managing symptoms that negatively impact their quality of life becomes paramount in the treatment of mild RE. The optimal treatment for mild RE is on-demand therapy. When using the on-demand therapy with a 20 mg dose of VPZ, remission was successfully sustained in 86% of all patients with mild RE</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NE.Ref.{F0F92A33-8697-49FF-B892-C008DC77C719}</w:instrText>
      </w:r>
      <w:r>
        <w:rPr>
          <w:rStyle w:val="101"/>
          <w:rFonts w:hint="default" w:eastAsia="宋体"/>
          <w:vertAlign w:val="baseline"/>
          <w:lang w:val="en-US" w:eastAsia="zh-CN" w:bidi="ar"/>
        </w:rPr>
        <w:fldChar w:fldCharType="separate"/>
      </w:r>
      <w:r>
        <w:rPr>
          <w:rFonts w:hint="default" w:ascii="Times New Roman" w:hAnsi="Times New Roman" w:eastAsia="Calibri" w:cs="Times New Roman"/>
          <w:color w:val="080000"/>
          <w:sz w:val="22"/>
          <w:szCs w:val="24"/>
          <w:vertAlign w:val="baseline"/>
        </w:rPr>
        <w:t>[43]</w:t>
      </w:r>
      <w:r>
        <w:rPr>
          <w:rStyle w:val="101"/>
          <w:rFonts w:hint="default" w:eastAsia="宋体"/>
          <w:vertAlign w:val="baseline"/>
          <w:lang w:val="en-US" w:eastAsia="zh-CN" w:bidi="ar"/>
        </w:rPr>
        <w:fldChar w:fldCharType="end"/>
      </w:r>
      <w:r>
        <w:rPr>
          <w:rStyle w:val="101"/>
          <w:rFonts w:hint="eastAsia" w:eastAsia="宋体"/>
          <w:lang w:val="en-US" w:eastAsia="zh-CN" w:bidi="ar"/>
        </w:rPr>
        <w:t>. VPZ 10 mg was clinically effective for the maintenance of healed RE refractory to PPIs for 48 weeks</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NE.Ref.{191FD102-06F1-4D00-946C-EFD0FB0552A6}</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[44]</w:t>
      </w:r>
      <w:r>
        <w:rPr>
          <w:rStyle w:val="101"/>
          <w:rFonts w:hint="default" w:eastAsia="宋体"/>
          <w:vertAlign w:val="baseline"/>
          <w:lang w:val="en-US" w:eastAsia="zh-CN" w:bidi="ar"/>
        </w:rPr>
        <w:fldChar w:fldCharType="end"/>
      </w:r>
      <w:r>
        <w:rPr>
          <w:rStyle w:val="101"/>
          <w:rFonts w:hint="eastAsia" w:eastAsia="宋体"/>
          <w:lang w:val="en-US" w:eastAsia="zh-CN" w:bidi="ar"/>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TPZ: Patients who had confirmed healing of EE through endoscopy received a once-daily dose of 25 mg of TPZ for a duration of up to 24 weeks. After 24 weeks, the endoscopic remission rate for TPZ was found to be 90.6%</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NE.Ref.{EF0365D8-F452-4FEE-B0CD-B4525CC7DB39}</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[35]</w:t>
      </w:r>
      <w:r>
        <w:rPr>
          <w:rStyle w:val="101"/>
          <w:rFonts w:hint="default" w:eastAsia="宋体"/>
          <w:vertAlign w:val="baseline"/>
          <w:lang w:val="en-US" w:eastAsia="zh-CN" w:bidi="ar"/>
        </w:rPr>
        <w:fldChar w:fldCharType="end"/>
      </w:r>
      <w:r>
        <w:rPr>
          <w:rStyle w:val="101"/>
          <w:rFonts w:hint="eastAsia" w:eastAsia="宋体"/>
          <w:lang w:val="en-US" w:eastAsia="zh-CN" w:bidi="ar"/>
        </w:rPr>
        <w:t>.</w:t>
      </w:r>
    </w:p>
    <w:p>
      <w:pPr>
        <w:rPr>
          <w:rFonts w:hint="eastAsia" w:ascii="Times New Roman" w:hAnsi="Times New Roman" w:cs="Times New Roman"/>
          <w:b/>
          <w:bCs/>
          <w:smallCaps w:val="0"/>
          <w:color w:val="auto"/>
          <w:sz w:val="28"/>
          <w:szCs w:val="56"/>
          <w:lang w:val="en-GB"/>
        </w:rPr>
      </w:pPr>
      <w:bookmarkStart w:id="112" w:name="_Toc5719"/>
      <w:r>
        <w:rPr>
          <w:rFonts w:hint="eastAsia" w:ascii="Times New Roman" w:hAnsi="Times New Roman" w:eastAsia="宋体" w:cs="Times New Roman"/>
          <w:b/>
          <w:bCs/>
          <w:smallCaps w:val="0"/>
          <w:color w:val="auto"/>
          <w:sz w:val="28"/>
          <w:szCs w:val="56"/>
          <w:lang w:val="en-US" w:eastAsia="zh-CN"/>
        </w:rPr>
        <w:t xml:space="preserve">3.2 </w:t>
      </w:r>
      <w:r>
        <w:rPr>
          <w:rFonts w:hint="eastAsia" w:ascii="Times New Roman" w:hAnsi="Times New Roman" w:cs="Times New Roman"/>
          <w:b/>
          <w:bCs/>
          <w:smallCaps w:val="0"/>
          <w:color w:val="auto"/>
          <w:sz w:val="28"/>
          <w:szCs w:val="56"/>
          <w:lang w:val="en-GB"/>
        </w:rPr>
        <w:t>Type of therapeutic benefit</w:t>
      </w:r>
      <w:bookmarkEnd w:id="112"/>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The success rate of treating GERD largely depends on the ability to sustain an intragastric pH level of 4 or higher. Previous trials (Table 2) have demonstrated that pH</w:t>
      </w:r>
      <w:r>
        <w:rPr>
          <w:rFonts w:hint="default" w:ascii="Times New Roman" w:hAnsi="Times New Roman" w:eastAsia="宋体" w:cs="Times New Roman"/>
          <w:i w:val="0"/>
          <w:iCs w:val="0"/>
          <w:color w:val="000000"/>
          <w:kern w:val="0"/>
          <w:sz w:val="22"/>
          <w:szCs w:val="22"/>
          <w:u w:val="none"/>
          <w:lang w:val="en-US" w:eastAsia="zh-CN" w:bidi="ar"/>
        </w:rPr>
        <w:t>≥</w:t>
      </w:r>
      <w:r>
        <w:rPr>
          <w:rStyle w:val="101"/>
          <w:rFonts w:hint="eastAsia" w:eastAsia="宋体"/>
          <w:lang w:val="en-US" w:eastAsia="zh-CN" w:bidi="ar"/>
        </w:rPr>
        <w:t>4 HTRs of VPZ and TPZ were significantly higher than that of PPIs daily. VPZ and TPZ produced more rapid, potent, and well sustained nighttime acid suppression than PPIs. Compared with PPI, VPZ and TPZ inhibited acid production irrespective of CYP2C19 genotype</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NE.Ref.{C4D3D417-69F8-4E2F-BB00-4820D07ACEB3}</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[28, 45]</w:t>
      </w:r>
      <w:r>
        <w:rPr>
          <w:rStyle w:val="101"/>
          <w:rFonts w:hint="default" w:eastAsia="宋体"/>
          <w:vertAlign w:val="baseline"/>
          <w:lang w:val="en-US" w:eastAsia="zh-CN" w:bidi="ar"/>
        </w:rPr>
        <w:fldChar w:fldCharType="end"/>
      </w:r>
      <w:r>
        <w:rPr>
          <w:rStyle w:val="101"/>
          <w:rFonts w:hint="eastAsia" w:eastAsia="宋体"/>
          <w:lang w:val="en-US" w:eastAsia="zh-CN" w:bidi="ar"/>
        </w:rPr>
        <w:t>. VPZ was effective for most patients with PPI-resistant RE</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NE.Ref.{2715897E-9419-45BF-A49F-0C92AB27978C}</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[46]</w:t>
      </w:r>
      <w:r>
        <w:rPr>
          <w:rStyle w:val="101"/>
          <w:rFonts w:hint="default" w:eastAsia="宋体"/>
          <w:vertAlign w:val="baseline"/>
          <w:lang w:val="en-US" w:eastAsia="zh-CN" w:bidi="ar"/>
        </w:rPr>
        <w:fldChar w:fldCharType="end"/>
      </w:r>
      <w:r>
        <w:rPr>
          <w:rStyle w:val="101"/>
          <w:rFonts w:hint="eastAsia" w:eastAsia="宋体"/>
          <w:lang w:val="en-US" w:eastAsia="zh-CN" w:bidi="ar"/>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bookmarkStart w:id="113" w:name="OLE_LINK16"/>
      <w:r>
        <w:rPr>
          <w:rStyle w:val="101"/>
          <w:rFonts w:hint="eastAsia" w:eastAsia="宋体"/>
          <w:lang w:val="en-US" w:eastAsia="zh-CN" w:bidi="ar"/>
        </w:rPr>
        <w:t>The therapeutic target for EE is to relieve symptoms, heal and maintain remission of EE, prevent complications, and improve health-related quality of life.</w:t>
      </w:r>
      <w:bookmarkEnd w:id="113"/>
      <w:r>
        <w:rPr>
          <w:rStyle w:val="101"/>
          <w:rFonts w:hint="eastAsia" w:eastAsia="宋体"/>
          <w:lang w:val="en-US" w:eastAsia="zh-CN" w:bidi="ar"/>
        </w:rPr>
        <w:t xml:space="preserve"> Initial treatment and maintenance phases should be applied in the treatment for EE</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NE.Ref.{D619937A-158F-48A0-B99A-833E787794C7}</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[47]</w:t>
      </w:r>
      <w:r>
        <w:rPr>
          <w:rStyle w:val="101"/>
          <w:rFonts w:hint="default" w:eastAsia="宋体"/>
          <w:vertAlign w:val="baseline"/>
          <w:lang w:val="en-US" w:eastAsia="zh-CN" w:bidi="ar"/>
        </w:rPr>
        <w:fldChar w:fldCharType="end"/>
      </w:r>
      <w:r>
        <w:rPr>
          <w:rStyle w:val="101"/>
          <w:rFonts w:hint="eastAsia" w:eastAsia="宋体"/>
          <w:lang w:val="en-US" w:eastAsia="zh-CN" w:bidi="ar"/>
        </w:rPr>
        <w:t>. Currently, P-CABs have shown good therapeutic effects in both phases of EE treatment. The therapeutic effect is mainly shown in improvement of reflux esophagitis healing rate, GerdQ/Frequency Scale for the Symptoms of GERD (FSSG)/Global Overall Symptom (GOS) scores, heartburn symptoms, etc.</w:t>
      </w:r>
    </w:p>
    <w:p>
      <w:pPr>
        <w:rPr>
          <w:rStyle w:val="67"/>
          <w:rFonts w:hint="default" w:ascii="Times New Roman" w:hAnsi="Times New Roman" w:eastAsia="宋体" w:cs="Times New Roman"/>
          <w:b/>
          <w:bCs/>
          <w:color w:val="auto"/>
          <w:sz w:val="32"/>
          <w:szCs w:val="32"/>
          <w:lang w:val="en-US" w:eastAsia="zh-CN"/>
        </w:rPr>
      </w:pPr>
      <w:bookmarkStart w:id="114" w:name="_Toc26382"/>
      <w:r>
        <w:rPr>
          <w:rStyle w:val="67"/>
          <w:rFonts w:hint="eastAsia" w:ascii="Times New Roman" w:hAnsi="Times New Roman" w:eastAsia="宋体" w:cs="Times New Roman"/>
          <w:b/>
          <w:bCs/>
          <w:color w:val="auto"/>
          <w:sz w:val="32"/>
          <w:szCs w:val="32"/>
          <w:lang w:val="en-US" w:eastAsia="zh-CN"/>
        </w:rPr>
        <w:t>4</w:t>
      </w:r>
      <w:r>
        <w:rPr>
          <w:rStyle w:val="67"/>
          <w:rFonts w:ascii="Times New Roman" w:hAnsi="Times New Roman" w:eastAsia="宋体" w:cs="Times New Roman"/>
          <w:b/>
          <w:bCs/>
          <w:color w:val="auto"/>
          <w:sz w:val="32"/>
          <w:szCs w:val="32"/>
          <w:lang w:val="en-GB"/>
        </w:rPr>
        <w:t xml:space="preserve">. </w:t>
      </w:r>
      <w:r>
        <w:rPr>
          <w:rStyle w:val="67"/>
          <w:rFonts w:hint="eastAsia" w:ascii="Times New Roman" w:hAnsi="Times New Roman" w:eastAsia="宋体" w:cs="Times New Roman"/>
          <w:b/>
          <w:bCs/>
          <w:color w:val="auto"/>
          <w:sz w:val="32"/>
          <w:szCs w:val="32"/>
          <w:lang w:val="en-GB"/>
        </w:rPr>
        <w:t>Economic consequences of intervention</w:t>
      </w:r>
      <w:r>
        <w:rPr>
          <w:rStyle w:val="67"/>
          <w:rFonts w:hint="eastAsia" w:ascii="Times New Roman" w:hAnsi="Times New Roman" w:eastAsia="宋体" w:cs="Times New Roman"/>
          <w:b/>
          <w:bCs/>
          <w:color w:val="auto"/>
          <w:sz w:val="32"/>
          <w:szCs w:val="32"/>
          <w:lang w:val="en-US" w:eastAsia="zh-CN"/>
        </w:rPr>
        <w:t xml:space="preserve"> (Relative Criterion)</w:t>
      </w:r>
      <w:bookmarkEnd w:id="114"/>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ascii="Times New Roman" w:hAnsi="Times New Roman" w:cs="Times New Roman"/>
          <w:b/>
          <w:bCs/>
          <w:smallCaps w:val="0"/>
          <w:color w:val="auto"/>
          <w:sz w:val="28"/>
          <w:szCs w:val="56"/>
          <w:lang w:val="en-GB"/>
        </w:rPr>
      </w:pPr>
      <w:bookmarkStart w:id="115" w:name="_Toc7797"/>
      <w:r>
        <w:rPr>
          <w:rFonts w:hint="eastAsia" w:ascii="Times New Roman" w:hAnsi="Times New Roman" w:eastAsia="宋体" w:cs="Times New Roman"/>
          <w:b/>
          <w:bCs/>
          <w:smallCaps w:val="0"/>
          <w:color w:val="auto"/>
          <w:sz w:val="28"/>
          <w:szCs w:val="56"/>
          <w:lang w:val="en-US" w:eastAsia="zh-CN"/>
        </w:rPr>
        <w:t xml:space="preserve">4.1 </w:t>
      </w:r>
      <w:r>
        <w:rPr>
          <w:rFonts w:hint="eastAsia" w:ascii="Times New Roman" w:hAnsi="Times New Roman" w:cs="Times New Roman"/>
          <w:b/>
          <w:bCs/>
          <w:smallCaps w:val="0"/>
          <w:color w:val="auto"/>
          <w:sz w:val="28"/>
          <w:szCs w:val="56"/>
          <w:lang w:val="en-GB"/>
        </w:rPr>
        <w:t>Comparative cost consequences</w:t>
      </w:r>
      <w:r>
        <w:rPr>
          <w:rFonts w:hint="default" w:ascii="Times New Roman" w:hAnsi="Times New Roman" w:cs="Times New Roman"/>
          <w:b/>
          <w:bCs/>
          <w:smallCaps w:val="0"/>
          <w:color w:val="auto"/>
          <w:sz w:val="28"/>
          <w:szCs w:val="56"/>
          <w:lang w:val="en-GB" w:eastAsia="zh-CN"/>
        </w:rPr>
        <w:t>—</w:t>
      </w:r>
      <w:r>
        <w:rPr>
          <w:rFonts w:hint="eastAsia" w:ascii="Times New Roman" w:hAnsi="Times New Roman" w:cs="Times New Roman"/>
          <w:b/>
          <w:bCs/>
          <w:smallCaps w:val="0"/>
          <w:color w:val="auto"/>
          <w:sz w:val="28"/>
          <w:szCs w:val="56"/>
          <w:lang w:val="en-GB"/>
        </w:rPr>
        <w:t>cost</w:t>
      </w:r>
      <w:r>
        <w:rPr>
          <w:rFonts w:hint="eastAsia" w:ascii="Times New Roman" w:hAnsi="Times New Roman" w:cs="Times New Roman"/>
          <w:b/>
          <w:bCs/>
          <w:smallCaps w:val="0"/>
          <w:color w:val="auto"/>
          <w:sz w:val="28"/>
          <w:szCs w:val="56"/>
          <w:lang w:val="en-US" w:eastAsia="zh-CN"/>
        </w:rPr>
        <w:t>s</w:t>
      </w:r>
      <w:r>
        <w:rPr>
          <w:rFonts w:hint="eastAsia" w:ascii="Times New Roman" w:hAnsi="Times New Roman" w:cs="Times New Roman"/>
          <w:b/>
          <w:bCs/>
          <w:smallCaps w:val="0"/>
          <w:color w:val="auto"/>
          <w:sz w:val="28"/>
          <w:szCs w:val="56"/>
          <w:lang w:val="en-GB"/>
        </w:rPr>
        <w:t xml:space="preserve"> of intervention</w:t>
      </w:r>
      <w:bookmarkEnd w:id="115"/>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In 2022, China's per capita disposable income reached ¥36,883.</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 xml:space="preserve">VPZ fumarate tablets, 20 mg per tablet, 7 tablets per box, costs ¥69.3 per box in China. The treatment phase takes 8 weeks, 20 mg per day, </w:t>
      </w:r>
      <w:bookmarkStart w:id="116" w:name="OLE_LINK17"/>
      <w:r>
        <w:rPr>
          <w:rStyle w:val="101"/>
          <w:rFonts w:hint="eastAsia" w:eastAsia="宋体"/>
          <w:lang w:val="en-US" w:eastAsia="zh-CN" w:bidi="ar"/>
        </w:rPr>
        <w:t>and costs ¥558.88.</w:t>
      </w:r>
      <w:bookmarkEnd w:id="116"/>
      <w:r>
        <w:rPr>
          <w:rStyle w:val="101"/>
          <w:rFonts w:hint="eastAsia" w:eastAsia="宋体"/>
          <w:lang w:val="en-US" w:eastAsia="zh-CN" w:bidi="ar"/>
        </w:rPr>
        <w:t xml:space="preserve"> The maintenance phase takes 10 mg per day, costs ¥4.945 per day.</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 xml:space="preserve">TPZ tablets, 50 mg per tablet, 7 tablets per box, costs ¥78.26 per box in China. The treatment phase takes 8 weeks, 50 mg per day, and costs </w:t>
      </w:r>
      <w:bookmarkStart w:id="117" w:name="OLE_LINK18"/>
      <w:r>
        <w:rPr>
          <w:rStyle w:val="101"/>
          <w:rFonts w:hint="eastAsia" w:eastAsia="宋体"/>
          <w:lang w:val="en-US" w:eastAsia="zh-CN" w:bidi="ar"/>
        </w:rPr>
        <w:t>¥626.08.</w:t>
      </w:r>
      <w:bookmarkEnd w:id="117"/>
      <w:r>
        <w:rPr>
          <w:rStyle w:val="101"/>
          <w:rFonts w:hint="eastAsia" w:eastAsia="宋体"/>
          <w:lang w:val="en-US" w:eastAsia="zh-CN" w:bidi="ar"/>
        </w:rPr>
        <w:t xml:space="preserve"> The maintenance phase takes 250 mg per day, and costs </w:t>
      </w:r>
      <w:bookmarkStart w:id="118" w:name="OLE_LINK19"/>
      <w:r>
        <w:rPr>
          <w:rStyle w:val="101"/>
          <w:rFonts w:hint="eastAsia" w:eastAsia="宋体"/>
          <w:lang w:val="en-US" w:eastAsia="zh-CN" w:bidi="ar"/>
        </w:rPr>
        <w:t>¥5.59 per day</w:t>
      </w:r>
      <w:bookmarkEnd w:id="118"/>
      <w:r>
        <w:rPr>
          <w:rStyle w:val="101"/>
          <w:rFonts w:hint="eastAsia" w:eastAsia="宋体"/>
          <w:lang w:val="en-US" w:eastAsia="zh-CN" w:bidi="ar"/>
        </w:rPr>
        <w:t>.</w:t>
      </w:r>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ascii="Times New Roman" w:hAnsi="Times New Roman" w:cs="Times New Roman"/>
          <w:b/>
          <w:bCs/>
          <w:smallCaps w:val="0"/>
          <w:color w:val="auto"/>
          <w:sz w:val="28"/>
          <w:szCs w:val="56"/>
          <w:lang w:val="en-GB"/>
        </w:rPr>
      </w:pPr>
      <w:bookmarkStart w:id="119" w:name="_Toc23182"/>
      <w:r>
        <w:rPr>
          <w:rFonts w:hint="eastAsia" w:ascii="Times New Roman" w:hAnsi="Times New Roman" w:eastAsia="宋体" w:cs="Times New Roman"/>
          <w:b/>
          <w:bCs/>
          <w:smallCaps w:val="0"/>
          <w:color w:val="auto"/>
          <w:sz w:val="28"/>
          <w:szCs w:val="56"/>
          <w:lang w:val="en-US" w:eastAsia="zh-CN"/>
        </w:rPr>
        <w:t xml:space="preserve">4.2 </w:t>
      </w:r>
      <w:r>
        <w:rPr>
          <w:rFonts w:hint="eastAsia" w:ascii="Times New Roman" w:hAnsi="Times New Roman" w:cs="Times New Roman"/>
          <w:b/>
          <w:bCs/>
          <w:smallCaps w:val="0"/>
          <w:color w:val="auto"/>
          <w:sz w:val="28"/>
          <w:szCs w:val="56"/>
          <w:lang w:val="en-GB"/>
        </w:rPr>
        <w:t>Comparative cost consequences</w:t>
      </w:r>
      <w:r>
        <w:rPr>
          <w:rFonts w:hint="default" w:ascii="Times New Roman" w:hAnsi="Times New Roman" w:cs="Times New Roman"/>
          <w:b/>
          <w:bCs/>
          <w:smallCaps w:val="0"/>
          <w:color w:val="auto"/>
          <w:sz w:val="28"/>
          <w:szCs w:val="56"/>
          <w:lang w:val="en-GB" w:eastAsia="zh-CN"/>
        </w:rPr>
        <w:t>—</w:t>
      </w:r>
      <w:r>
        <w:rPr>
          <w:rFonts w:hint="eastAsia" w:ascii="Times New Roman" w:hAnsi="Times New Roman" w:cs="Times New Roman"/>
          <w:b/>
          <w:bCs/>
          <w:smallCaps w:val="0"/>
          <w:color w:val="auto"/>
          <w:sz w:val="28"/>
          <w:szCs w:val="56"/>
          <w:lang w:val="en-GB"/>
        </w:rPr>
        <w:t>other medical costs</w:t>
      </w:r>
      <w:bookmarkEnd w:id="119"/>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r>
        <w:rPr>
          <w:rStyle w:val="101"/>
          <w:rFonts w:hint="eastAsia" w:eastAsia="宋体"/>
          <w:lang w:val="en-US" w:eastAsia="zh-CN" w:bidi="ar"/>
        </w:rPr>
        <w:t>A study has been conducted to evaluate the cost-effectiveness of VPZ in comparison to PPIs for the treatment of GERD patients in China.</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r>
        <w:rPr>
          <w:rStyle w:val="101"/>
          <w:rFonts w:hint="eastAsia" w:eastAsia="宋体"/>
          <w:lang w:val="en-US" w:eastAsia="zh-CN" w:bidi="ar"/>
        </w:rPr>
        <w:t>O</w:t>
      </w:r>
      <w:r>
        <w:rPr>
          <w:rStyle w:val="101"/>
          <w:rFonts w:hint="eastAsia" w:eastAsia="宋体"/>
          <w:lang w:val="en-GB" w:eastAsia="zh-CN" w:bidi="ar"/>
        </w:rPr>
        <w:t xml:space="preserve">ther medical </w:t>
      </w:r>
      <w:r>
        <w:rPr>
          <w:rStyle w:val="101"/>
          <w:rFonts w:hint="eastAsia" w:eastAsia="宋体"/>
          <w:lang w:val="en-US" w:eastAsia="zh-CN" w:bidi="ar"/>
        </w:rPr>
        <w:t>costs</w:t>
      </w:r>
      <w:r>
        <w:rPr>
          <w:rStyle w:val="101"/>
          <w:rFonts w:hint="eastAsia" w:eastAsia="宋体"/>
          <w:lang w:val="en-GB" w:eastAsia="zh-CN" w:bidi="ar"/>
        </w:rPr>
        <w:t xml:space="preserve"> associated with </w:t>
      </w:r>
      <w:r>
        <w:rPr>
          <w:rStyle w:val="101"/>
          <w:rFonts w:hint="eastAsia" w:eastAsia="宋体"/>
          <w:lang w:val="en-US" w:eastAsia="zh-CN" w:bidi="ar"/>
        </w:rPr>
        <w:t>E</w:t>
      </w:r>
      <w:r>
        <w:rPr>
          <w:rStyle w:val="101"/>
          <w:rFonts w:hint="eastAsia" w:eastAsia="宋体"/>
          <w:lang w:val="en-GB" w:eastAsia="zh-CN" w:bidi="ar"/>
        </w:rPr>
        <w:t xml:space="preserve">E treatment </w:t>
      </w:r>
      <w:r>
        <w:rPr>
          <w:rStyle w:val="101"/>
          <w:rFonts w:hint="eastAsia" w:eastAsia="宋体"/>
          <w:lang w:val="en-US" w:eastAsia="zh-CN" w:bidi="ar"/>
        </w:rPr>
        <w:t xml:space="preserve">are </w:t>
      </w:r>
      <w:r>
        <w:rPr>
          <w:rStyle w:val="101"/>
          <w:rFonts w:hint="eastAsia" w:eastAsia="宋体"/>
          <w:lang w:val="en-GB" w:eastAsia="zh-CN" w:bidi="ar"/>
        </w:rPr>
        <w:t xml:space="preserve">listed in Table </w:t>
      </w:r>
      <w:r>
        <w:rPr>
          <w:rStyle w:val="101"/>
          <w:rFonts w:hint="eastAsia" w:eastAsia="宋体"/>
          <w:lang w:val="en-US" w:eastAsia="zh-CN" w:bidi="ar"/>
        </w:rPr>
        <w:t>3</w:t>
      </w:r>
      <w:r>
        <w:rPr>
          <w:rStyle w:val="101"/>
          <w:rFonts w:hint="eastAsia" w:eastAsia="宋体"/>
          <w:lang w:val="en-GB" w:eastAsia="zh-CN" w:bidi="ar"/>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r>
        <w:rPr>
          <w:rStyle w:val="101"/>
          <w:rFonts w:hint="eastAsia" w:eastAsia="宋体"/>
          <w:lang w:val="en-GB" w:eastAsia="zh-CN" w:bidi="ar"/>
        </w:rPr>
        <w:t>Treatment with VPZ resulted in 4.35 quality</w:t>
      </w:r>
      <w:r>
        <w:rPr>
          <w:rStyle w:val="101"/>
          <w:rFonts w:hint="eastAsia" w:eastAsia="宋体"/>
          <w:lang w:val="en-US" w:eastAsia="zh-CN" w:bidi="ar"/>
        </w:rPr>
        <w:t xml:space="preserve"> </w:t>
      </w:r>
      <w:r>
        <w:rPr>
          <w:rStyle w:val="101"/>
          <w:rFonts w:hint="eastAsia" w:eastAsia="宋体"/>
          <w:lang w:val="en-GB" w:eastAsia="zh-CN" w:bidi="ar"/>
        </w:rPr>
        <w:t>adjusted life</w:t>
      </w:r>
      <w:r>
        <w:rPr>
          <w:rStyle w:val="101"/>
          <w:rFonts w:hint="eastAsia" w:eastAsia="宋体"/>
          <w:lang w:val="en-US" w:eastAsia="zh-CN" w:bidi="ar"/>
        </w:rPr>
        <w:t xml:space="preserve"> </w:t>
      </w:r>
      <w:r>
        <w:rPr>
          <w:rStyle w:val="101"/>
          <w:rFonts w:hint="eastAsia" w:eastAsia="宋体"/>
          <w:lang w:val="en-GB" w:eastAsia="zh-CN" w:bidi="ar"/>
        </w:rPr>
        <w:t>years</w:t>
      </w:r>
      <w:r>
        <w:rPr>
          <w:rStyle w:val="101"/>
          <w:rFonts w:hint="eastAsia" w:eastAsia="宋体"/>
          <w:lang w:val="en-US" w:eastAsia="zh-CN" w:bidi="ar"/>
        </w:rPr>
        <w:t xml:space="preserve"> (</w:t>
      </w:r>
      <w:r>
        <w:rPr>
          <w:rStyle w:val="101"/>
          <w:rFonts w:hint="eastAsia" w:eastAsia="宋体"/>
          <w:lang w:val="en-GB" w:eastAsia="zh-CN" w:bidi="ar"/>
        </w:rPr>
        <w:t>QALYs</w:t>
      </w:r>
      <w:r>
        <w:rPr>
          <w:rStyle w:val="101"/>
          <w:rFonts w:hint="eastAsia" w:eastAsia="宋体"/>
          <w:lang w:val="en-US" w:eastAsia="zh-CN" w:bidi="ar"/>
        </w:rPr>
        <w:t>)</w:t>
      </w:r>
      <w:r>
        <w:rPr>
          <w:rStyle w:val="101"/>
          <w:rFonts w:hint="eastAsia" w:eastAsia="宋体"/>
          <w:lang w:val="en-GB" w:eastAsia="zh-CN" w:bidi="ar"/>
        </w:rPr>
        <w:t xml:space="preserve"> at a total cost of USD 1,354 over 5 years. Compared with the PPI group, treating </w:t>
      </w:r>
      <w:r>
        <w:rPr>
          <w:rStyle w:val="101"/>
          <w:rFonts w:hint="eastAsia" w:eastAsia="宋体"/>
          <w:lang w:val="en-US" w:eastAsia="zh-CN" w:bidi="ar"/>
        </w:rPr>
        <w:t>E</w:t>
      </w:r>
      <w:r>
        <w:rPr>
          <w:rStyle w:val="101"/>
          <w:rFonts w:hint="eastAsia" w:eastAsia="宋体"/>
          <w:lang w:val="en-GB" w:eastAsia="zh-CN" w:bidi="ar"/>
        </w:rPr>
        <w:t>E with VPZ was associated with 0.02 QALYs gained and a cost saving of USD 943. Thus, VPZ should be considered as the dominant treatment option. The model results were deemed robust in sensitivity analyses</w:t>
      </w:r>
      <w:r>
        <w:rPr>
          <w:rStyle w:val="101"/>
          <w:rFonts w:hint="default" w:eastAsia="宋体"/>
          <w:vertAlign w:val="baseline"/>
          <w:lang w:val="en-GB" w:eastAsia="zh-CN" w:bidi="ar"/>
        </w:rPr>
        <w:fldChar w:fldCharType="begin"/>
      </w:r>
      <w:r>
        <w:rPr>
          <w:rStyle w:val="101"/>
          <w:rFonts w:hint="default" w:eastAsia="宋体"/>
          <w:vertAlign w:val="baseline"/>
          <w:lang w:val="en-GB" w:eastAsia="zh-CN" w:bidi="ar"/>
        </w:rPr>
        <w:instrText xml:space="preserve"> ADDIN NE.Ref.{A8C16A51-3AD3-4EAA-A775-C6AAB5715390}</w:instrText>
      </w:r>
      <w:r>
        <w:rPr>
          <w:rStyle w:val="101"/>
          <w:rFonts w:hint="default" w:eastAsia="宋体"/>
          <w:vertAlign w:val="baseline"/>
          <w:lang w:val="en-GB" w:eastAsia="zh-CN" w:bidi="ar"/>
        </w:rPr>
        <w:fldChar w:fldCharType="separate"/>
      </w:r>
      <w:r>
        <w:rPr>
          <w:rStyle w:val="101"/>
          <w:rFonts w:hint="default" w:eastAsia="宋体"/>
          <w:vertAlign w:val="baseline"/>
          <w:lang w:val="en-US" w:eastAsia="zh-CN" w:bidi="ar"/>
        </w:rPr>
        <w:t>[48]</w:t>
      </w:r>
      <w:r>
        <w:rPr>
          <w:rStyle w:val="101"/>
          <w:rFonts w:hint="default" w:eastAsia="宋体"/>
          <w:vertAlign w:val="baseline"/>
          <w:lang w:val="en-GB" w:eastAsia="zh-CN" w:bidi="ar"/>
        </w:rPr>
        <w:fldChar w:fldCharType="end"/>
      </w:r>
      <w:r>
        <w:rPr>
          <w:rStyle w:val="101"/>
          <w:rFonts w:hint="eastAsia" w:eastAsia="宋体"/>
          <w:lang w:val="en-GB" w:eastAsia="zh-CN" w:bidi="ar"/>
        </w:rPr>
        <w:t>.</w:t>
      </w:r>
    </w:p>
    <w:p>
      <w:pPr>
        <w:pStyle w:val="56"/>
        <w:numPr>
          <w:ilvl w:val="0"/>
          <w:numId w:val="0"/>
        </w:numPr>
        <w:spacing w:before="0" w:after="0" w:line="360" w:lineRule="auto"/>
        <w:contextualSpacing w:val="0"/>
        <w:jc w:val="left"/>
        <w:rPr>
          <w:rFonts w:hint="eastAsia" w:ascii="Times New Roman" w:hAnsi="Times New Roman" w:eastAsia="宋体" w:cs="Times New Roman"/>
          <w:sz w:val="20"/>
          <w:szCs w:val="20"/>
          <w:lang w:val="en-US" w:eastAsia="zh-CN"/>
        </w:rPr>
      </w:pPr>
    </w:p>
    <w:p>
      <w:pPr>
        <w:pStyle w:val="56"/>
        <w:numPr>
          <w:ilvl w:val="0"/>
          <w:numId w:val="0"/>
        </w:numPr>
        <w:spacing w:before="0" w:after="0" w:line="360" w:lineRule="auto"/>
        <w:contextualSpacing w:val="0"/>
        <w:jc w:val="left"/>
        <w:rPr>
          <w:rStyle w:val="101"/>
          <w:rFonts w:hint="eastAsia" w:eastAsia="宋体"/>
          <w:lang w:val="en-GB" w:eastAsia="zh-CN" w:bidi="ar"/>
        </w:rPr>
      </w:pPr>
      <w:r>
        <w:rPr>
          <w:rFonts w:hint="eastAsia" w:ascii="Times New Roman" w:hAnsi="Times New Roman" w:eastAsia="宋体" w:cs="Times New Roman"/>
          <w:sz w:val="20"/>
          <w:szCs w:val="20"/>
          <w:lang w:val="en-US" w:eastAsia="zh-CN"/>
        </w:rPr>
        <w:t xml:space="preserve">Table. 3 </w:t>
      </w:r>
      <w:r>
        <w:rPr>
          <w:rStyle w:val="101"/>
          <w:rFonts w:hint="eastAsia" w:eastAsia="宋体"/>
          <w:lang w:val="en-US" w:eastAsia="zh-CN" w:bidi="ar"/>
        </w:rPr>
        <w:t>O</w:t>
      </w:r>
      <w:r>
        <w:rPr>
          <w:rStyle w:val="101"/>
          <w:rFonts w:hint="eastAsia" w:eastAsia="宋体"/>
          <w:lang w:val="en-GB" w:eastAsia="zh-CN" w:bidi="ar"/>
        </w:rPr>
        <w:t xml:space="preserve">ther medical </w:t>
      </w:r>
      <w:r>
        <w:rPr>
          <w:rStyle w:val="101"/>
          <w:rFonts w:hint="eastAsia" w:eastAsia="宋体"/>
          <w:lang w:val="en-US" w:eastAsia="zh-CN" w:bidi="ar"/>
        </w:rPr>
        <w:t>costs</w:t>
      </w:r>
      <w:r>
        <w:rPr>
          <w:rStyle w:val="101"/>
          <w:rFonts w:hint="eastAsia" w:eastAsia="宋体"/>
          <w:lang w:val="en-GB" w:eastAsia="zh-CN" w:bidi="ar"/>
        </w:rPr>
        <w:t xml:space="preserve"> associated with </w:t>
      </w:r>
      <w:r>
        <w:rPr>
          <w:rStyle w:val="101"/>
          <w:rFonts w:hint="eastAsia" w:eastAsia="宋体"/>
          <w:lang w:val="en-US" w:eastAsia="zh-CN" w:bidi="ar"/>
        </w:rPr>
        <w:t>E</w:t>
      </w:r>
      <w:r>
        <w:rPr>
          <w:rStyle w:val="101"/>
          <w:rFonts w:hint="eastAsia" w:eastAsia="宋体"/>
          <w:lang w:val="en-GB" w:eastAsia="zh-CN" w:bidi="ar"/>
        </w:rPr>
        <w:t>E</w:t>
      </w:r>
    </w:p>
    <w:tbl>
      <w:tblPr>
        <w:tblStyle w:val="40"/>
        <w:tblW w:w="4998"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11"/>
        <w:gridCol w:w="6567"/>
        <w:gridCol w:w="1437"/>
        <w:gridCol w:w="253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82" w:type="pct"/>
            <w:tcBorders>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lang w:val="en-US"/>
              </w:rPr>
            </w:pPr>
            <w:r>
              <w:rPr>
                <w:rStyle w:val="104"/>
                <w:rFonts w:hint="default" w:ascii="Times New Roman" w:hAnsi="Times New Roman" w:cs="Times New Roman"/>
                <w:sz w:val="20"/>
                <w:szCs w:val="20"/>
                <w:lang w:val="en-US" w:eastAsia="zh-CN" w:bidi="ar"/>
              </w:rPr>
              <w:t xml:space="preserve">Medical </w:t>
            </w:r>
            <w:r>
              <w:rPr>
                <w:rStyle w:val="104"/>
                <w:rFonts w:hint="eastAsia" w:ascii="Times New Roman" w:hAnsi="Times New Roman" w:cs="Times New Roman"/>
                <w:sz w:val="20"/>
                <w:szCs w:val="20"/>
                <w:lang w:val="en-US" w:eastAsia="zh-CN" w:bidi="ar"/>
              </w:rPr>
              <w:t>cost</w:t>
            </w:r>
          </w:p>
        </w:tc>
        <w:tc>
          <w:tcPr>
            <w:tcW w:w="2441" w:type="pct"/>
            <w:tcBorders>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Items</w:t>
            </w:r>
          </w:p>
        </w:tc>
        <w:tc>
          <w:tcPr>
            <w:tcW w:w="534" w:type="pct"/>
            <w:tcBorders>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center"/>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Cost (USD)</w:t>
            </w:r>
          </w:p>
        </w:tc>
        <w:tc>
          <w:tcPr>
            <w:tcW w:w="942" w:type="pct"/>
            <w:tcBorders>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Notes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2" w:type="pct"/>
            <w:tcBorders>
              <w:top w:val="single" w:color="auto" w:sz="4" w:space="0"/>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Outpatient visit</w:t>
            </w:r>
          </w:p>
        </w:tc>
        <w:tc>
          <w:tcPr>
            <w:tcW w:w="2441" w:type="pct"/>
            <w:tcBorders>
              <w:top w:val="single" w:color="auto" w:sz="4" w:space="0"/>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Visit during</w:t>
            </w:r>
            <w:r>
              <w:rPr>
                <w:rStyle w:val="104"/>
                <w:rFonts w:hint="eastAsia" w:ascii="Times New Roman" w:hAnsi="Times New Roman" w:cs="Times New Roman"/>
                <w:sz w:val="20"/>
                <w:szCs w:val="20"/>
                <w:lang w:val="en-US" w:eastAsia="zh-CN" w:bidi="ar"/>
              </w:rPr>
              <w:t xml:space="preserve"> the</w:t>
            </w:r>
            <w:r>
              <w:rPr>
                <w:rStyle w:val="104"/>
                <w:rFonts w:hint="default" w:ascii="Times New Roman" w:hAnsi="Times New Roman" w:cs="Times New Roman"/>
                <w:sz w:val="20"/>
                <w:szCs w:val="20"/>
                <w:lang w:val="en-US" w:eastAsia="zh-CN" w:bidi="ar"/>
              </w:rPr>
              <w:t xml:space="preserve"> healing phase</w:t>
            </w:r>
          </w:p>
        </w:tc>
        <w:tc>
          <w:tcPr>
            <w:tcW w:w="534" w:type="pct"/>
            <w:tcBorders>
              <w:top w:val="single" w:color="auto" w:sz="4" w:space="0"/>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15</w:t>
            </w:r>
          </w:p>
        </w:tc>
        <w:tc>
          <w:tcPr>
            <w:tcW w:w="942" w:type="pct"/>
            <w:tcBorders>
              <w:top w:val="single" w:color="auto" w:sz="4" w:space="0"/>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Twice a month</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2" w:type="pct"/>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after="0"/>
              <w:rPr>
                <w:rFonts w:hint="default" w:ascii="Times New Roman" w:hAnsi="Times New Roman" w:eastAsia="宋体" w:cs="Times New Roman"/>
                <w:i w:val="0"/>
                <w:iCs w:val="0"/>
                <w:color w:val="000000"/>
                <w:sz w:val="20"/>
                <w:szCs w:val="20"/>
                <w:u w:val="none"/>
              </w:rPr>
            </w:pPr>
          </w:p>
        </w:tc>
        <w:tc>
          <w:tcPr>
            <w:tcW w:w="2441"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 xml:space="preserve">Visit during </w:t>
            </w:r>
            <w:r>
              <w:rPr>
                <w:rStyle w:val="104"/>
                <w:rFonts w:hint="eastAsia" w:ascii="Times New Roman" w:hAnsi="Times New Roman" w:cs="Times New Roman"/>
                <w:sz w:val="20"/>
                <w:szCs w:val="20"/>
                <w:lang w:val="en-US" w:eastAsia="zh-CN" w:bidi="ar"/>
              </w:rPr>
              <w:t xml:space="preserve">the </w:t>
            </w:r>
            <w:r>
              <w:rPr>
                <w:rStyle w:val="104"/>
                <w:rFonts w:hint="default" w:ascii="Times New Roman" w:hAnsi="Times New Roman" w:cs="Times New Roman"/>
                <w:sz w:val="20"/>
                <w:szCs w:val="20"/>
                <w:lang w:val="en-US" w:eastAsia="zh-CN" w:bidi="ar"/>
              </w:rPr>
              <w:t>maintenance phase</w:t>
            </w:r>
          </w:p>
        </w:tc>
        <w:tc>
          <w:tcPr>
            <w:tcW w:w="534"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w:t>
            </w:r>
          </w:p>
        </w:tc>
        <w:tc>
          <w:tcPr>
            <w:tcW w:w="942"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Once a month</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2"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Endoscopy</w:t>
            </w:r>
          </w:p>
        </w:tc>
        <w:tc>
          <w:tcPr>
            <w:tcW w:w="2441"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For diagnosis</w:t>
            </w:r>
          </w:p>
        </w:tc>
        <w:tc>
          <w:tcPr>
            <w:tcW w:w="534"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center"/>
              <w:textAlignment w:val="center"/>
              <w:rPr>
                <w:rFonts w:hint="default" w:ascii="Times New Roman" w:hAnsi="Times New Roman" w:eastAsia="HelveticaNeueLTPro-Roman" w:cs="Times New Roman"/>
                <w:i w:val="0"/>
                <w:iCs w:val="0"/>
                <w:color w:val="231F20"/>
                <w:sz w:val="20"/>
                <w:szCs w:val="20"/>
                <w:u w:val="none"/>
              </w:rPr>
            </w:pPr>
            <w:r>
              <w:rPr>
                <w:rFonts w:hint="default" w:ascii="Times New Roman" w:hAnsi="Times New Roman" w:eastAsia="HelveticaNeueLTPro-Roman" w:cs="Times New Roman"/>
                <w:i w:val="0"/>
                <w:iCs w:val="0"/>
                <w:color w:val="231F20"/>
                <w:kern w:val="0"/>
                <w:sz w:val="20"/>
                <w:szCs w:val="20"/>
                <w:u w:val="none"/>
                <w:lang w:val="en-US" w:eastAsia="zh-CN" w:bidi="ar"/>
              </w:rPr>
              <w:t>84</w:t>
            </w:r>
          </w:p>
        </w:tc>
        <w:tc>
          <w:tcPr>
            <w:tcW w:w="942"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Once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2" w:type="pct"/>
            <w:tcBorders>
              <w:top w:val="nil"/>
              <w:left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24-hour pH monitoring</w:t>
            </w:r>
          </w:p>
        </w:tc>
        <w:tc>
          <w:tcPr>
            <w:tcW w:w="2441" w:type="pct"/>
            <w:tcBorders>
              <w:top w:val="nil"/>
              <w:left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For patients who were unhealed after 8-week treatment</w:t>
            </w:r>
          </w:p>
        </w:tc>
        <w:tc>
          <w:tcPr>
            <w:tcW w:w="534" w:type="pct"/>
            <w:tcBorders>
              <w:top w:val="nil"/>
              <w:left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center"/>
              <w:textAlignment w:val="center"/>
              <w:rPr>
                <w:rFonts w:hint="default" w:ascii="Times New Roman" w:hAnsi="Times New Roman" w:eastAsia="HelveticaNeueLTPro-Roman" w:cs="Times New Roman"/>
                <w:i w:val="0"/>
                <w:iCs w:val="0"/>
                <w:color w:val="231F20"/>
                <w:sz w:val="20"/>
                <w:szCs w:val="20"/>
                <w:u w:val="none"/>
              </w:rPr>
            </w:pPr>
            <w:r>
              <w:rPr>
                <w:rFonts w:hint="default" w:ascii="Times New Roman" w:hAnsi="Times New Roman" w:eastAsia="HelveticaNeueLTPro-Roman" w:cs="Times New Roman"/>
                <w:i w:val="0"/>
                <w:iCs w:val="0"/>
                <w:color w:val="231F20"/>
                <w:kern w:val="0"/>
                <w:sz w:val="20"/>
                <w:szCs w:val="20"/>
                <w:u w:val="none"/>
                <w:lang w:val="en-US" w:eastAsia="zh-CN" w:bidi="ar"/>
              </w:rPr>
              <w:t>116</w:t>
            </w:r>
          </w:p>
        </w:tc>
        <w:tc>
          <w:tcPr>
            <w:tcW w:w="942" w:type="pct"/>
            <w:tcBorders>
              <w:top w:val="nil"/>
              <w:left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after="0"/>
              <w:jc w:val="left"/>
              <w:textAlignment w:val="center"/>
              <w:rPr>
                <w:rFonts w:hint="default" w:ascii="Times New Roman" w:hAnsi="Times New Roman" w:eastAsia="HelveticaNeueLTPro-Roman" w:cs="Times New Roman"/>
                <w:i w:val="0"/>
                <w:iCs w:val="0"/>
                <w:color w:val="231F20"/>
                <w:sz w:val="20"/>
                <w:szCs w:val="20"/>
                <w:u w:val="none"/>
              </w:rPr>
            </w:pPr>
            <w:r>
              <w:rPr>
                <w:rStyle w:val="104"/>
                <w:rFonts w:hint="default" w:ascii="Times New Roman" w:hAnsi="Times New Roman" w:cs="Times New Roman"/>
                <w:sz w:val="20"/>
                <w:szCs w:val="20"/>
                <w:lang w:val="en-US" w:eastAsia="zh-CN" w:bidi="ar"/>
              </w:rPr>
              <w:t>Once</w:t>
            </w:r>
          </w:p>
        </w:tc>
      </w:tr>
    </w:tbl>
    <w:p>
      <w:pPr>
        <w:pStyle w:val="56"/>
        <w:keepNext w:val="0"/>
        <w:keepLines w:val="0"/>
        <w:pageBreakBefore w:val="0"/>
        <w:widowControl/>
        <w:numPr>
          <w:ilvl w:val="0"/>
          <w:numId w:val="0"/>
        </w:numPr>
        <w:tabs>
          <w:tab w:val="left" w:pos="-420"/>
        </w:tabs>
        <w:kinsoku/>
        <w:wordWrap/>
        <w:overflowPunct/>
        <w:topLinePunct w:val="0"/>
        <w:autoSpaceDE/>
        <w:autoSpaceDN/>
        <w:bidi w:val="0"/>
        <w:adjustRightInd/>
        <w:snapToGrid/>
        <w:spacing w:before="0" w:after="0" w:line="360" w:lineRule="auto"/>
        <w:contextualSpacing w:val="0"/>
        <w:jc w:val="both"/>
        <w:textAlignment w:val="auto"/>
        <w:rPr>
          <w:rStyle w:val="101"/>
          <w:rFonts w:hint="eastAsia" w:eastAsia="宋体"/>
          <w:lang w:val="en-GB" w:eastAsia="zh-CN" w:bidi="ar"/>
        </w:rPr>
      </w:pPr>
    </w:p>
    <w:p>
      <w:pPr>
        <w:pStyle w:val="4"/>
        <w:keepNext w:val="0"/>
        <w:keepLines w:val="0"/>
        <w:pageBreakBefore w:val="0"/>
        <w:widowControl/>
        <w:numPr>
          <w:ilvl w:val="0"/>
          <w:numId w:val="0"/>
        </w:numPr>
        <w:kinsoku/>
        <w:wordWrap/>
        <w:overflowPunct/>
        <w:topLinePunct w:val="0"/>
        <w:autoSpaceDE/>
        <w:autoSpaceDN/>
        <w:bidi w:val="0"/>
        <w:adjustRightInd/>
        <w:snapToGrid/>
        <w:spacing w:before="0" w:line="360" w:lineRule="auto"/>
        <w:textAlignment w:val="auto"/>
        <w:rPr>
          <w:rFonts w:hint="eastAsia" w:ascii="Times New Roman" w:hAnsi="Times New Roman" w:cs="Times New Roman"/>
          <w:b/>
          <w:bCs/>
          <w:smallCaps w:val="0"/>
          <w:color w:val="auto"/>
          <w:sz w:val="28"/>
          <w:szCs w:val="56"/>
          <w:lang w:val="en-GB"/>
        </w:rPr>
      </w:pPr>
      <w:bookmarkStart w:id="120" w:name="_Toc8838"/>
      <w:r>
        <w:rPr>
          <w:rFonts w:hint="eastAsia" w:ascii="Times New Roman" w:hAnsi="Times New Roman" w:eastAsia="宋体" w:cs="Times New Roman"/>
          <w:b/>
          <w:bCs/>
          <w:smallCaps w:val="0"/>
          <w:color w:val="auto"/>
          <w:sz w:val="28"/>
          <w:szCs w:val="56"/>
          <w:lang w:val="en-US" w:eastAsia="zh-CN"/>
        </w:rPr>
        <w:t xml:space="preserve">4.3 </w:t>
      </w:r>
      <w:r>
        <w:rPr>
          <w:rFonts w:hint="eastAsia" w:ascii="Times New Roman" w:hAnsi="Times New Roman" w:cs="Times New Roman"/>
          <w:b/>
          <w:bCs/>
          <w:smallCaps w:val="0"/>
          <w:color w:val="auto"/>
          <w:sz w:val="28"/>
          <w:szCs w:val="56"/>
          <w:lang w:val="en-GB"/>
        </w:rPr>
        <w:t>Comparative cost consequences</w:t>
      </w:r>
      <w:r>
        <w:rPr>
          <w:rFonts w:hint="default" w:ascii="Times New Roman" w:hAnsi="Times New Roman" w:cs="Times New Roman"/>
          <w:b/>
          <w:bCs/>
          <w:smallCaps w:val="0"/>
          <w:color w:val="auto"/>
          <w:sz w:val="28"/>
          <w:szCs w:val="56"/>
          <w:lang w:val="en-GB" w:eastAsia="zh-CN"/>
        </w:rPr>
        <w:t>—</w:t>
      </w:r>
      <w:r>
        <w:rPr>
          <w:rFonts w:hint="eastAsia" w:ascii="Times New Roman" w:hAnsi="Times New Roman" w:cs="Times New Roman"/>
          <w:b/>
          <w:bCs/>
          <w:smallCaps w:val="0"/>
          <w:color w:val="auto"/>
          <w:sz w:val="28"/>
          <w:szCs w:val="56"/>
          <w:lang w:val="en-GB"/>
        </w:rPr>
        <w:t>non-medical costs</w:t>
      </w:r>
      <w:bookmarkEnd w:id="120"/>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r>
        <w:rPr>
          <w:rStyle w:val="101"/>
          <w:rFonts w:hint="eastAsia" w:eastAsia="宋体"/>
          <w:lang w:val="en-US" w:eastAsia="zh-CN" w:bidi="ar"/>
        </w:rPr>
        <w:t>Neither VPZ nor TPZ retrieved evidence.</w:t>
      </w:r>
    </w:p>
    <w:p>
      <w:pPr>
        <w:keepNext w:val="0"/>
        <w:keepLines w:val="0"/>
        <w:pageBreakBefore w:val="0"/>
        <w:widowControl/>
        <w:kinsoku/>
        <w:wordWrap/>
        <w:overflowPunct/>
        <w:topLinePunct w:val="0"/>
        <w:autoSpaceDE/>
        <w:autoSpaceDN/>
        <w:bidi w:val="0"/>
        <w:adjustRightInd/>
        <w:snapToGrid/>
        <w:spacing w:before="0" w:after="0" w:line="360" w:lineRule="auto"/>
        <w:textAlignment w:val="auto"/>
        <w:outlineLvl w:val="0"/>
        <w:rPr>
          <w:rStyle w:val="67"/>
          <w:rFonts w:hint="default" w:ascii="Times New Roman" w:hAnsi="Times New Roman" w:eastAsia="宋体" w:cs="Times New Roman"/>
          <w:b/>
          <w:bCs/>
          <w:color w:val="auto"/>
          <w:sz w:val="32"/>
          <w:szCs w:val="32"/>
          <w:lang w:val="en-US" w:eastAsia="zh-CN"/>
        </w:rPr>
      </w:pPr>
      <w:bookmarkStart w:id="121" w:name="_Toc11334"/>
      <w:r>
        <w:rPr>
          <w:rStyle w:val="67"/>
          <w:rFonts w:hint="eastAsia" w:ascii="Times New Roman" w:hAnsi="Times New Roman" w:eastAsia="宋体" w:cs="Times New Roman"/>
          <w:b/>
          <w:bCs/>
          <w:color w:val="auto"/>
          <w:sz w:val="32"/>
          <w:szCs w:val="32"/>
          <w:lang w:val="en-US" w:eastAsia="zh-CN"/>
        </w:rPr>
        <w:t>5</w:t>
      </w:r>
      <w:r>
        <w:rPr>
          <w:rStyle w:val="67"/>
          <w:rFonts w:ascii="Times New Roman" w:hAnsi="Times New Roman" w:eastAsia="宋体" w:cs="Times New Roman"/>
          <w:b/>
          <w:bCs/>
          <w:color w:val="auto"/>
          <w:sz w:val="32"/>
          <w:szCs w:val="32"/>
          <w:lang w:val="en-GB"/>
        </w:rPr>
        <w:t xml:space="preserve">. </w:t>
      </w:r>
      <w:r>
        <w:rPr>
          <w:rStyle w:val="67"/>
          <w:rFonts w:hint="eastAsia" w:ascii="Times New Roman" w:hAnsi="Times New Roman" w:eastAsia="宋体" w:cs="Times New Roman"/>
          <w:b/>
          <w:bCs/>
          <w:color w:val="auto"/>
          <w:sz w:val="32"/>
          <w:szCs w:val="32"/>
          <w:lang w:val="en-GB"/>
        </w:rPr>
        <w:t>Knowledge about intervention</w:t>
      </w:r>
      <w:r>
        <w:rPr>
          <w:rStyle w:val="67"/>
          <w:rFonts w:hint="eastAsia" w:ascii="Times New Roman" w:hAnsi="Times New Roman" w:eastAsia="宋体" w:cs="Times New Roman"/>
          <w:b/>
          <w:bCs/>
          <w:color w:val="auto"/>
          <w:sz w:val="32"/>
          <w:szCs w:val="32"/>
          <w:lang w:val="en-US" w:eastAsia="zh-CN"/>
        </w:rPr>
        <w:t xml:space="preserve"> (Absolute Criterion)</w:t>
      </w:r>
      <w:bookmarkEnd w:id="121"/>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ascii="Times New Roman" w:hAnsi="Times New Roman" w:cs="Times New Roman"/>
          <w:b/>
          <w:bCs/>
          <w:smallCaps w:val="0"/>
          <w:color w:val="auto"/>
          <w:sz w:val="28"/>
          <w:szCs w:val="56"/>
          <w:lang w:val="en-GB"/>
        </w:rPr>
      </w:pPr>
      <w:bookmarkStart w:id="122" w:name="_Toc9918"/>
      <w:r>
        <w:rPr>
          <w:rFonts w:hint="eastAsia" w:ascii="Times New Roman" w:hAnsi="Times New Roman" w:eastAsia="宋体" w:cs="Times New Roman"/>
          <w:b/>
          <w:bCs/>
          <w:smallCaps w:val="0"/>
          <w:color w:val="auto"/>
          <w:sz w:val="28"/>
          <w:szCs w:val="56"/>
          <w:lang w:val="en-US" w:eastAsia="zh-CN"/>
        </w:rPr>
        <w:t xml:space="preserve">5.1 </w:t>
      </w:r>
      <w:r>
        <w:rPr>
          <w:rFonts w:hint="eastAsia" w:ascii="Times New Roman" w:hAnsi="Times New Roman" w:cs="Times New Roman"/>
          <w:b/>
          <w:bCs/>
          <w:smallCaps w:val="0"/>
          <w:color w:val="auto"/>
          <w:sz w:val="28"/>
          <w:szCs w:val="56"/>
          <w:lang w:val="en-GB"/>
        </w:rPr>
        <w:t>Quality of evidence</w:t>
      </w:r>
      <w:bookmarkEnd w:id="122"/>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Fonts w:ascii="Times New Roman" w:hAnsi="Times New Roman" w:cs="Times New Roman"/>
          <w:lang w:val="en-GB"/>
        </w:rPr>
        <w:t xml:space="preserve">All </w:t>
      </w:r>
      <w:bookmarkStart w:id="123" w:name="OLE_LINK13"/>
      <w:r>
        <w:rPr>
          <w:rFonts w:ascii="Times New Roman" w:hAnsi="Times New Roman" w:cs="Times New Roman"/>
          <w:lang w:val="en-GB"/>
        </w:rPr>
        <w:t>clinical trials</w:t>
      </w:r>
      <w:bookmarkEnd w:id="123"/>
      <w:r>
        <w:rPr>
          <w:rFonts w:ascii="Times New Roman" w:hAnsi="Times New Roman" w:cs="Times New Roman"/>
          <w:lang w:val="en-GB"/>
        </w:rPr>
        <w:t xml:space="preserve"> included in this study were randomized trials, which were conducted in accordance with the Good Clinical Practices (GCP) guidelines of the International Council for Harmoni</w:t>
      </w:r>
      <w:r>
        <w:rPr>
          <w:rFonts w:hint="eastAsia" w:ascii="Times New Roman" w:hAnsi="Times New Roman" w:eastAsia="宋体" w:cs="Times New Roman"/>
          <w:lang w:val="en-US" w:eastAsia="zh-CN"/>
        </w:rPr>
        <w:t>z</w:t>
      </w:r>
      <w:r>
        <w:rPr>
          <w:rFonts w:ascii="Times New Roman" w:hAnsi="Times New Roman" w:cs="Times New Roman"/>
          <w:lang w:val="en-GB"/>
        </w:rPr>
        <w:t>ation of Technical Requirements for Pharmaceuticals for Human Use (ICH), the principles of the Declaration of Helsinki and the local laws of the countries involved.</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r>
        <w:rPr>
          <w:rStyle w:val="101"/>
          <w:rFonts w:hint="eastAsia" w:eastAsia="宋体"/>
          <w:lang w:val="en-US" w:eastAsia="zh-CN" w:bidi="ar"/>
        </w:rPr>
        <w:t>It should be noted that there is still a lack of direct comparisons between VPZ and TPZ. The control groups in clinical trials were placebo or PPIs. This can only provide evidence for an indirect comparison. For this reason, all systematic reviews and meta-analyses can only provide results for comparisons with PPIs.</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r>
        <w:rPr>
          <w:rStyle w:val="101"/>
          <w:rFonts w:hint="eastAsia" w:eastAsia="宋体"/>
          <w:lang w:val="en-GB" w:eastAsia="zh-CN" w:bidi="ar"/>
        </w:rPr>
        <w:t>Given the practical needs of decision</w:t>
      </w:r>
      <w:r>
        <w:rPr>
          <w:rStyle w:val="101"/>
          <w:rFonts w:hint="eastAsia" w:eastAsia="宋体"/>
          <w:lang w:val="en-US" w:eastAsia="zh-CN" w:bidi="ar"/>
        </w:rPr>
        <w:t>-</w:t>
      </w:r>
      <w:r>
        <w:rPr>
          <w:rStyle w:val="101"/>
          <w:rFonts w:hint="eastAsia" w:eastAsia="宋体"/>
          <w:lang w:val="en-GB" w:eastAsia="zh-CN" w:bidi="ar"/>
        </w:rPr>
        <w:t>making, we used only the pharmacoeconomic studies conducted in China. A Markov model was developed to predict the effectiveness and cost of VPZ versus other PPIs for treat</w:t>
      </w:r>
      <w:r>
        <w:rPr>
          <w:rStyle w:val="101"/>
          <w:rFonts w:hint="eastAsia" w:eastAsia="宋体"/>
          <w:lang w:val="en-US" w:eastAsia="zh-CN" w:bidi="ar"/>
        </w:rPr>
        <w:t>ing</w:t>
      </w:r>
      <w:r>
        <w:rPr>
          <w:rStyle w:val="101"/>
          <w:rFonts w:hint="eastAsia" w:eastAsia="宋体"/>
          <w:lang w:val="en-GB" w:eastAsia="zh-CN" w:bidi="ar"/>
        </w:rPr>
        <w:t xml:space="preserve"> GERD in China. </w:t>
      </w:r>
      <w:r>
        <w:rPr>
          <w:rStyle w:val="101"/>
          <w:rFonts w:hint="eastAsia" w:eastAsia="宋体"/>
          <w:lang w:val="en-US" w:eastAsia="zh-CN" w:bidi="ar"/>
        </w:rPr>
        <w:t>This</w:t>
      </w:r>
      <w:r>
        <w:rPr>
          <w:rStyle w:val="101"/>
          <w:rFonts w:hint="eastAsia" w:eastAsia="宋体"/>
          <w:lang w:val="en-GB" w:eastAsia="zh-CN" w:bidi="ar"/>
        </w:rPr>
        <w:t xml:space="preserve"> model </w:t>
      </w:r>
      <w:r>
        <w:rPr>
          <w:rStyle w:val="101"/>
          <w:rFonts w:hint="eastAsia" w:eastAsia="宋体"/>
          <w:lang w:val="en-US" w:eastAsia="zh-CN" w:bidi="ar"/>
        </w:rPr>
        <w:t>is</w:t>
      </w:r>
      <w:r>
        <w:rPr>
          <w:rStyle w:val="101"/>
          <w:rFonts w:hint="eastAsia" w:eastAsia="宋体"/>
          <w:lang w:val="en-GB" w:eastAsia="zh-CN" w:bidi="ar"/>
        </w:rPr>
        <w:t xml:space="preserve"> well studied for modelling the progression of chronic diseases and ha</w:t>
      </w:r>
      <w:r>
        <w:rPr>
          <w:rStyle w:val="101"/>
          <w:rFonts w:hint="eastAsia" w:eastAsia="宋体"/>
          <w:lang w:val="en-US" w:eastAsia="zh-CN" w:bidi="ar"/>
        </w:rPr>
        <w:t>s</w:t>
      </w:r>
      <w:r>
        <w:rPr>
          <w:rStyle w:val="101"/>
          <w:rFonts w:hint="eastAsia" w:eastAsia="宋体"/>
          <w:lang w:val="en-GB" w:eastAsia="zh-CN" w:bidi="ar"/>
        </w:rPr>
        <w:t xml:space="preserve"> been widely used in economic evaluations of GERD treatment.</w:t>
      </w:r>
      <w:r>
        <w:rPr>
          <w:rStyle w:val="101"/>
          <w:rFonts w:hint="eastAsia" w:eastAsia="宋体"/>
          <w:lang w:val="en-US" w:eastAsia="zh-CN" w:bidi="ar"/>
        </w:rPr>
        <w:t xml:space="preserve"> </w:t>
      </w:r>
      <w:r>
        <w:rPr>
          <w:rStyle w:val="101"/>
          <w:rFonts w:hint="eastAsia" w:eastAsia="宋体"/>
          <w:lang w:val="en-GB" w:eastAsia="zh-CN" w:bidi="ar"/>
        </w:rPr>
        <w:t>The model included an acute treatment phase and a maintenance phase, reflecting the general treatment pattern of all GERD patients as well as GERD patients with moderate to severe disease</w:t>
      </w:r>
      <w:r>
        <w:rPr>
          <w:rStyle w:val="101"/>
          <w:rFonts w:hint="default" w:eastAsia="宋体"/>
          <w:vertAlign w:val="baseline"/>
          <w:lang w:val="en-GB" w:eastAsia="zh-CN" w:bidi="ar"/>
        </w:rPr>
        <w:fldChar w:fldCharType="begin"/>
      </w:r>
      <w:r>
        <w:rPr>
          <w:rStyle w:val="101"/>
          <w:rFonts w:hint="default" w:eastAsia="宋体"/>
          <w:vertAlign w:val="baseline"/>
          <w:lang w:val="en-GB" w:eastAsia="zh-CN" w:bidi="ar"/>
        </w:rPr>
        <w:instrText xml:space="preserve"> ADDIN NE.Ref.{DA19E510-5558-473C-BCFC-FD0C0CDA0282}</w:instrText>
      </w:r>
      <w:r>
        <w:rPr>
          <w:rStyle w:val="101"/>
          <w:rFonts w:hint="default" w:eastAsia="宋体"/>
          <w:vertAlign w:val="baseline"/>
          <w:lang w:val="en-GB" w:eastAsia="zh-CN" w:bidi="ar"/>
        </w:rPr>
        <w:fldChar w:fldCharType="separate"/>
      </w:r>
      <w:r>
        <w:rPr>
          <w:rStyle w:val="101"/>
          <w:rFonts w:hint="default" w:eastAsia="宋体"/>
          <w:vertAlign w:val="baseline"/>
          <w:lang w:val="en-US" w:eastAsia="zh-CN" w:bidi="ar"/>
        </w:rPr>
        <w:t>[48]</w:t>
      </w:r>
      <w:r>
        <w:rPr>
          <w:rStyle w:val="101"/>
          <w:rFonts w:hint="default" w:eastAsia="宋体"/>
          <w:vertAlign w:val="baseline"/>
          <w:lang w:val="en-GB" w:eastAsia="zh-CN" w:bidi="ar"/>
        </w:rPr>
        <w:fldChar w:fldCharType="end"/>
      </w:r>
      <w:r>
        <w:rPr>
          <w:rStyle w:val="101"/>
          <w:rFonts w:hint="eastAsia" w:eastAsia="宋体"/>
          <w:lang w:val="en-GB" w:eastAsia="zh-CN" w:bidi="ar"/>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GB" w:eastAsia="zh-CN" w:bidi="ar"/>
        </w:rPr>
      </w:pPr>
      <w:bookmarkStart w:id="124" w:name="OLE_LINK12"/>
      <w:r>
        <w:rPr>
          <w:rStyle w:val="101"/>
          <w:rFonts w:hint="eastAsia" w:eastAsia="宋体"/>
          <w:lang w:val="en-US" w:eastAsia="zh-CN" w:bidi="ar"/>
        </w:rPr>
        <w:t xml:space="preserve">Evidence for absolute indicators includes systematic reviews and </w:t>
      </w:r>
      <w:bookmarkStart w:id="125" w:name="OLE_LINK1"/>
      <w:r>
        <w:rPr>
          <w:rStyle w:val="101"/>
          <w:rFonts w:hint="eastAsia" w:eastAsia="宋体"/>
          <w:lang w:val="en-US" w:eastAsia="zh-CN" w:bidi="ar"/>
        </w:rPr>
        <w:t>meta-analyses</w:t>
      </w:r>
      <w:bookmarkEnd w:id="125"/>
      <w:r>
        <w:rPr>
          <w:rStyle w:val="101"/>
          <w:rFonts w:hint="eastAsia" w:eastAsia="宋体"/>
          <w:lang w:val="en-US" w:eastAsia="zh-CN" w:bidi="ar"/>
        </w:rPr>
        <w:t>, evidence-based clinical practice guidelines, expert consensus, epidemiological studies, etc.</w:t>
      </w:r>
      <w:bookmarkEnd w:id="124"/>
      <w:r>
        <w:rPr>
          <w:rStyle w:val="101"/>
          <w:rFonts w:hint="eastAsia" w:eastAsia="宋体"/>
          <w:lang w:val="en-US" w:eastAsia="zh-CN" w:bidi="ar"/>
        </w:rPr>
        <w:t xml:space="preserve"> All evidence is reviewed by clinical experts.</w:t>
      </w:r>
    </w:p>
    <w:p>
      <w:pPr>
        <w:pStyle w:val="4"/>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ascii="Times New Roman" w:hAnsi="Times New Roman" w:cs="Times New Roman"/>
          <w:b/>
          <w:bCs/>
          <w:smallCaps w:val="0"/>
          <w:color w:val="auto"/>
          <w:sz w:val="28"/>
          <w:szCs w:val="56"/>
          <w:lang w:val="en-GB"/>
        </w:rPr>
      </w:pPr>
      <w:bookmarkStart w:id="126" w:name="_Toc31259"/>
      <w:r>
        <w:rPr>
          <w:rFonts w:hint="eastAsia" w:ascii="Times New Roman" w:hAnsi="Times New Roman" w:eastAsia="宋体" w:cs="Times New Roman"/>
          <w:b/>
          <w:bCs/>
          <w:smallCaps w:val="0"/>
          <w:color w:val="auto"/>
          <w:sz w:val="28"/>
          <w:szCs w:val="56"/>
          <w:lang w:val="en-US" w:eastAsia="zh-CN"/>
        </w:rPr>
        <w:t xml:space="preserve">5.2 </w:t>
      </w:r>
      <w:r>
        <w:rPr>
          <w:rFonts w:hint="eastAsia" w:ascii="Times New Roman" w:hAnsi="Times New Roman" w:cs="Times New Roman"/>
          <w:b/>
          <w:bCs/>
          <w:smallCaps w:val="0"/>
          <w:color w:val="auto"/>
          <w:sz w:val="28"/>
          <w:szCs w:val="56"/>
          <w:lang w:val="en-GB"/>
        </w:rPr>
        <w:t>Expert consensus/clinical practice guidelines</w:t>
      </w:r>
      <w:bookmarkEnd w:id="126"/>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bookmarkStart w:id="127" w:name="OLE_LINK22"/>
      <w:r>
        <w:rPr>
          <w:rFonts w:hint="eastAsia" w:ascii="Times New Roman" w:hAnsi="Times New Roman" w:cs="Times New Roman"/>
          <w:lang w:val="en-GB"/>
        </w:rPr>
        <w:t xml:space="preserve">Chinese consensus on multidisciplinary diagnosis and treatment of </w:t>
      </w:r>
      <w:r>
        <w:rPr>
          <w:rFonts w:hint="eastAsia" w:ascii="Times New Roman" w:hAnsi="Times New Roman" w:eastAsia="宋体" w:cs="Times New Roman"/>
          <w:lang w:val="en-US" w:eastAsia="zh-CN"/>
        </w:rPr>
        <w:t>GERD</w:t>
      </w:r>
      <w:r>
        <w:rPr>
          <w:rFonts w:hint="eastAsia" w:ascii="Times New Roman" w:hAnsi="Times New Roman" w:cs="Times New Roman"/>
          <w:lang w:val="en-GB"/>
        </w:rPr>
        <w:t xml:space="preserve"> 2022</w:t>
      </w:r>
      <w:r>
        <w:rPr>
          <w:rFonts w:hint="eastAsia" w:ascii="Times New Roman" w:hAnsi="Times New Roman" w:eastAsia="宋体" w:cs="Times New Roman"/>
          <w:lang w:val="en-US" w:eastAsia="zh-CN"/>
        </w:rPr>
        <w:t>,</w:t>
      </w:r>
      <w:bookmarkStart w:id="128" w:name="OLE_LINK20"/>
      <w:r>
        <w:rPr>
          <w:rFonts w:hint="eastAsia" w:ascii="Times New Roman" w:hAnsi="Times New Roman" w:eastAsia="宋体" w:cs="Times New Roman"/>
          <w:lang w:val="en-US" w:eastAsia="zh-CN"/>
        </w:rPr>
        <w:t xml:space="preserve"> r</w:t>
      </w:r>
      <w:r>
        <w:rPr>
          <w:rFonts w:hint="eastAsia" w:ascii="Times New Roman" w:hAnsi="Times New Roman" w:cs="Times New Roman"/>
          <w:lang w:val="en-GB"/>
        </w:rPr>
        <w:t>ecommendations for drug therapy are as follows</w:t>
      </w:r>
      <w:r>
        <w:rPr>
          <w:rFonts w:hint="eastAsia" w:ascii="Times New Roman" w:hAnsi="Times New Roman" w:eastAsia="宋体" w:cs="Times New Roman"/>
          <w:lang w:val="en-US" w:eastAsia="zh-CN"/>
        </w:rPr>
        <w:t>:</w:t>
      </w:r>
      <w:bookmarkEnd w:id="128"/>
      <w:r>
        <w:rPr>
          <w:rFonts w:hint="eastAsia" w:ascii="Times New Roman" w:hAnsi="Times New Roman" w:eastAsia="宋体" w:cs="Times New Roman"/>
          <w:lang w:val="en-US" w:eastAsia="zh-CN"/>
        </w:rPr>
        <w:t xml:space="preserve"> PPIs and P-CABs are the first-line treatment for GERD, relieving symptoms and complications in most people with GERD</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NE.Ref.{390CFECB-A561-4CB3-B809-C412B1EB5406}</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[49, 50]</w:t>
      </w:r>
      <w:r>
        <w:rPr>
          <w:rStyle w:val="101"/>
          <w:rFonts w:hint="default" w:eastAsia="宋体"/>
          <w:vertAlign w:val="baseline"/>
          <w:lang w:val="en-US" w:eastAsia="zh-CN" w:bidi="ar"/>
        </w:rPr>
        <w:fldChar w:fldCharType="end"/>
      </w:r>
      <w:r>
        <w:rPr>
          <w:rFonts w:hint="eastAsia" w:ascii="Times New Roman" w:hAnsi="Times New Roman" w:eastAsia="宋体" w:cs="Times New Roman"/>
          <w:lang w:val="en-US" w:eastAsia="zh-CN"/>
        </w:rPr>
        <w:t>.</w:t>
      </w:r>
      <w:bookmarkEnd w:id="127"/>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 xml:space="preserve">Evidence-based clinical practice guidelines for </w:t>
      </w:r>
      <w:r>
        <w:rPr>
          <w:rFonts w:hint="eastAsia" w:ascii="Times New Roman" w:hAnsi="Times New Roman" w:eastAsia="宋体" w:cs="Times New Roman"/>
          <w:lang w:val="en-US" w:eastAsia="zh-CN"/>
        </w:rPr>
        <w:t>GERD</w:t>
      </w:r>
      <w:r>
        <w:rPr>
          <w:rStyle w:val="101"/>
          <w:rFonts w:hint="eastAsia" w:eastAsia="宋体"/>
          <w:lang w:val="en-US" w:eastAsia="zh-CN" w:bidi="ar"/>
        </w:rPr>
        <w:t xml:space="preserve"> 2021 in Japan,</w:t>
      </w:r>
      <w:bookmarkStart w:id="129" w:name="OLE_LINK23"/>
      <w:r>
        <w:rPr>
          <w:rFonts w:hint="eastAsia" w:ascii="Times New Roman" w:hAnsi="Times New Roman" w:eastAsia="宋体" w:cs="Times New Roman"/>
          <w:lang w:val="en-US" w:eastAsia="zh-CN"/>
        </w:rPr>
        <w:t xml:space="preserve"> r</w:t>
      </w:r>
      <w:r>
        <w:rPr>
          <w:rFonts w:hint="eastAsia" w:ascii="Times New Roman" w:hAnsi="Times New Roman" w:cs="Times New Roman"/>
          <w:lang w:val="en-GB"/>
        </w:rPr>
        <w:t>ecommendations for drug therapy are as follows</w:t>
      </w:r>
      <w:r>
        <w:rPr>
          <w:rFonts w:hint="eastAsia" w:ascii="Times New Roman" w:hAnsi="Times New Roman" w:eastAsia="宋体" w:cs="Times New Roman"/>
          <w:lang w:val="en-US" w:eastAsia="zh-CN"/>
        </w:rPr>
        <w:t xml:space="preserve">: </w:t>
      </w:r>
      <w:bookmarkEnd w:id="129"/>
      <w:r>
        <w:rPr>
          <w:rFonts w:hint="eastAsia" w:ascii="Times New Roman" w:hAnsi="Times New Roman" w:eastAsia="宋体" w:cs="Times New Roman"/>
          <w:lang w:val="en-US" w:eastAsia="zh-CN"/>
        </w:rPr>
        <w:t xml:space="preserve">(1) PPIs and </w:t>
      </w:r>
      <w:bookmarkStart w:id="130" w:name="OLE_LINK24"/>
      <w:r>
        <w:rPr>
          <w:rFonts w:hint="eastAsia" w:ascii="Times New Roman" w:hAnsi="Times New Roman" w:eastAsia="宋体" w:cs="Times New Roman"/>
          <w:lang w:val="en-US" w:eastAsia="zh-CN"/>
        </w:rPr>
        <w:t>P-CAB</w:t>
      </w:r>
      <w:bookmarkEnd w:id="130"/>
      <w:r>
        <w:rPr>
          <w:rFonts w:hint="eastAsia" w:ascii="Times New Roman" w:hAnsi="Times New Roman" w:eastAsia="宋体" w:cs="Times New Roman"/>
          <w:lang w:val="en-US" w:eastAsia="zh-CN"/>
        </w:rPr>
        <w:t>s both achieve esophageal mucosal healing in the initial treatment of mild RE. Both medications are recommended as a first-line treatment for patients with mild RE (Strong recommendation, Evidence level B, 100% agreed). (2) VPZ at 20 mg once daily for 4 weeks is proposed as the initial treatment of patients with severe RE (Weak recommendation, Evidence level C, 100% agreed). (3) P-CABs are proposed for the long-term maintenance of mild RE (Weak recommendation, Evidence level C, 86% agreed)</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NE.Ref.{35F86201-F074-439C-BE04-BA6CA48C61B8}</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[4]</w:t>
      </w:r>
      <w:r>
        <w:rPr>
          <w:rStyle w:val="101"/>
          <w:rFonts w:hint="default" w:eastAsia="宋体"/>
          <w:vertAlign w:val="baseline"/>
          <w:lang w:val="en-US" w:eastAsia="zh-CN" w:bidi="ar"/>
        </w:rPr>
        <w:fldChar w:fldCharType="end"/>
      </w:r>
      <w:r>
        <w:rPr>
          <w:rFonts w:hint="eastAsia" w:ascii="Times New Roman" w:hAnsi="Times New Roman" w:eastAsia="宋体" w:cs="Times New Roman"/>
          <w:lang w:val="en-US"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2020 Seoul Consensus on the Diagnosis and Management of Gastroesophageal Reflux Disease,</w:t>
      </w:r>
      <w:r>
        <w:rPr>
          <w:rFonts w:hint="eastAsia" w:ascii="Times New Roman" w:hAnsi="Times New Roman" w:eastAsia="宋体" w:cs="Times New Roman"/>
          <w:lang w:val="en-US" w:eastAsia="zh-CN"/>
        </w:rPr>
        <w:t xml:space="preserve"> r</w:t>
      </w:r>
      <w:r>
        <w:rPr>
          <w:rFonts w:hint="eastAsia" w:ascii="Times New Roman" w:hAnsi="Times New Roman" w:cs="Times New Roman"/>
          <w:lang w:val="en-GB"/>
        </w:rPr>
        <w:t>ecommendations for drug therapy are as follows</w:t>
      </w:r>
      <w:r>
        <w:rPr>
          <w:rFonts w:hint="eastAsia" w:ascii="Times New Roman" w:hAnsi="Times New Roman" w:eastAsia="宋体" w:cs="Times New Roman"/>
          <w:lang w:val="en-US" w:eastAsia="zh-CN"/>
        </w:rPr>
        <w:t>: The efficacy of P-CABs is comparable to PPIs, hence they are recommended as an initial treatment of GERD. Level of evidence: moderate. Strength of recommendation: strong</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NE.Ref.{4D4BFC69-0410-4A6A-B9D0-367CBC09EDF5}</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[51]</w:t>
      </w:r>
      <w:r>
        <w:rPr>
          <w:rStyle w:val="101"/>
          <w:rFonts w:hint="default" w:eastAsia="宋体"/>
          <w:vertAlign w:val="baseline"/>
          <w:lang w:val="en-US" w:eastAsia="zh-CN" w:bidi="ar"/>
        </w:rPr>
        <w:fldChar w:fldCharType="end"/>
      </w:r>
      <w:r>
        <w:rPr>
          <w:rFonts w:hint="eastAsia" w:ascii="Times New Roman" w:hAnsi="Times New Roman" w:eastAsia="宋体" w:cs="Times New Roman"/>
          <w:lang w:val="en-US" w:eastAsia="zh-CN"/>
        </w:rPr>
        <w:t>.</w:t>
      </w:r>
    </w:p>
    <w:p>
      <w:pPr>
        <w:pStyle w:val="56"/>
        <w:keepNext w:val="0"/>
        <w:keepLines w:val="0"/>
        <w:pageBreakBefore w:val="0"/>
        <w:widowControl/>
        <w:numPr>
          <w:ilvl w:val="0"/>
          <w:numId w:val="1"/>
        </w:numPr>
        <w:kinsoku/>
        <w:wordWrap/>
        <w:overflowPunct/>
        <w:topLinePunct w:val="0"/>
        <w:autoSpaceDE/>
        <w:autoSpaceDN/>
        <w:bidi w:val="0"/>
        <w:adjustRightInd/>
        <w:snapToGrid/>
        <w:spacing w:before="0" w:after="0" w:line="360" w:lineRule="auto"/>
        <w:ind w:left="1281" w:leftChars="0" w:hanging="357"/>
        <w:contextualSpacing w:val="0"/>
        <w:textAlignment w:val="auto"/>
        <w:rPr>
          <w:rStyle w:val="101"/>
          <w:rFonts w:hint="eastAsia" w:eastAsia="宋体"/>
          <w:lang w:val="en-US" w:eastAsia="zh-CN" w:bidi="ar"/>
        </w:rPr>
      </w:pPr>
      <w:r>
        <w:rPr>
          <w:rStyle w:val="101"/>
          <w:rFonts w:hint="eastAsia" w:eastAsia="宋体"/>
          <w:lang w:val="en-US" w:eastAsia="zh-CN" w:bidi="ar"/>
        </w:rPr>
        <w:t xml:space="preserve">European Society of Neurogastroenterology and Motility (ESNM)/American Neurogastroenterology and Motility Society (ANMS) consensus paper: Diagnosis and management of refractory </w:t>
      </w:r>
      <w:r>
        <w:rPr>
          <w:rFonts w:hint="eastAsia" w:ascii="Times New Roman" w:hAnsi="Times New Roman" w:eastAsia="宋体" w:cs="Times New Roman"/>
          <w:lang w:val="en-US" w:eastAsia="zh-CN"/>
        </w:rPr>
        <w:t>GERD</w:t>
      </w:r>
      <w:r>
        <w:rPr>
          <w:rStyle w:val="101"/>
          <w:rFonts w:hint="eastAsia" w:eastAsia="宋体"/>
          <w:lang w:val="en-US" w:eastAsia="zh-CN" w:bidi="ar"/>
        </w:rPr>
        <w:t xml:space="preserve"> 2020, </w:t>
      </w:r>
      <w:r>
        <w:rPr>
          <w:rFonts w:hint="eastAsia" w:ascii="Times New Roman" w:hAnsi="Times New Roman" w:eastAsia="宋体" w:cs="Times New Roman"/>
          <w:lang w:val="en-US" w:eastAsia="zh-CN"/>
        </w:rPr>
        <w:t>r</w:t>
      </w:r>
      <w:r>
        <w:rPr>
          <w:rFonts w:hint="eastAsia" w:ascii="Times New Roman" w:hAnsi="Times New Roman" w:cs="Times New Roman"/>
          <w:lang w:val="en-GB"/>
        </w:rPr>
        <w:t>ecommendations for drug therapy are as follows</w:t>
      </w:r>
      <w:r>
        <w:rPr>
          <w:rFonts w:hint="eastAsia" w:ascii="Times New Roman" w:hAnsi="Times New Roman" w:eastAsia="宋体" w:cs="Times New Roman"/>
          <w:lang w:val="en-US" w:eastAsia="zh-CN"/>
        </w:rPr>
        <w:t xml:space="preserve">: P-CABs </w:t>
      </w:r>
      <w:bookmarkStart w:id="131" w:name="OLE_LINK21"/>
      <w:r>
        <w:rPr>
          <w:rFonts w:hint="eastAsia" w:ascii="Times New Roman" w:hAnsi="Times New Roman" w:eastAsia="宋体" w:cs="Times New Roman"/>
          <w:lang w:val="en-US" w:eastAsia="zh-CN"/>
        </w:rPr>
        <w:t>taken once-daily</w:t>
      </w:r>
      <w:bookmarkEnd w:id="131"/>
      <w:r>
        <w:rPr>
          <w:rFonts w:hint="eastAsia" w:ascii="Times New Roman" w:hAnsi="Times New Roman" w:eastAsia="宋体" w:cs="Times New Roman"/>
          <w:lang w:val="en-US" w:eastAsia="zh-CN"/>
        </w:rPr>
        <w:t xml:space="preserve"> control intragastric pH more effectively and rapidly than any standard-dose PPIs taken once daily and have potential value in refractory GERD</w:t>
      </w:r>
      <w:r>
        <w:rPr>
          <w:rStyle w:val="101"/>
          <w:rFonts w:hint="default" w:eastAsia="宋体"/>
          <w:vertAlign w:val="baseline"/>
          <w:lang w:val="en-US" w:eastAsia="zh-CN" w:bidi="ar"/>
        </w:rPr>
        <w:fldChar w:fldCharType="begin"/>
      </w:r>
      <w:r>
        <w:rPr>
          <w:rStyle w:val="101"/>
          <w:rFonts w:hint="default" w:eastAsia="宋体"/>
          <w:vertAlign w:val="baseline"/>
          <w:lang w:val="en-US" w:eastAsia="zh-CN" w:bidi="ar"/>
        </w:rPr>
        <w:instrText xml:space="preserve"> ADDIN NE.Ref.{71067360-E160-4C25-BF6C-8153ADB9353C}</w:instrText>
      </w:r>
      <w:r>
        <w:rPr>
          <w:rStyle w:val="101"/>
          <w:rFonts w:hint="default" w:eastAsia="宋体"/>
          <w:vertAlign w:val="baseline"/>
          <w:lang w:val="en-US" w:eastAsia="zh-CN" w:bidi="ar"/>
        </w:rPr>
        <w:fldChar w:fldCharType="separate"/>
      </w:r>
      <w:r>
        <w:rPr>
          <w:rStyle w:val="101"/>
          <w:rFonts w:hint="default" w:eastAsia="宋体"/>
          <w:vertAlign w:val="baseline"/>
          <w:lang w:val="en-US" w:eastAsia="zh-CN" w:bidi="ar"/>
        </w:rPr>
        <w:t>[5]</w:t>
      </w:r>
      <w:r>
        <w:rPr>
          <w:rStyle w:val="101"/>
          <w:rFonts w:hint="default" w:eastAsia="宋体"/>
          <w:vertAlign w:val="baseline"/>
          <w:lang w:val="en-US" w:eastAsia="zh-CN" w:bidi="ar"/>
        </w:rPr>
        <w:fldChar w:fldCharType="end"/>
      </w:r>
      <w:r>
        <w:rPr>
          <w:rFonts w:hint="eastAsia" w:ascii="Times New Roman" w:hAnsi="Times New Roman" w:eastAsia="宋体" w:cs="Times New Roman"/>
          <w:lang w:val="en-US" w:eastAsia="zh-CN"/>
        </w:rPr>
        <w:t>.</w:t>
      </w:r>
    </w:p>
    <w:p>
      <w:pPr>
        <w:spacing w:beforeLines="0" w:afterLines="0"/>
        <w:jc w:val="left"/>
        <w:rPr>
          <w:rFonts w:hint="default"/>
          <w:sz w:val="24"/>
          <w:szCs w:val="24"/>
        </w:rPr>
      </w:pPr>
      <w:r>
        <w:rPr>
          <w:rFonts w:hint="default"/>
          <w:lang w:val="en-US" w:eastAsia="zh-CN"/>
        </w:rPr>
        <w:fldChar w:fldCharType="begin"/>
      </w:r>
      <w:r>
        <w:rPr>
          <w:rFonts w:hint="eastAsia"/>
          <w:lang w:val="en-US" w:eastAsia="zh-CN"/>
        </w:rPr>
        <w:instrText xml:space="preserve"> ADDIN NE.Bib</w:instrText>
      </w:r>
      <w:r>
        <w:rPr>
          <w:rFonts w:hint="default"/>
          <w:lang w:val="en-US" w:eastAsia="zh-CN"/>
        </w:rPr>
        <w:fldChar w:fldCharType="separate"/>
      </w:r>
    </w:p>
    <w:p>
      <w:pPr>
        <w:rPr>
          <w:rFonts w:hint="default" w:ascii="Times New Roman" w:hAnsi="Times New Roman" w:eastAsia="宋体" w:cs="Times New Roman"/>
          <w:b w:val="0"/>
          <w:bCs/>
          <w:sz w:val="24"/>
          <w:szCs w:val="24"/>
          <w:lang w:val="en-US" w:eastAsia="zh-CN"/>
        </w:rPr>
      </w:pPr>
      <w:r>
        <w:rPr>
          <w:rFonts w:hint="eastAsia" w:ascii="宋体" w:hAnsi="宋体"/>
          <w:b/>
          <w:color w:val="000000"/>
          <w:sz w:val="40"/>
          <w:szCs w:val="24"/>
        </w:rPr>
        <w:br w:type="page"/>
      </w:r>
      <w:r>
        <w:rPr>
          <w:rFonts w:hint="default" w:ascii="Times New Roman" w:hAnsi="Times New Roman" w:eastAsia="宋体" w:cs="Times New Roman"/>
          <w:b w:val="0"/>
          <w:bCs/>
          <w:color w:val="000000"/>
          <w:sz w:val="32"/>
          <w:szCs w:val="32"/>
          <w:lang w:val="en-US" w:eastAsia="zh-CN"/>
        </w:rPr>
        <w:t>References</w:t>
      </w:r>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[1]</w:t>
      </w:r>
      <w:r>
        <w:rPr>
          <w:rFonts w:hint="default" w:ascii="Times New Roman" w:hAnsi="Times New Roman" w:eastAsia="Times New Roman"/>
          <w:color w:val="000000"/>
          <w:sz w:val="20"/>
          <w:szCs w:val="24"/>
        </w:rPr>
        <w:tab/>
      </w:r>
      <w:bookmarkStart w:id="132" w:name="_nebBB560DA6_8E39_49C8_A992_1D2DBA0C8E14"/>
      <w:r>
        <w:rPr>
          <w:rFonts w:hint="default" w:ascii="Times New Roman" w:hAnsi="Times New Roman" w:eastAsia="Times New Roman"/>
          <w:color w:val="000000"/>
          <w:sz w:val="20"/>
          <w:szCs w:val="24"/>
        </w:rPr>
        <w:t>FASS R, BOECKXSTAENS G E, EL-SERAG H, et al. Gastro-oesophageal reflux disease[J]. Nat Rev Dis Primers, 2021,7(1): 55.</w:t>
      </w:r>
      <w:bookmarkEnd w:id="132"/>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[2]</w:t>
      </w:r>
      <w:r>
        <w:rPr>
          <w:rFonts w:hint="default" w:ascii="Times New Roman" w:hAnsi="Times New Roman" w:eastAsia="Times New Roman"/>
          <w:color w:val="000000"/>
          <w:sz w:val="20"/>
          <w:szCs w:val="24"/>
        </w:rPr>
        <w:tab/>
      </w:r>
      <w:bookmarkStart w:id="133" w:name="_neb42D08DF3_1435_48DE_86A7_ED69488BFA3F"/>
      <w:r>
        <w:rPr>
          <w:rFonts w:hint="default" w:ascii="Times New Roman" w:hAnsi="Times New Roman" w:eastAsia="Times New Roman"/>
          <w:color w:val="000000"/>
          <w:sz w:val="20"/>
          <w:szCs w:val="24"/>
        </w:rPr>
        <w:t>LAGERGREN J, BERGSTROM R, LINDGREN A, et al. Symptomatic gastroesophageal reflux as a risk factor for esophageal  adenocarcinoma[J]. N Engl J Med, 1999,340(11): 825-831.</w:t>
      </w:r>
      <w:bookmarkEnd w:id="133"/>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[3]</w:t>
      </w:r>
      <w:r>
        <w:rPr>
          <w:rFonts w:hint="default" w:ascii="Times New Roman" w:hAnsi="Times New Roman" w:eastAsia="Times New Roman"/>
          <w:color w:val="000000"/>
          <w:sz w:val="20"/>
          <w:szCs w:val="24"/>
        </w:rPr>
        <w:tab/>
      </w:r>
      <w:bookmarkStart w:id="134" w:name="_neb7BBC2EF9_1FF7_4818_8B36_DC3EAEBDB653"/>
      <w:r>
        <w:rPr>
          <w:rFonts w:hint="default" w:ascii="Times New Roman" w:hAnsi="Times New Roman" w:eastAsia="Times New Roman"/>
          <w:color w:val="000000"/>
          <w:sz w:val="20"/>
          <w:szCs w:val="24"/>
        </w:rPr>
        <w:t>YADLAPATI R, GYAWALI C P, PANDOLFINO J E. AGA Clinical Practice Update on the Personalized Approach to the Evaluation and  Management of GERD: Expert Review[J]. Clin Gastroenterol Hepatol, 2022,20(5): 984-994.</w:t>
      </w:r>
      <w:bookmarkEnd w:id="134"/>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[4]</w:t>
      </w:r>
      <w:r>
        <w:rPr>
          <w:rFonts w:hint="default" w:ascii="Times New Roman" w:hAnsi="Times New Roman" w:eastAsia="Times New Roman"/>
          <w:color w:val="000000"/>
          <w:sz w:val="20"/>
          <w:szCs w:val="24"/>
        </w:rPr>
        <w:tab/>
      </w:r>
      <w:bookmarkStart w:id="135" w:name="_neb4DC36D14_3F1D_438A_866F_2510F9D7C950"/>
      <w:r>
        <w:rPr>
          <w:rFonts w:hint="default" w:ascii="Times New Roman" w:hAnsi="Times New Roman" w:eastAsia="Times New Roman"/>
          <w:color w:val="000000"/>
          <w:sz w:val="20"/>
          <w:szCs w:val="24"/>
        </w:rPr>
        <w:t>IWAKIRI K, FUJIWARA Y, MANABE N, et al. Evidence-based clinical practice guidelines for gastroesophageal reflux disease  2021[J]. J Gastroenterol, 2022,57(4): 267-285.</w:t>
      </w:r>
      <w:bookmarkEnd w:id="135"/>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[5]</w:t>
      </w:r>
      <w:r>
        <w:rPr>
          <w:rFonts w:hint="default" w:ascii="Times New Roman" w:hAnsi="Times New Roman" w:eastAsia="Times New Roman"/>
          <w:color w:val="000000"/>
          <w:sz w:val="20"/>
          <w:szCs w:val="24"/>
        </w:rPr>
        <w:tab/>
      </w:r>
      <w:bookmarkStart w:id="136" w:name="_nebFD4777C6_0B99_4F71_B442_C9BDEA2E6C68"/>
      <w:r>
        <w:rPr>
          <w:rFonts w:hint="default" w:ascii="Times New Roman" w:hAnsi="Times New Roman" w:eastAsia="Times New Roman"/>
          <w:color w:val="000000"/>
          <w:sz w:val="20"/>
          <w:szCs w:val="24"/>
        </w:rPr>
        <w:t>ZERBIB F, BREDENOORD A J, FASS R, et al. ESNM/ANMS consensus paper: Diagnosis and management of refractory  gastro-esophageal reflux disease[J]. Neurogastroenterol Motil, 2021,33(4): e14075.</w:t>
      </w:r>
      <w:bookmarkEnd w:id="136"/>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[6]</w:t>
      </w:r>
      <w:r>
        <w:rPr>
          <w:rFonts w:hint="default" w:ascii="Times New Roman" w:hAnsi="Times New Roman" w:eastAsia="Times New Roman"/>
          <w:color w:val="000000"/>
          <w:sz w:val="20"/>
          <w:szCs w:val="24"/>
        </w:rPr>
        <w:tab/>
      </w:r>
      <w:bookmarkStart w:id="137" w:name="_neb459763F9_3FFF_4028_98E7_1C3888A65BDB"/>
      <w:r>
        <w:rPr>
          <w:rFonts w:hint="default" w:ascii="Times New Roman" w:hAnsi="Times New Roman" w:eastAsia="Times New Roman"/>
          <w:color w:val="000000"/>
          <w:sz w:val="20"/>
          <w:szCs w:val="24"/>
        </w:rPr>
        <w:t>NESS-JENSEN E, SANTONI G, GOTTLIEB-VEDI E, et al. Mortality in gastro-oesophageal reflux disease in a population-based nationwide  cohort study of Swedish twins[J]. BMJ Open, 2020,10(8): e37456.</w:t>
      </w:r>
      <w:bookmarkEnd w:id="137"/>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[7]</w:t>
      </w:r>
      <w:r>
        <w:rPr>
          <w:rFonts w:hint="default" w:ascii="Times New Roman" w:hAnsi="Times New Roman" w:eastAsia="Times New Roman"/>
          <w:color w:val="000000"/>
          <w:sz w:val="20"/>
          <w:szCs w:val="24"/>
        </w:rPr>
        <w:tab/>
      </w:r>
      <w:bookmarkStart w:id="138" w:name="_nebE10AD4F5_B372_4836_8C38_3EBE3B40D4D2"/>
      <w:r>
        <w:rPr>
          <w:rFonts w:hint="default" w:ascii="Times New Roman" w:hAnsi="Times New Roman" w:eastAsia="Times New Roman"/>
          <w:color w:val="000000"/>
          <w:sz w:val="20"/>
          <w:szCs w:val="24"/>
        </w:rPr>
        <w:t>SOLAYMANI-DODARAN M, LOGAN R F, WEST J, et al. Mortality associated with Barrett's esophagus and gastroesophageal reflux disease  diagnoses-a population-based cohort study[J]. Am J Gastroenterol, 2005,100(12): 2616-2621.</w:t>
      </w:r>
      <w:bookmarkEnd w:id="138"/>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[8]</w:t>
      </w:r>
      <w:r>
        <w:rPr>
          <w:rFonts w:hint="default" w:ascii="Times New Roman" w:hAnsi="Times New Roman" w:eastAsia="Times New Roman"/>
          <w:color w:val="000000"/>
          <w:sz w:val="20"/>
          <w:szCs w:val="24"/>
        </w:rPr>
        <w:tab/>
      </w:r>
      <w:bookmarkStart w:id="139" w:name="_neb3F738745_766D_47D1_B66E_28737662FCFA"/>
      <w:r>
        <w:rPr>
          <w:rFonts w:hint="default" w:ascii="Times New Roman" w:hAnsi="Times New Roman" w:eastAsia="Times New Roman"/>
          <w:color w:val="000000"/>
          <w:sz w:val="20"/>
          <w:szCs w:val="24"/>
        </w:rPr>
        <w:t>EUSEBI L H, CIROTA G G, ZAGARI R M, et al. Global prevalence of Barrett's oesophagus and oesophageal cancer in individuals  with gastro-oesophageal reflux: a systematic review and meta-analysis[J]. Gut, 2021,70(3): 456-463.</w:t>
      </w:r>
      <w:bookmarkEnd w:id="139"/>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 xml:space="preserve"> [9]</w:t>
      </w:r>
      <w:r>
        <w:rPr>
          <w:rFonts w:hint="default" w:ascii="Times New Roman" w:hAnsi="Times New Roman" w:eastAsia="Times New Roman"/>
          <w:color w:val="000000"/>
          <w:sz w:val="20"/>
          <w:szCs w:val="24"/>
        </w:rPr>
        <w:tab/>
      </w:r>
      <w:bookmarkStart w:id="140" w:name="_nebC9383FF7_A86D_48A1_B694_2F89B59527B3"/>
      <w:r>
        <w:rPr>
          <w:rFonts w:hint="default" w:ascii="Times New Roman" w:hAnsi="Times New Roman" w:eastAsia="Times New Roman"/>
          <w:color w:val="000000"/>
          <w:sz w:val="20"/>
          <w:szCs w:val="24"/>
        </w:rPr>
        <w:t>FULLARD M, KANG J Y, NEILD P, et al. Systematic review: does gastro-oesophageal reflux disease progress?[J]. Aliment Pharmacol Ther, 2006,24(1): 33-45.</w:t>
      </w:r>
      <w:bookmarkEnd w:id="140"/>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[10]</w:t>
      </w:r>
      <w:r>
        <w:rPr>
          <w:rFonts w:hint="default" w:ascii="Times New Roman" w:hAnsi="Times New Roman" w:eastAsia="Times New Roman"/>
          <w:color w:val="000000"/>
          <w:sz w:val="20"/>
          <w:szCs w:val="24"/>
        </w:rPr>
        <w:tab/>
      </w:r>
      <w:bookmarkStart w:id="141" w:name="_neb58F05553_9C01_423D_A8FC_069CCF13A029"/>
      <w:r>
        <w:rPr>
          <w:rFonts w:hint="default" w:ascii="Times New Roman" w:hAnsi="Times New Roman" w:eastAsia="Times New Roman"/>
          <w:color w:val="000000"/>
          <w:sz w:val="20"/>
          <w:szCs w:val="24"/>
        </w:rPr>
        <w:t>MALFERTHEINER P, NOCON M, VIETH M, et al. Evolution of gastro-oesophageal reflux disease over 5 years under routine medical  care--the ProGERD study[J]. Aliment Pharmacol Ther, 2012,35(1): 154-164.</w:t>
      </w:r>
      <w:bookmarkEnd w:id="141"/>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[11]</w:t>
      </w:r>
      <w:r>
        <w:rPr>
          <w:rFonts w:hint="default" w:ascii="Times New Roman" w:hAnsi="Times New Roman" w:eastAsia="Times New Roman"/>
          <w:color w:val="000000"/>
          <w:sz w:val="20"/>
          <w:szCs w:val="24"/>
        </w:rPr>
        <w:tab/>
      </w:r>
      <w:bookmarkStart w:id="142" w:name="_neb05957236_D76D_44BE_9FBC_056E6240BE2B"/>
      <w:r>
        <w:rPr>
          <w:rFonts w:hint="default" w:ascii="Times New Roman" w:hAnsi="Times New Roman" w:eastAsia="Times New Roman"/>
          <w:color w:val="000000"/>
          <w:sz w:val="20"/>
          <w:szCs w:val="24"/>
        </w:rPr>
        <w:t>WANG R, YAN X, MA X Q, et al. Burden of gastroesophageal reflux disease in Shanghai, China[J]. Dig Liver Dis, 2009,41(2): 110-115.</w:t>
      </w:r>
      <w:bookmarkEnd w:id="142"/>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[12]</w:t>
      </w:r>
      <w:r>
        <w:rPr>
          <w:rFonts w:hint="default" w:ascii="Times New Roman" w:hAnsi="Times New Roman" w:eastAsia="Times New Roman"/>
          <w:color w:val="000000"/>
          <w:sz w:val="20"/>
          <w:szCs w:val="24"/>
        </w:rPr>
        <w:tab/>
      </w:r>
      <w:bookmarkStart w:id="143" w:name="_nebCED05B87_C0EB_4018_B1CA_C9DC50564868"/>
      <w:r>
        <w:rPr>
          <w:rFonts w:hint="default" w:ascii="Times New Roman" w:hAnsi="Times New Roman" w:eastAsia="Times New Roman"/>
          <w:color w:val="000000"/>
          <w:sz w:val="20"/>
          <w:szCs w:val="24"/>
        </w:rPr>
        <w:t>NIRWAN J S, HASAN S S, BABAR Z U, et al. Global Prevalence and Risk Factors of Gastro-oesophageal Reflux Disease (GORD):  Systematic Review with Meta-analysis[J]. Sci Rep, 2020,10(1): 5814.</w:t>
      </w:r>
      <w:bookmarkEnd w:id="143"/>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[13]</w:t>
      </w:r>
      <w:r>
        <w:rPr>
          <w:rFonts w:hint="default" w:ascii="Times New Roman" w:hAnsi="Times New Roman" w:eastAsia="Times New Roman"/>
          <w:color w:val="000000"/>
          <w:sz w:val="20"/>
          <w:szCs w:val="24"/>
        </w:rPr>
        <w:tab/>
      </w:r>
      <w:bookmarkStart w:id="144" w:name="_nebB3E8BA4B_5035_4E77_8CD6_7515032E0F1C"/>
      <w:r>
        <w:rPr>
          <w:rFonts w:hint="default" w:ascii="Times New Roman" w:hAnsi="Times New Roman" w:eastAsia="Times New Roman"/>
          <w:color w:val="000000"/>
          <w:sz w:val="20"/>
          <w:szCs w:val="24"/>
        </w:rPr>
        <w:t>DIRAC M A, SAFIRI S, TSOI D, et al. The global, regional, and national burden of gastro-oesophageal reflux disease in  195 countries and territories, 1990-2017: a systematic analysis for the Global  Burden of Disease Study 2017[J]. Lancet Gastroenterol Hepatol, 2020,5(6): 561-581.</w:t>
      </w:r>
      <w:bookmarkEnd w:id="144"/>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[14]</w:t>
      </w:r>
      <w:r>
        <w:rPr>
          <w:rFonts w:hint="default" w:ascii="Times New Roman" w:hAnsi="Times New Roman" w:eastAsia="Times New Roman"/>
          <w:color w:val="000000"/>
          <w:sz w:val="20"/>
          <w:szCs w:val="24"/>
        </w:rPr>
        <w:tab/>
      </w:r>
      <w:bookmarkStart w:id="145" w:name="_neb05C82D94_7152_41F1_8FFF_6086B062ADBE"/>
      <w:r>
        <w:rPr>
          <w:rFonts w:hint="default" w:ascii="Times New Roman" w:hAnsi="Times New Roman" w:eastAsia="Times New Roman"/>
          <w:color w:val="000000"/>
          <w:sz w:val="20"/>
          <w:szCs w:val="24"/>
        </w:rPr>
        <w:t>EUSEBI L H, RATNAKUMARAN R, YUAN Y, et al. Global prevalence of, and risk factors for, gastro-oesophageal reflux symptoms: a  meta-analysis[J]. Gut, 2018,67(3): 430-440.</w:t>
      </w:r>
      <w:bookmarkEnd w:id="145"/>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[15]</w:t>
      </w:r>
      <w:r>
        <w:rPr>
          <w:rFonts w:hint="default" w:ascii="Times New Roman" w:hAnsi="Times New Roman" w:eastAsia="Times New Roman"/>
          <w:color w:val="000000"/>
          <w:sz w:val="20"/>
          <w:szCs w:val="24"/>
        </w:rPr>
        <w:tab/>
      </w:r>
      <w:bookmarkStart w:id="146" w:name="_nebD3993B8B_47D0_4009_8AA8_2985A636F4A8"/>
      <w:r>
        <w:rPr>
          <w:rFonts w:hint="default" w:ascii="Times New Roman" w:hAnsi="Times New Roman" w:eastAsia="Times New Roman"/>
          <w:color w:val="000000"/>
          <w:sz w:val="20"/>
          <w:szCs w:val="24"/>
        </w:rPr>
        <w:t>CARLSSON R, DENT J, WATTS R, et al. Gastro-oesophageal reflux disease in primary care: an international study of  different treatment strategies with omeprazole. International GORD Study Group[J]. Eur J Gastroenterol Hepatol, 1998,10(2): 119-124.</w:t>
      </w:r>
      <w:bookmarkEnd w:id="146"/>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[16]</w:t>
      </w:r>
      <w:r>
        <w:rPr>
          <w:rFonts w:hint="default" w:ascii="Times New Roman" w:hAnsi="Times New Roman" w:eastAsia="Times New Roman"/>
          <w:color w:val="000000"/>
          <w:sz w:val="20"/>
          <w:szCs w:val="24"/>
        </w:rPr>
        <w:tab/>
      </w:r>
      <w:bookmarkStart w:id="147" w:name="_nebA44BEA77_DACD_46AA_B0F0_D64314E46056"/>
      <w:r>
        <w:rPr>
          <w:rFonts w:hint="default" w:ascii="Times New Roman" w:hAnsi="Times New Roman" w:eastAsia="Times New Roman"/>
          <w:color w:val="000000"/>
          <w:sz w:val="20"/>
          <w:szCs w:val="24"/>
        </w:rPr>
        <w:t>FASS R, SIFRIM D. Management of heartburn not responding to proton pump inhibitors[J]. Gut, 2009,58(2): 295-309.</w:t>
      </w:r>
      <w:bookmarkEnd w:id="147"/>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[17]</w:t>
      </w:r>
      <w:r>
        <w:rPr>
          <w:rFonts w:hint="default" w:ascii="Times New Roman" w:hAnsi="Times New Roman" w:eastAsia="Times New Roman"/>
          <w:color w:val="000000"/>
          <w:sz w:val="20"/>
          <w:szCs w:val="24"/>
        </w:rPr>
        <w:tab/>
      </w:r>
      <w:bookmarkStart w:id="148" w:name="_nebB6A7D410_9EA9_4F26_9633_50EACB22A601"/>
      <w:r>
        <w:rPr>
          <w:rFonts w:hint="default" w:ascii="Times New Roman" w:hAnsi="Times New Roman" w:eastAsia="Times New Roman"/>
          <w:color w:val="000000"/>
          <w:sz w:val="20"/>
          <w:szCs w:val="24"/>
        </w:rPr>
        <w:t>HERSHCOVICI T, FASS R. Management of gastroesophageal reflux disease that does not respond well to  proton pump inhibitors[J]. Curr Opin Gastroenterol, 2010,26(4): 367-378.</w:t>
      </w:r>
      <w:bookmarkEnd w:id="148"/>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[18]</w:t>
      </w:r>
      <w:r>
        <w:rPr>
          <w:rFonts w:hint="default" w:ascii="Times New Roman" w:hAnsi="Times New Roman" w:eastAsia="Times New Roman"/>
          <w:color w:val="000000"/>
          <w:sz w:val="20"/>
          <w:szCs w:val="24"/>
        </w:rPr>
        <w:tab/>
      </w:r>
      <w:bookmarkStart w:id="149" w:name="_neb31EBF099_78ED_49DF_9B65_20B21B2CED1E"/>
      <w:r>
        <w:rPr>
          <w:rFonts w:hint="default" w:ascii="Times New Roman" w:hAnsi="Times New Roman" w:eastAsia="Times New Roman"/>
          <w:color w:val="000000"/>
          <w:sz w:val="20"/>
          <w:szCs w:val="24"/>
        </w:rPr>
        <w:t>INADOMI J M, MCINTYRE L, BERNARD L, et al. Step-down from multiple- to single-dose proton pump inhibitors (PPIs): a  prospective study of patients with heartburn or acid regurgitation completely  relieved with PPIs[J]. Am J Gastroenterol, 2003,98(9): 1940-1944.</w:t>
      </w:r>
      <w:bookmarkEnd w:id="149"/>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[19]</w:t>
      </w:r>
      <w:r>
        <w:rPr>
          <w:rFonts w:hint="default" w:ascii="Times New Roman" w:hAnsi="Times New Roman" w:eastAsia="Times New Roman"/>
          <w:color w:val="000000"/>
          <w:sz w:val="20"/>
          <w:szCs w:val="24"/>
        </w:rPr>
        <w:tab/>
      </w:r>
      <w:bookmarkStart w:id="150" w:name="_neb3B723CC9_66E1_48B4_AD0C_7881A3B33FB2"/>
      <w:r>
        <w:rPr>
          <w:rFonts w:hint="default" w:ascii="Times New Roman" w:hAnsi="Times New Roman" w:eastAsia="Times New Roman"/>
          <w:color w:val="000000"/>
          <w:sz w:val="20"/>
          <w:szCs w:val="24"/>
        </w:rPr>
        <w:t>ICHIKAWA H, SUGIMOTO M, SUGIMOTO K, et al. Rapid metabolizer genotype of CYP2C19 is a risk factor of being refractory to  proton pump inhibitor therapy for reflux esophagitis[J]. J Gastroenterol Hepatol, 2016,31(4): 716-726.</w:t>
      </w:r>
      <w:bookmarkEnd w:id="150"/>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[20]</w:t>
      </w:r>
      <w:r>
        <w:rPr>
          <w:rFonts w:hint="default" w:ascii="Times New Roman" w:hAnsi="Times New Roman" w:eastAsia="Times New Roman"/>
          <w:color w:val="000000"/>
          <w:sz w:val="20"/>
          <w:szCs w:val="24"/>
        </w:rPr>
        <w:tab/>
      </w:r>
      <w:bookmarkStart w:id="151" w:name="_neb7E196E7F_D8D3_45A2_9B2C_34CB231EDAE4"/>
      <w:r>
        <w:rPr>
          <w:rFonts w:hint="default" w:ascii="Times New Roman" w:hAnsi="Times New Roman" w:eastAsia="Times New Roman"/>
          <w:color w:val="000000"/>
          <w:sz w:val="20"/>
          <w:szCs w:val="24"/>
        </w:rPr>
        <w:t>MARET-OUDA J, MARKAR S R, LAGERGREN J. Gastroesophageal Reflux Disease: A Review[J]. JAMA, 2020,324(24): 2536-2547.</w:t>
      </w:r>
      <w:bookmarkEnd w:id="151"/>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[21]</w:t>
      </w:r>
      <w:r>
        <w:rPr>
          <w:rFonts w:hint="default" w:ascii="Times New Roman" w:hAnsi="Times New Roman" w:eastAsia="Times New Roman"/>
          <w:color w:val="000000"/>
          <w:sz w:val="20"/>
          <w:szCs w:val="24"/>
        </w:rPr>
        <w:tab/>
      </w:r>
      <w:bookmarkStart w:id="152" w:name="_neb428C18EC_EB6B_41D5_AE58_B9F681EEDBF7"/>
      <w:r>
        <w:rPr>
          <w:rFonts w:hint="default" w:ascii="Times New Roman" w:hAnsi="Times New Roman" w:eastAsia="Times New Roman"/>
          <w:color w:val="000000"/>
          <w:sz w:val="20"/>
          <w:szCs w:val="24"/>
        </w:rPr>
        <w:t>ASHIDA K, SAKURAI Y, NISHIMURA A, et al. Randomised clinical trial: a dose-ranging study of vonoprazan, a novel  potassium-competitive acid blocker, vs. lansoprazole for the treatment of erosive  oesophagitis[J]. Aliment Pharmacol Ther, 2015,42(6): 685-695.</w:t>
      </w:r>
      <w:bookmarkEnd w:id="152"/>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[22]</w:t>
      </w:r>
      <w:r>
        <w:rPr>
          <w:rFonts w:hint="default" w:ascii="Times New Roman" w:hAnsi="Times New Roman" w:eastAsia="Times New Roman"/>
          <w:color w:val="000000"/>
          <w:sz w:val="20"/>
          <w:szCs w:val="24"/>
        </w:rPr>
        <w:tab/>
      </w:r>
      <w:bookmarkStart w:id="153" w:name="_neb6E3BA766_2356_41C6_BB60_3DFA5894E01A"/>
      <w:r>
        <w:rPr>
          <w:rFonts w:hint="default" w:ascii="Times New Roman" w:hAnsi="Times New Roman" w:eastAsia="Times New Roman"/>
          <w:color w:val="000000"/>
          <w:sz w:val="20"/>
          <w:szCs w:val="24"/>
        </w:rPr>
        <w:t>ASHIDA K, SAKURAI Y, HORI T, et al. Randomised clinical trial: vonoprazan, a novel potassium-competitive acid  blocker, vs. lansoprazole for the healing of erosive oesophagitis[J]. Aliment Pharmacol Ther, 2016,43(2): 240-251.</w:t>
      </w:r>
      <w:bookmarkEnd w:id="153"/>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[23]</w:t>
      </w:r>
      <w:r>
        <w:rPr>
          <w:rFonts w:hint="default" w:ascii="Times New Roman" w:hAnsi="Times New Roman" w:eastAsia="Times New Roman"/>
          <w:color w:val="000000"/>
          <w:sz w:val="20"/>
          <w:szCs w:val="24"/>
        </w:rPr>
        <w:tab/>
      </w:r>
      <w:bookmarkStart w:id="154" w:name="_neb72C8F13C_E560_4E61_A630_11935AC788AA"/>
      <w:r>
        <w:rPr>
          <w:rFonts w:hint="default" w:ascii="Times New Roman" w:hAnsi="Times New Roman" w:eastAsia="Times New Roman"/>
          <w:color w:val="000000"/>
          <w:sz w:val="20"/>
          <w:szCs w:val="24"/>
        </w:rPr>
        <w:t>XIAO Y, ZHANG S, DAI N, et al. Phase III, randomised, double-blind, multicentre study to evaluate the efficacy  and safety of vonoprazan compared with lansoprazole in Asian patients with  erosive oesophagitis[J]. Gut, 2020,69(2): 224-230.</w:t>
      </w:r>
      <w:bookmarkEnd w:id="154"/>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[24]</w:t>
      </w:r>
      <w:r>
        <w:rPr>
          <w:rFonts w:hint="default" w:ascii="Times New Roman" w:hAnsi="Times New Roman" w:eastAsia="Times New Roman"/>
          <w:color w:val="000000"/>
          <w:sz w:val="20"/>
          <w:szCs w:val="24"/>
        </w:rPr>
        <w:tab/>
      </w:r>
      <w:bookmarkStart w:id="155" w:name="_neb15F2D642_B68F_4254_BA29_A44F36F6F6F0"/>
      <w:r>
        <w:rPr>
          <w:rFonts w:hint="default" w:ascii="Times New Roman" w:hAnsi="Times New Roman" w:eastAsia="Times New Roman"/>
          <w:color w:val="000000"/>
          <w:sz w:val="20"/>
          <w:szCs w:val="24"/>
        </w:rPr>
        <w:t>LEE K J, SON B K, KIM G H, et al. Randomised phase 3 trial: tegoprazan, a novel potassium-competitive acid blocker,  vs. esomeprazole in patients with erosive oesophagitis[J]. Aliment Pharmacol Ther, 2019,49(7): 864-872.</w:t>
      </w:r>
      <w:bookmarkEnd w:id="155"/>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[25]</w:t>
      </w:r>
      <w:r>
        <w:rPr>
          <w:rFonts w:hint="default" w:ascii="Times New Roman" w:hAnsi="Times New Roman" w:eastAsia="Times New Roman"/>
          <w:color w:val="000000"/>
          <w:sz w:val="20"/>
          <w:szCs w:val="24"/>
        </w:rPr>
        <w:tab/>
      </w:r>
      <w:bookmarkStart w:id="156" w:name="_neb769C968E_AC9C_4650_AC86_ACE83A48FC88"/>
      <w:r>
        <w:rPr>
          <w:rFonts w:hint="default" w:ascii="Times New Roman" w:hAnsi="Times New Roman" w:eastAsia="Times New Roman"/>
          <w:color w:val="000000"/>
          <w:sz w:val="20"/>
          <w:szCs w:val="24"/>
        </w:rPr>
        <w:t>TAKEUCHI T, FURUTA T, FUJIWARA Y, et al. Randomised trial of acid inhibition by vonoprazan 10/20 mg once daily vs  rabeprazole 10/20 mg twice daily in healthy Japanese volunteers (SAMURAI pH  study)[J]. Aliment Pharmacol Ther, 2020,51(5): 534-543.</w:t>
      </w:r>
      <w:bookmarkEnd w:id="156"/>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[26]</w:t>
      </w:r>
      <w:r>
        <w:rPr>
          <w:rFonts w:hint="default" w:ascii="Times New Roman" w:hAnsi="Times New Roman" w:eastAsia="Times New Roman"/>
          <w:color w:val="000000"/>
          <w:sz w:val="20"/>
          <w:szCs w:val="24"/>
        </w:rPr>
        <w:tab/>
      </w:r>
      <w:bookmarkStart w:id="157" w:name="_neb762D696F_517F_429E_B055_F2C2A1DFCA34"/>
      <w:r>
        <w:rPr>
          <w:rFonts w:hint="default" w:ascii="Times New Roman" w:hAnsi="Times New Roman" w:eastAsia="Times New Roman"/>
          <w:color w:val="000000"/>
          <w:sz w:val="20"/>
          <w:szCs w:val="24"/>
        </w:rPr>
        <w:t>SAKURAI Y, MORI Y, OKAMOTO H, et al. Acid-inhibitory effects of vonoprazan 20 mg compared with esomeprazole 20 mg or  rabeprazole 10 mg in healthy adult male subjects--a randomised open-label  cross-over study[J]. Aliment Pharmacol Ther, 2015,42(6): 719-730.</w:t>
      </w:r>
      <w:bookmarkEnd w:id="157"/>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[27]</w:t>
      </w:r>
      <w:r>
        <w:rPr>
          <w:rFonts w:hint="default" w:ascii="Times New Roman" w:hAnsi="Times New Roman" w:eastAsia="Times New Roman"/>
          <w:color w:val="000000"/>
          <w:sz w:val="20"/>
          <w:szCs w:val="24"/>
        </w:rPr>
        <w:tab/>
      </w:r>
      <w:bookmarkStart w:id="158" w:name="_neb2718293E_1A51_4EC0_A427_69767676D4C4"/>
      <w:r>
        <w:rPr>
          <w:rFonts w:hint="default" w:ascii="Times New Roman" w:hAnsi="Times New Roman" w:eastAsia="Times New Roman"/>
          <w:color w:val="000000"/>
          <w:sz w:val="20"/>
          <w:szCs w:val="24"/>
        </w:rPr>
        <w:t>LAINE L, SHARMA P, MULFORD D J, et al. Pharmacodynamics and Pharmacokinetics of the Potassium-Competitive Acid Blocker  Vonoprazan and the Proton Pump Inhibitor Lansoprazole in US Subjects[J]. Am J Gastroenterol, 2022,117(7): 1158-1161.</w:t>
      </w:r>
      <w:bookmarkEnd w:id="158"/>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[28]</w:t>
      </w:r>
      <w:r>
        <w:rPr>
          <w:rFonts w:hint="default" w:ascii="Times New Roman" w:hAnsi="Times New Roman" w:eastAsia="Times New Roman"/>
          <w:color w:val="000000"/>
          <w:sz w:val="20"/>
          <w:szCs w:val="24"/>
        </w:rPr>
        <w:tab/>
      </w:r>
      <w:bookmarkStart w:id="159" w:name="_neb00EF528D_0F67_4B88_AAEA_3A89F50DF46F"/>
      <w:r>
        <w:rPr>
          <w:rFonts w:hint="default" w:ascii="Times New Roman" w:hAnsi="Times New Roman" w:eastAsia="Times New Roman"/>
          <w:color w:val="000000"/>
          <w:sz w:val="20"/>
          <w:szCs w:val="24"/>
        </w:rPr>
        <w:t>YANG E, KIM S, KIM B, et al. Night-time gastric acid suppression by tegoprazan compared to vonoprazan or  esomeprazole[J]. Br J Clin Pharmacol, 2022,88(7): 3288-3296.</w:t>
      </w:r>
      <w:bookmarkEnd w:id="159"/>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[29]</w:t>
      </w:r>
      <w:r>
        <w:rPr>
          <w:rFonts w:hint="default" w:ascii="Times New Roman" w:hAnsi="Times New Roman" w:eastAsia="Times New Roman"/>
          <w:color w:val="000000"/>
          <w:sz w:val="20"/>
          <w:szCs w:val="24"/>
        </w:rPr>
        <w:tab/>
      </w:r>
      <w:bookmarkStart w:id="160" w:name="_neb16F1FB30_92B3_42C2_9647_7B1EE8B3F476"/>
      <w:r>
        <w:rPr>
          <w:rFonts w:hint="default" w:ascii="Times New Roman" w:hAnsi="Times New Roman" w:eastAsia="Times New Roman"/>
          <w:color w:val="000000"/>
          <w:sz w:val="20"/>
          <w:szCs w:val="24"/>
        </w:rPr>
        <w:t>HAN S, CHOI H Y, KIM Y H, et al. Comparison of Pharmacodynamics between Tegoprazan and Dexlansoprazole Regarding  Nocturnal Acid Breakthrough: A Randomized Crossover Study[J]. Gut Liver, 2023,17(1): 92-99.</w:t>
      </w:r>
      <w:bookmarkEnd w:id="160"/>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[30]</w:t>
      </w:r>
      <w:r>
        <w:rPr>
          <w:rFonts w:hint="default" w:ascii="Times New Roman" w:hAnsi="Times New Roman" w:eastAsia="Times New Roman"/>
          <w:color w:val="000000"/>
          <w:sz w:val="20"/>
          <w:szCs w:val="24"/>
        </w:rPr>
        <w:tab/>
      </w:r>
      <w:bookmarkStart w:id="161" w:name="_nebF243687C_F840_44F8_8F6C_5598AD6182E2"/>
      <w:r>
        <w:rPr>
          <w:rFonts w:hint="default" w:ascii="Times New Roman" w:hAnsi="Times New Roman" w:eastAsia="Times New Roman"/>
          <w:color w:val="000000"/>
          <w:sz w:val="20"/>
          <w:szCs w:val="24"/>
        </w:rPr>
        <w:t>CHENG Y, LIU J, TAN X, et al. Direct Comparison of the Efficacy and Safety of Vonoprazan Versus Proton-Pump  Inhibitors for Gastroesophageal Reflux Disease: A Systematic Review and  Meta-Analysis[J]. Dig Dis Sci, 2021,66(1): 19-28.</w:t>
      </w:r>
      <w:bookmarkEnd w:id="161"/>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[31]</w:t>
      </w:r>
      <w:r>
        <w:rPr>
          <w:rFonts w:hint="default" w:ascii="Times New Roman" w:hAnsi="Times New Roman" w:eastAsia="Times New Roman"/>
          <w:color w:val="000000"/>
          <w:sz w:val="20"/>
          <w:szCs w:val="24"/>
        </w:rPr>
        <w:tab/>
      </w:r>
      <w:bookmarkStart w:id="162" w:name="_neb792F9769_C06B_4137_8144_4239A23C2B00"/>
      <w:r>
        <w:rPr>
          <w:rFonts w:hint="default" w:ascii="Times New Roman" w:hAnsi="Times New Roman" w:eastAsia="Times New Roman"/>
          <w:color w:val="000000"/>
          <w:sz w:val="20"/>
          <w:szCs w:val="24"/>
        </w:rPr>
        <w:t>XU W, BAI Z, SHANG Y, et al. Incidence and type of adverse events in patients taking vonoprazan: A systematic  review and meta-analysis[J]. Therap Adv Gastroenterol, 2023,16: 1108350834.</w:t>
      </w:r>
      <w:bookmarkEnd w:id="162"/>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[32]</w:t>
      </w:r>
      <w:r>
        <w:rPr>
          <w:rFonts w:hint="default" w:ascii="Times New Roman" w:hAnsi="Times New Roman" w:eastAsia="Times New Roman"/>
          <w:color w:val="000000"/>
          <w:sz w:val="20"/>
          <w:szCs w:val="24"/>
        </w:rPr>
        <w:tab/>
      </w:r>
      <w:bookmarkStart w:id="163" w:name="_nebAAF1BF8E_BFC9_4424_94FD_3620F1E7780B"/>
      <w:r>
        <w:rPr>
          <w:rFonts w:hint="default" w:ascii="Times New Roman" w:hAnsi="Times New Roman" w:eastAsia="Times New Roman"/>
          <w:color w:val="000000"/>
          <w:sz w:val="20"/>
          <w:szCs w:val="24"/>
        </w:rPr>
        <w:t>GONG H, HAN D, LIU S, et al. Adverse events of vonoprazan in the treatments of acid-related diseases: a  systematic review and meta-analysis[J]. Rev Esp Enferm Dig, 2023,115(6): 294-300.</w:t>
      </w:r>
      <w:bookmarkEnd w:id="163"/>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[33]</w:t>
      </w:r>
      <w:r>
        <w:rPr>
          <w:rFonts w:hint="default" w:ascii="Times New Roman" w:hAnsi="Times New Roman" w:eastAsia="Times New Roman"/>
          <w:color w:val="000000"/>
          <w:sz w:val="20"/>
          <w:szCs w:val="24"/>
        </w:rPr>
        <w:tab/>
      </w:r>
      <w:bookmarkStart w:id="164" w:name="_neb2FD86CDF_A2D9_4766_9164_4DB1FF8D39FB"/>
      <w:r>
        <w:rPr>
          <w:rFonts w:hint="default" w:ascii="Times New Roman" w:hAnsi="Times New Roman" w:eastAsia="Times New Roman"/>
          <w:color w:val="000000"/>
          <w:sz w:val="20"/>
          <w:szCs w:val="24"/>
        </w:rPr>
        <w:t>CHO Y K, CHOI M G, CHOI S C, et al. Randomised clinical trial: tegoprazan, a novel potassium-competitive acid  blocker, or lansoprazole in the treatment of gastric ulcer[J]. Aliment Pharmacol Ther, 2020,52(5): 789-797.</w:t>
      </w:r>
      <w:bookmarkEnd w:id="164"/>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[34]</w:t>
      </w:r>
      <w:r>
        <w:rPr>
          <w:rFonts w:hint="default" w:ascii="Times New Roman" w:hAnsi="Times New Roman" w:eastAsia="Times New Roman"/>
          <w:color w:val="000000"/>
          <w:sz w:val="20"/>
          <w:szCs w:val="24"/>
        </w:rPr>
        <w:tab/>
      </w:r>
      <w:bookmarkStart w:id="165" w:name="_neb2931B7A7_C3E2_4239_80A9_D180E6A8DB8F"/>
      <w:r>
        <w:rPr>
          <w:rFonts w:hint="default" w:ascii="Times New Roman" w:hAnsi="Times New Roman" w:eastAsia="Times New Roman"/>
          <w:color w:val="000000"/>
          <w:sz w:val="20"/>
          <w:szCs w:val="24"/>
        </w:rPr>
        <w:t>KIM J S, SEO S I, KANG S H, et al. Effects of Tegoprazan Versus Esomeprazole on Nighttime Heartburn and Sleep  Quality in Gastroesophageal Reflux Disease: A Multicenter Double-blind Randomized  Controlled Trial[J]. J Neurogastroenterol Motil, 2023,29(1): 58-64.</w:t>
      </w:r>
      <w:bookmarkEnd w:id="165"/>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[35]</w:t>
      </w:r>
      <w:r>
        <w:rPr>
          <w:rFonts w:hint="default" w:ascii="Times New Roman" w:hAnsi="Times New Roman" w:eastAsia="Times New Roman"/>
          <w:color w:val="000000"/>
          <w:sz w:val="20"/>
          <w:szCs w:val="24"/>
        </w:rPr>
        <w:tab/>
      </w:r>
      <w:bookmarkStart w:id="166" w:name="_neb46F103B0_AC9A_40B4_B013_A3F992F512C1"/>
      <w:r>
        <w:rPr>
          <w:rFonts w:hint="default" w:ascii="Times New Roman" w:hAnsi="Times New Roman" w:eastAsia="Times New Roman"/>
          <w:color w:val="000000"/>
          <w:sz w:val="20"/>
          <w:szCs w:val="24"/>
        </w:rPr>
        <w:t>CHO Y K, KIM J H, KIM H S, et al. Randomised clinical trial: comparison of tegoprazan and lansoprazole as  maintenance therapy for healed mild erosive oesophagitis[J]. Aliment Pharmacol Ther, 2023,57(1): 72-80.</w:t>
      </w:r>
      <w:bookmarkEnd w:id="166"/>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[36]</w:t>
      </w:r>
      <w:r>
        <w:rPr>
          <w:rFonts w:hint="default" w:ascii="Times New Roman" w:hAnsi="Times New Roman" w:eastAsia="Times New Roman"/>
          <w:color w:val="000000"/>
          <w:sz w:val="20"/>
          <w:szCs w:val="24"/>
        </w:rPr>
        <w:tab/>
      </w:r>
      <w:bookmarkStart w:id="167" w:name="_neb83C5E3BB_AB1B_41A3_B8F1_0225AA671846"/>
      <w:r>
        <w:rPr>
          <w:rFonts w:hint="default" w:ascii="Times New Roman" w:hAnsi="Times New Roman" w:eastAsia="Times New Roman"/>
          <w:color w:val="000000"/>
          <w:sz w:val="20"/>
          <w:szCs w:val="24"/>
        </w:rPr>
        <w:t>TACK J, VLADIMIROV B, HORNY I, et al. Randomized clinical trial: A double-blind, proof-of-concept, phase 2 study  evaluating the efficacy and safety of vonoprazan 20 or 40 mg versus esomeprazole  40 mg in patients with symptomatic gastro-esophageal reflux disease and partial  response to a healing dose of a proton-pump inhibitor[J]. Neurogastroenterol Motil, 2023,35(1): e14468.</w:t>
      </w:r>
      <w:bookmarkEnd w:id="167"/>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[37]</w:t>
      </w:r>
      <w:r>
        <w:rPr>
          <w:rFonts w:hint="default" w:ascii="Times New Roman" w:hAnsi="Times New Roman" w:eastAsia="Times New Roman"/>
          <w:color w:val="000000"/>
          <w:sz w:val="20"/>
          <w:szCs w:val="24"/>
        </w:rPr>
        <w:tab/>
      </w:r>
      <w:bookmarkStart w:id="168" w:name="_neb31FF4C29_4603_447D_9CD2_BB99DC9E3280"/>
      <w:r>
        <w:rPr>
          <w:rFonts w:hint="default" w:ascii="Times New Roman" w:hAnsi="Times New Roman" w:eastAsia="Times New Roman"/>
          <w:color w:val="000000"/>
          <w:sz w:val="20"/>
          <w:szCs w:val="24"/>
        </w:rPr>
        <w:t>OSHIMA T, ARAI E, TAKI M, et al. Randomised clinical trial: vonoprazan versus lansoprazole for the initial relief  of heartburn in patients with erosive oesophagitis[J]. Aliment Pharmacol Ther, 2019,49(2): 140-146.</w:t>
      </w:r>
      <w:bookmarkEnd w:id="168"/>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[38]</w:t>
      </w:r>
      <w:r>
        <w:rPr>
          <w:rFonts w:hint="default" w:ascii="Times New Roman" w:hAnsi="Times New Roman" w:eastAsia="Times New Roman"/>
          <w:color w:val="000000"/>
          <w:sz w:val="20"/>
          <w:szCs w:val="24"/>
        </w:rPr>
        <w:tab/>
      </w:r>
      <w:bookmarkStart w:id="169" w:name="_neb1E2F94BE_CB45_4FFD_BD67_FBBDA3AD0997"/>
      <w:r>
        <w:rPr>
          <w:rFonts w:hint="default" w:ascii="Times New Roman" w:hAnsi="Times New Roman" w:eastAsia="Times New Roman"/>
          <w:color w:val="000000"/>
          <w:sz w:val="20"/>
          <w:szCs w:val="24"/>
        </w:rPr>
        <w:t>KINOSHITA Y, SAKURAI Y, TAKABAYASHI N, et al. Efficacy and Safety of Vonoprazan in Patients With Nonerosive Gastroesophageal  Reflux Disease: A Randomized, Placebo-Controlled, Phase 3 Study[J]. Clin Transl Gastroenterol, 2019,10(11): e101.</w:t>
      </w:r>
      <w:bookmarkEnd w:id="169"/>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[39]</w:t>
      </w:r>
      <w:r>
        <w:rPr>
          <w:rFonts w:hint="default" w:ascii="Times New Roman" w:hAnsi="Times New Roman" w:eastAsia="Times New Roman"/>
          <w:color w:val="000000"/>
          <w:sz w:val="20"/>
          <w:szCs w:val="24"/>
        </w:rPr>
        <w:tab/>
      </w:r>
      <w:bookmarkStart w:id="170" w:name="_neb2660ECAF_BE9B_4480_BE73_A463DD85B296"/>
      <w:r>
        <w:rPr>
          <w:rFonts w:hint="default" w:ascii="Times New Roman" w:hAnsi="Times New Roman" w:eastAsia="Times New Roman"/>
          <w:color w:val="000000"/>
          <w:sz w:val="20"/>
          <w:szCs w:val="24"/>
        </w:rPr>
        <w:t>KIM S H, CHO K B, CHUN H J, et al. Randomised clinical trial: comparison of tegoprazan and placebo in non-erosive  reflux disease[J]. Aliment Pharmacol Ther, 2021,54(4): 402-411.</w:t>
      </w:r>
      <w:bookmarkEnd w:id="170"/>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[40]</w:t>
      </w:r>
      <w:r>
        <w:rPr>
          <w:rFonts w:hint="default" w:ascii="Times New Roman" w:hAnsi="Times New Roman" w:eastAsia="Times New Roman"/>
          <w:color w:val="000000"/>
          <w:sz w:val="20"/>
          <w:szCs w:val="24"/>
        </w:rPr>
        <w:tab/>
      </w:r>
      <w:bookmarkStart w:id="171" w:name="_neb98829423_C3F1_4CC1_8A49_91F6C1B204F8"/>
      <w:r>
        <w:rPr>
          <w:rFonts w:hint="default" w:ascii="Times New Roman" w:hAnsi="Times New Roman" w:eastAsia="Times New Roman"/>
          <w:color w:val="000000"/>
          <w:sz w:val="20"/>
          <w:szCs w:val="24"/>
        </w:rPr>
        <w:t>OKANOBU H, KOHNO T, BODA K, et al. Long-Term Clinical Course after Successful Initial Treatment in Patients with  Mild Erosive Esophagitis: A Prospective Follow-Up Study[J]. Digestion, 2023,104(4): 283-290.</w:t>
      </w:r>
      <w:bookmarkEnd w:id="171"/>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[41]</w:t>
      </w:r>
      <w:r>
        <w:rPr>
          <w:rFonts w:hint="default" w:ascii="Times New Roman" w:hAnsi="Times New Roman" w:eastAsia="Times New Roman"/>
          <w:color w:val="000000"/>
          <w:sz w:val="20"/>
          <w:szCs w:val="24"/>
        </w:rPr>
        <w:tab/>
      </w:r>
      <w:bookmarkStart w:id="172" w:name="_neb3FCAD8A9_1BC7_45DE_BCA0_4D7C2B2E6CC8"/>
      <w:r>
        <w:rPr>
          <w:rFonts w:hint="default" w:ascii="Times New Roman" w:hAnsi="Times New Roman" w:eastAsia="Times New Roman"/>
          <w:color w:val="000000"/>
          <w:sz w:val="20"/>
          <w:szCs w:val="24"/>
        </w:rPr>
        <w:t>TANABE T, HOSHINO S, KAWAMI N, et al. Efficacy of long-term maintenance therapy with 10-mg vonoprazan for proton pump  inhibitor-resistant reflux esophagitis[J]. Esophagus, 2019,16(4): 377-381.</w:t>
      </w:r>
      <w:bookmarkEnd w:id="172"/>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[42]</w:t>
      </w:r>
      <w:r>
        <w:rPr>
          <w:rFonts w:hint="default" w:ascii="Times New Roman" w:hAnsi="Times New Roman" w:eastAsia="Times New Roman"/>
          <w:color w:val="000000"/>
          <w:sz w:val="20"/>
          <w:szCs w:val="24"/>
        </w:rPr>
        <w:tab/>
      </w:r>
      <w:bookmarkStart w:id="173" w:name="_nebEC28146D_CC5E_4585_B0D0_114BE7AA5250"/>
      <w:r>
        <w:rPr>
          <w:rFonts w:hint="default" w:ascii="Times New Roman" w:hAnsi="Times New Roman" w:eastAsia="Times New Roman"/>
          <w:color w:val="000000"/>
          <w:sz w:val="20"/>
          <w:szCs w:val="24"/>
        </w:rPr>
        <w:t>ASHIDA K, IWAKIRI K, HIRAMATSU N, et al. Maintenance for healed erosive esophagitis: Phase III comparison of vonoprazan  with lansoprazole[J]. World J Gastroenterol, 2018,24(14): 1550-1561.</w:t>
      </w:r>
      <w:bookmarkEnd w:id="173"/>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[43]</w:t>
      </w:r>
      <w:r>
        <w:rPr>
          <w:rFonts w:hint="default" w:ascii="Times New Roman" w:hAnsi="Times New Roman" w:eastAsia="Times New Roman"/>
          <w:color w:val="000000"/>
          <w:sz w:val="20"/>
          <w:szCs w:val="24"/>
        </w:rPr>
        <w:tab/>
      </w:r>
      <w:bookmarkStart w:id="174" w:name="_neb6484AB4B_F0E3_4C9D_8946_4FAE1F350996"/>
      <w:r>
        <w:rPr>
          <w:rFonts w:hint="default" w:ascii="Times New Roman" w:hAnsi="Times New Roman" w:eastAsia="Times New Roman"/>
          <w:color w:val="000000"/>
          <w:sz w:val="20"/>
          <w:szCs w:val="24"/>
        </w:rPr>
        <w:t>UMEZAWA M, KAWAMI N, HOSHINO S, et al. Efficacy of On-Demand Therapy Using 20-mg Vonoprazan for Mild Reflux Esophagitis[J]. Digestion, 2018,97(4): 309-315.</w:t>
      </w:r>
      <w:bookmarkEnd w:id="174"/>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[44]</w:t>
      </w:r>
      <w:r>
        <w:rPr>
          <w:rFonts w:hint="default" w:ascii="Times New Roman" w:hAnsi="Times New Roman" w:eastAsia="Times New Roman"/>
          <w:color w:val="000000"/>
          <w:sz w:val="20"/>
          <w:szCs w:val="24"/>
        </w:rPr>
        <w:tab/>
      </w:r>
      <w:bookmarkStart w:id="175" w:name="_neb22087C7A_FDD9_491E_ABF3_48DE17970DD6"/>
      <w:r>
        <w:rPr>
          <w:rFonts w:hint="default" w:ascii="Times New Roman" w:hAnsi="Times New Roman" w:eastAsia="Times New Roman"/>
          <w:color w:val="000000"/>
          <w:sz w:val="20"/>
          <w:szCs w:val="24"/>
        </w:rPr>
        <w:t>MIZUNO H, NISHINO M, YAMADA K, et al. Efficacy of Vonoprazan for 48-Week Maintenance Therapy of Patients with Healed  Reflux Esophagitis[J]. Digestion, 2020,101(4): 411-421.</w:t>
      </w:r>
      <w:bookmarkEnd w:id="175"/>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[45]</w:t>
      </w:r>
      <w:r>
        <w:rPr>
          <w:rFonts w:hint="default" w:ascii="Times New Roman" w:hAnsi="Times New Roman" w:eastAsia="Times New Roman"/>
          <w:color w:val="000000"/>
          <w:sz w:val="20"/>
          <w:szCs w:val="24"/>
        </w:rPr>
        <w:tab/>
      </w:r>
      <w:bookmarkStart w:id="176" w:name="_nebF742E692_7A05_481D_AAFC_D466C1A554DD"/>
      <w:r>
        <w:rPr>
          <w:rFonts w:hint="default" w:ascii="Times New Roman" w:hAnsi="Times New Roman" w:eastAsia="Times New Roman"/>
          <w:color w:val="000000"/>
          <w:sz w:val="20"/>
          <w:szCs w:val="24"/>
        </w:rPr>
        <w:t>KAGAMI T, SAHARA S, ICHIKAWA H, et al. Potent acid inhibition by vonoprazan in comparison with esomeprazole, with  reference to CYP2C19 genotype[J]. Aliment Pharmacol Ther, 2016,43(10): 1048-1059.</w:t>
      </w:r>
      <w:bookmarkEnd w:id="176"/>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[46]</w:t>
      </w:r>
      <w:r>
        <w:rPr>
          <w:rFonts w:hint="default" w:ascii="Times New Roman" w:hAnsi="Times New Roman" w:eastAsia="Times New Roman"/>
          <w:color w:val="000000"/>
          <w:sz w:val="20"/>
          <w:szCs w:val="24"/>
        </w:rPr>
        <w:tab/>
      </w:r>
      <w:bookmarkStart w:id="177" w:name="_neb8F3B384D_4F3B_44C4_AC83_7B405A3E8754"/>
      <w:r>
        <w:rPr>
          <w:rFonts w:hint="default" w:ascii="Times New Roman" w:hAnsi="Times New Roman" w:eastAsia="Times New Roman"/>
          <w:color w:val="000000"/>
          <w:sz w:val="20"/>
          <w:szCs w:val="24"/>
        </w:rPr>
        <w:t>HOSHINO S, KAWAMI N, TAKENOUCHI N, et al. Efficacy of Vonoprazan for Proton Pump Inhibitor-Resistant Reflux Esophagitis[J]. Digestion, 2017,95(2): 156-161.</w:t>
      </w:r>
      <w:bookmarkEnd w:id="177"/>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[47]</w:t>
      </w:r>
      <w:r>
        <w:rPr>
          <w:rFonts w:hint="default" w:ascii="Times New Roman" w:hAnsi="Times New Roman" w:eastAsia="Times New Roman"/>
          <w:color w:val="000000"/>
          <w:sz w:val="20"/>
          <w:szCs w:val="24"/>
        </w:rPr>
        <w:tab/>
      </w:r>
      <w:bookmarkStart w:id="178" w:name="_neb45C013F5_4190_474D_9260_4B9CEEB92A89"/>
      <w:r>
        <w:rPr>
          <w:rFonts w:hint="default" w:ascii="Times New Roman" w:hAnsi="Times New Roman" w:eastAsia="Times New Roman"/>
          <w:color w:val="000000"/>
          <w:sz w:val="20"/>
          <w:szCs w:val="24"/>
        </w:rPr>
        <w:t>ZHANG M, XIAO Y, CHEN M. The role of vonoprazan in patients with erosive esophagitis[J]. Therap Adv Gastroenterol, 2022,15: 1098305599.</w:t>
      </w:r>
      <w:bookmarkEnd w:id="178"/>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[48]</w:t>
      </w:r>
      <w:r>
        <w:rPr>
          <w:rFonts w:hint="default" w:ascii="Times New Roman" w:hAnsi="Times New Roman" w:eastAsia="Times New Roman"/>
          <w:color w:val="000000"/>
          <w:sz w:val="20"/>
          <w:szCs w:val="24"/>
        </w:rPr>
        <w:tab/>
      </w:r>
      <w:bookmarkStart w:id="179" w:name="_nebF8F5B796_763D_45DB_8742_60309FE9D15E"/>
      <w:r>
        <w:rPr>
          <w:rFonts w:hint="default" w:ascii="Times New Roman" w:hAnsi="Times New Roman" w:eastAsia="Times New Roman"/>
          <w:color w:val="000000"/>
          <w:sz w:val="20"/>
          <w:szCs w:val="24"/>
        </w:rPr>
        <w:t>WANG Z, SUN R, SHENG Y, et al. Cost-effectiveness analysis of vonoprazan versus proton pump inhibitors in the  treatment of reflux esophagitis in China[J]. Ann Transl Med, 2022,10(8): 480.</w:t>
      </w:r>
      <w:bookmarkEnd w:id="179"/>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[49]</w:t>
      </w:r>
      <w:r>
        <w:rPr>
          <w:rFonts w:hint="default" w:ascii="Times New Roman" w:hAnsi="Times New Roman" w:eastAsia="Times New Roman"/>
          <w:color w:val="000000"/>
          <w:sz w:val="20"/>
          <w:szCs w:val="24"/>
        </w:rPr>
        <w:tab/>
      </w:r>
      <w:bookmarkStart w:id="180" w:name="_nebC3916A8F_5D3B_40F0_A742_B83399D721F0"/>
      <w:r>
        <w:rPr>
          <w:rFonts w:hint="default" w:ascii="Times New Roman" w:hAnsi="Times New Roman" w:eastAsia="Times New Roman" w:cs="Times New Roman"/>
          <w:color w:val="000000"/>
          <w:sz w:val="20"/>
          <w:szCs w:val="24"/>
        </w:rPr>
        <w:t>China International Exchange and Promotive Association for Medical and Health Care</w:t>
      </w:r>
      <w:r>
        <w:rPr>
          <w:rFonts w:hint="eastAsia" w:ascii="Times New Roman" w:hAnsi="Times New Roman" w:eastAsia="宋体" w:cs="Times New Roman"/>
          <w:color w:val="000000"/>
          <w:sz w:val="20"/>
          <w:szCs w:val="24"/>
          <w:lang w:val="en-US" w:eastAsia="zh-CN"/>
        </w:rPr>
        <w:t xml:space="preserve"> Gastroesophageal Reflux Disease Society</w:t>
      </w:r>
      <w:r>
        <w:rPr>
          <w:rFonts w:hint="default" w:ascii="Times New Roman" w:hAnsi="Times New Roman" w:eastAsia="Times New Roman" w:cs="Times New Roman"/>
          <w:color w:val="000000"/>
          <w:sz w:val="20"/>
          <w:szCs w:val="24"/>
        </w:rPr>
        <w:t xml:space="preserve">. </w:t>
      </w:r>
      <w:r>
        <w:rPr>
          <w:rFonts w:hint="default" w:ascii="Times New Roman" w:hAnsi="Times New Roman" w:cs="Times New Roman"/>
          <w:color w:val="000000"/>
          <w:sz w:val="20"/>
          <w:szCs w:val="24"/>
        </w:rPr>
        <w:t>Chinese consensus on multidisciplinary diagnosis and treatment of gastroesophageal reflux disease</w:t>
      </w:r>
      <w:r>
        <w:rPr>
          <w:rFonts w:hint="eastAsia" w:ascii="Times New Roman" w:hAnsi="Times New Roman" w:cs="Times New Roman"/>
          <w:color w:val="000000"/>
          <w:sz w:val="20"/>
          <w:szCs w:val="24"/>
          <w:lang w:val="en-US" w:eastAsia="zh-CN"/>
        </w:rPr>
        <w:t xml:space="preserve"> </w:t>
      </w:r>
      <w:r>
        <w:rPr>
          <w:rFonts w:hint="default" w:ascii="Times New Roman" w:hAnsi="Times New Roman" w:eastAsia="Times New Roman" w:cs="Times New Roman"/>
          <w:color w:val="000000"/>
          <w:sz w:val="20"/>
          <w:szCs w:val="24"/>
        </w:rPr>
        <w:t>2022</w:t>
      </w:r>
      <w:r>
        <w:rPr>
          <w:rFonts w:hint="default" w:ascii="Times New Roman" w:hAnsi="Times New Roman" w:cs="Times New Roman"/>
          <w:color w:val="000000"/>
          <w:sz w:val="20"/>
          <w:szCs w:val="24"/>
        </w:rPr>
        <w:t>（二）</w:t>
      </w:r>
      <w:r>
        <w:rPr>
          <w:rFonts w:hint="default" w:ascii="Times New Roman" w:hAnsi="Times New Roman" w:eastAsia="Times New Roman" w:cs="Times New Roman"/>
          <w:color w:val="000000"/>
          <w:sz w:val="20"/>
          <w:szCs w:val="24"/>
        </w:rPr>
        <w:t>[J]. Chinese Journal of Gastroesophageal Reflux Disease(Electronic Edition), 2022,09(3): 112-146.</w:t>
      </w:r>
      <w:bookmarkEnd w:id="180"/>
    </w:p>
    <w:p>
      <w:pPr>
        <w:spacing w:beforeLines="0" w:afterLines="0"/>
        <w:ind w:left="700" w:hanging="700"/>
        <w:rPr>
          <w:rFonts w:hint="default"/>
          <w:sz w:val="24"/>
          <w:szCs w:val="24"/>
        </w:rPr>
      </w:pPr>
      <w:r>
        <w:rPr>
          <w:rFonts w:hint="default" w:ascii="Times New Roman" w:hAnsi="Times New Roman" w:eastAsia="Times New Roman"/>
          <w:color w:val="000000"/>
          <w:sz w:val="20"/>
          <w:szCs w:val="24"/>
        </w:rPr>
        <w:t>[50]</w:t>
      </w:r>
      <w:r>
        <w:rPr>
          <w:rFonts w:hint="default" w:ascii="Times New Roman" w:hAnsi="Times New Roman" w:eastAsia="Times New Roman"/>
          <w:color w:val="000000"/>
          <w:sz w:val="20"/>
          <w:szCs w:val="24"/>
        </w:rPr>
        <w:tab/>
      </w:r>
      <w:bookmarkStart w:id="181" w:name="_nebAE81EEC8_CF8A_4EE0_B01F_D96F8B2BAF90"/>
      <w:r>
        <w:rPr>
          <w:rFonts w:hint="default" w:ascii="Times New Roman" w:hAnsi="Times New Roman" w:eastAsia="Times New Roman" w:cs="Times New Roman"/>
          <w:color w:val="000000"/>
          <w:sz w:val="20"/>
          <w:szCs w:val="24"/>
        </w:rPr>
        <w:t>China International Exchange and Promotive Association for Medical and Health Care</w:t>
      </w:r>
      <w:r>
        <w:rPr>
          <w:rFonts w:hint="eastAsia" w:ascii="Times New Roman" w:hAnsi="Times New Roman" w:eastAsia="宋体" w:cs="Times New Roman"/>
          <w:color w:val="000000"/>
          <w:sz w:val="20"/>
          <w:szCs w:val="24"/>
          <w:lang w:val="en-US" w:eastAsia="zh-CN"/>
        </w:rPr>
        <w:t xml:space="preserve"> Gastroesophageal Reflux Disease Society</w:t>
      </w:r>
      <w:r>
        <w:rPr>
          <w:rFonts w:hint="default" w:ascii="Times New Roman" w:hAnsi="Times New Roman" w:eastAsia="Times New Roman" w:cs="Times New Roman"/>
          <w:color w:val="000000"/>
          <w:sz w:val="20"/>
          <w:szCs w:val="24"/>
        </w:rPr>
        <w:t xml:space="preserve">. </w:t>
      </w:r>
      <w:r>
        <w:rPr>
          <w:rFonts w:hint="default" w:ascii="Times New Roman" w:hAnsi="Times New Roman" w:cs="Times New Roman"/>
          <w:color w:val="000000"/>
          <w:sz w:val="20"/>
          <w:szCs w:val="24"/>
        </w:rPr>
        <w:t>Chinese consensus on multidisciplinary diagnosis and treatment of gastroesophageal reflux disease</w:t>
      </w:r>
      <w:r>
        <w:rPr>
          <w:rFonts w:hint="eastAsia" w:ascii="Times New Roman" w:hAnsi="Times New Roman" w:cs="Times New Roman"/>
          <w:color w:val="000000"/>
          <w:sz w:val="20"/>
          <w:szCs w:val="24"/>
          <w:lang w:val="en-US" w:eastAsia="zh-CN"/>
        </w:rPr>
        <w:t xml:space="preserve"> </w:t>
      </w:r>
      <w:r>
        <w:rPr>
          <w:rFonts w:hint="default" w:ascii="Times New Roman" w:hAnsi="Times New Roman" w:eastAsia="Times New Roman" w:cs="Times New Roman"/>
          <w:color w:val="000000"/>
          <w:sz w:val="20"/>
          <w:szCs w:val="24"/>
        </w:rPr>
        <w:t>2022</w:t>
      </w:r>
      <w:r>
        <w:rPr>
          <w:rFonts w:hint="default" w:ascii="Times New Roman" w:hAnsi="Times New Roman" w:cs="Times New Roman"/>
          <w:color w:val="000000"/>
          <w:sz w:val="20"/>
          <w:szCs w:val="24"/>
        </w:rPr>
        <w:t>（一）</w:t>
      </w:r>
      <w:r>
        <w:rPr>
          <w:rFonts w:hint="default" w:ascii="Times New Roman" w:hAnsi="Times New Roman" w:eastAsia="Times New Roman" w:cs="Times New Roman"/>
          <w:color w:val="000000"/>
          <w:sz w:val="20"/>
          <w:szCs w:val="24"/>
        </w:rPr>
        <w:t>[J]. Chinese Journal of Gastroesophageal Reflux Disease(Electronic Edition), 2022,09(2): 51-86.</w:t>
      </w:r>
      <w:bookmarkEnd w:id="181"/>
    </w:p>
    <w:p>
      <w:pPr>
        <w:spacing w:beforeLines="0" w:afterLines="0"/>
        <w:ind w:left="700" w:hanging="700"/>
        <w:rPr>
          <w:rFonts w:hint="default"/>
          <w:lang w:val="en-US" w:eastAsia="zh-CN"/>
        </w:rPr>
      </w:pPr>
      <w:r>
        <w:rPr>
          <w:rFonts w:hint="default" w:ascii="Times New Roman" w:hAnsi="Times New Roman" w:eastAsia="Times New Roman"/>
          <w:color w:val="000000"/>
          <w:sz w:val="20"/>
          <w:szCs w:val="24"/>
        </w:rPr>
        <w:t>[51]</w:t>
      </w:r>
      <w:r>
        <w:rPr>
          <w:rFonts w:hint="default" w:ascii="Times New Roman" w:hAnsi="Times New Roman" w:eastAsia="Times New Roman"/>
          <w:color w:val="000000"/>
          <w:sz w:val="20"/>
          <w:szCs w:val="24"/>
        </w:rPr>
        <w:tab/>
      </w:r>
      <w:bookmarkStart w:id="182" w:name="_nebAC8F84DB_00D4_490B_8DB3_615377FF32E9"/>
      <w:r>
        <w:rPr>
          <w:rFonts w:hint="default" w:ascii="Times New Roman" w:hAnsi="Times New Roman" w:eastAsia="Times New Roman"/>
          <w:color w:val="000000"/>
          <w:sz w:val="20"/>
          <w:szCs w:val="24"/>
        </w:rPr>
        <w:t>JUNG H K, TAE C H, SONG K H, et al. 2020 Seoul Consensus on the Diagnosis and Management of Gastroesophageal Reflux  Disease[J]. J Neurogastroenterol Motil, 2021,27(4): 453-481.</w:t>
      </w:r>
      <w:bookmarkEnd w:id="182"/>
      <w:r>
        <w:rPr>
          <w:rFonts w:hint="default"/>
          <w:lang w:val="en-US" w:eastAsia="zh-CN"/>
        </w:rPr>
        <w:fldChar w:fldCharType="end"/>
      </w:r>
    </w:p>
    <w:sectPr>
      <w:footerReference r:id="rId6" w:type="first"/>
      <w:footerReference r:id="rId5" w:type="default"/>
      <w:pgSz w:w="16838" w:h="11906" w:orient="landscape"/>
      <w:pgMar w:top="1440" w:right="1800" w:bottom="1440" w:left="1800" w:header="284" w:footer="227" w:gutter="0"/>
      <w:pgBorders>
        <w:top w:val="none" w:sz="0" w:space="0"/>
        <w:left w:val="none" w:sz="0" w:space="0"/>
        <w:bottom w:val="none" w:sz="0" w:space="0"/>
        <w:right w:val="none" w:sz="0" w:space="0"/>
      </w:pgBorders>
      <w:lnNumType w:countBy="1" w:restart="continuous"/>
      <w:pgNumType w:fmt="decimal"/>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Arial Narrow">
    <w:panose1 w:val="020B0606020202030204"/>
    <w:charset w:val="00"/>
    <w:family w:val="swiss"/>
    <w:pitch w:val="default"/>
    <w:sig w:usb0="00000287" w:usb1="00000800" w:usb2="00000000" w:usb3="00000000" w:csb0="2000009F" w:csb1="DFD70000"/>
  </w:font>
  <w:font w:name="Times New Roman (Títulos en alf">
    <w:altName w:val="Times New Roman"/>
    <w:panose1 w:val="00000000000000000000"/>
    <w:charset w:val="00"/>
    <w:family w:val="roman"/>
    <w:pitch w:val="default"/>
    <w:sig w:usb0="00000000" w:usb1="00000000" w:usb2="00000009" w:usb3="00000000" w:csb0="000001FF" w:csb1="00000000"/>
  </w:font>
  <w:font w:name="Segoe UI">
    <w:panose1 w:val="020B0502040204020203"/>
    <w:charset w:val="00"/>
    <w:family w:val="swiss"/>
    <w:pitch w:val="default"/>
    <w:sig w:usb0="E10022FF" w:usb1="C000E47F" w:usb2="00000029" w:usb3="00000000" w:csb0="200001DF" w:csb1="20000000"/>
  </w:font>
  <w:font w:name="Times New Roman (Cuerpo en alfa">
    <w:altName w:val="Times New Roman"/>
    <w:panose1 w:val="00000000000000000000"/>
    <w:charset w:val="00"/>
    <w:family w:val="roman"/>
    <w:pitch w:val="default"/>
    <w:sig w:usb0="00000000" w:usb1="00000000" w:usb2="00000009" w:usb3="00000000" w:csb0="000001FF" w:csb1="00000000"/>
  </w:font>
  <w:font w:name="Batang">
    <w:panose1 w:val="02030600000101010101"/>
    <w:charset w:val="81"/>
    <w:family w:val="roman"/>
    <w:pitch w:val="default"/>
    <w:sig w:usb0="B00002AF" w:usb1="69D77CFB" w:usb2="00000030" w:usb3="00000000" w:csb0="4008009F" w:csb1="DFD70000"/>
  </w:font>
  <w:font w:name="等线">
    <w:altName w:val="Arial Unicode MS"/>
    <w:panose1 w:val="02010600030101010101"/>
    <w:charset w:val="86"/>
    <w:family w:val="auto"/>
    <w:pitch w:val="default"/>
    <w:sig w:usb0="00000000" w:usb1="00000000" w:usb2="00000016" w:usb3="00000000" w:csb0="0004000F" w:csb1="00000000"/>
  </w:font>
  <w:font w:name="HelveticaNeueLTPro-Roman">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2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2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360" w:lineRule="auto"/>
      </w:pPr>
      <w:r>
        <w:separator/>
      </w:r>
    </w:p>
  </w:footnote>
  <w:footnote w:type="continuationSeparator" w:id="3">
    <w:p>
      <w:pPr>
        <w:spacing w:before="0" w:after="0" w:line="360" w:lineRule="auto"/>
      </w:pPr>
      <w:r>
        <w:continuationSeparator/>
      </w:r>
    </w:p>
  </w:footnote>
  <w:footnote w:id="0">
    <w:p>
      <w:pPr>
        <w:pStyle w:val="29"/>
        <w:snapToGrid w:val="0"/>
        <w:rPr>
          <w:rStyle w:val="49"/>
          <w:rFonts w:hint="eastAsia"/>
          <w:vertAlign w:val="baseline"/>
        </w:rPr>
      </w:pPr>
      <w:r>
        <w:rPr>
          <w:rStyle w:val="49"/>
          <w:rFonts w:hint="eastAsia"/>
          <w:vertAlign w:val="baseline"/>
        </w:rPr>
        <w:t>*Correspondence:</w:t>
      </w:r>
    </w:p>
    <w:p>
      <w:pPr>
        <w:pStyle w:val="29"/>
        <w:snapToGrid w:val="0"/>
        <w:rPr>
          <w:rFonts w:hint="eastAsia" w:ascii="Times New Roman" w:hAnsi="Times New Roman" w:cs="Times New Roman"/>
          <w:lang w:val="en-US" w:eastAsia="zh-CN"/>
        </w:rPr>
      </w:pPr>
      <w:r>
        <w:rPr>
          <w:rFonts w:hint="eastAsia" w:ascii="Times New Roman" w:hAnsi="Times New Roman" w:cs="Times New Roman"/>
          <w:lang w:val="en-US" w:eastAsia="zh-CN"/>
        </w:rPr>
        <w:t>Zhanjun Dong</w:t>
      </w:r>
    </w:p>
    <w:p>
      <w:pPr>
        <w:pStyle w:val="29"/>
        <w:snapToGrid w:val="0"/>
        <w:rPr>
          <w:rFonts w:hint="eastAsia" w:ascii="Times New Roman" w:hAnsi="Times New Roman" w:cs="Times New Roman"/>
          <w:lang w:val="en-US" w:eastAsia="zh-CN"/>
        </w:rPr>
      </w:pPr>
      <w:r>
        <w:rPr>
          <w:rFonts w:hint="eastAsia" w:ascii="Times New Roman" w:hAnsi="Times New Roman" w:cs="Times New Roman"/>
          <w:lang w:val="en-US" w:eastAsia="zh-CN"/>
        </w:rPr>
        <w:t>dzjhbgh@126.com</w:t>
      </w:r>
    </w:p>
    <w:p>
      <w:pPr>
        <w:pStyle w:val="29"/>
        <w:snapToGrid w:val="0"/>
        <w:rPr>
          <w:rFonts w:hint="eastAsia" w:ascii="Times New Roman" w:hAnsi="Times New Roman" w:cs="Times New Roman"/>
          <w:lang w:val="en-US" w:eastAsia="zh-CN"/>
        </w:rPr>
      </w:pPr>
      <w:r>
        <w:rPr>
          <w:rStyle w:val="49"/>
        </w:rPr>
        <w:footnoteRef/>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Hebei General Hospital, Shijiazhuang, Hebei Province, China</w:t>
      </w:r>
    </w:p>
    <w:p>
      <w:pPr>
        <w:pStyle w:val="29"/>
        <w:snapToGrid w:val="0"/>
        <w:rPr>
          <w:rFonts w:hint="default" w:ascii="Times New Roman" w:hAnsi="Times New Roman" w:cs="Times New Roman"/>
          <w:lang w:val="en-US" w:eastAsia="zh-CN"/>
        </w:rPr>
      </w:pPr>
      <w:r>
        <w:rPr>
          <w:rFonts w:hint="eastAsia" w:ascii="Times New Roman" w:hAnsi="Times New Roman" w:cs="Times New Roman"/>
          <w:vertAlign w:val="superscript"/>
          <w:lang w:val="en-US" w:eastAsia="zh-CN"/>
        </w:rPr>
        <w:t>2</w:t>
      </w:r>
      <w:r>
        <w:rPr>
          <w:rFonts w:hint="eastAsia" w:ascii="Times New Roman" w:hAnsi="Times New Roman" w:cs="Times New Roman"/>
          <w:lang w:val="en-US" w:eastAsia="zh-CN"/>
        </w:rPr>
        <w:t xml:space="preserve"> Hebei Key Laboratory of Clinical Pharmacy, </w:t>
      </w:r>
      <w:r>
        <w:rPr>
          <w:rFonts w:hint="default" w:ascii="Times New Roman" w:hAnsi="Times New Roman" w:cs="Times New Roman"/>
          <w:lang w:val="en-US" w:eastAsia="zh-CN"/>
        </w:rPr>
        <w:t>Shijiazhuang, Hebei Province, China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610406"/>
    <w:multiLevelType w:val="multilevel"/>
    <w:tmpl w:val="23610406"/>
    <w:lvl w:ilvl="0" w:tentative="0">
      <w:start w:val="1"/>
      <w:numFmt w:val="bullet"/>
      <w:lvlText w:val=""/>
      <w:lvlJc w:val="left"/>
      <w:pPr>
        <w:tabs>
          <w:tab w:val="left" w:pos="-420"/>
        </w:tabs>
        <w:ind w:left="300" w:hanging="360"/>
      </w:pPr>
      <w:rPr>
        <w:rFonts w:hint="default" w:ascii="Symbol" w:hAnsi="Symbol"/>
      </w:rPr>
    </w:lvl>
    <w:lvl w:ilvl="1" w:tentative="0">
      <w:start w:val="1"/>
      <w:numFmt w:val="bullet"/>
      <w:lvlText w:val="o"/>
      <w:lvlJc w:val="left"/>
      <w:pPr>
        <w:tabs>
          <w:tab w:val="left" w:pos="-420"/>
        </w:tabs>
        <w:ind w:left="1020" w:hanging="360"/>
      </w:pPr>
      <w:rPr>
        <w:rFonts w:hint="default" w:ascii="Courier New" w:hAnsi="Courier New" w:cs="Courier New"/>
      </w:rPr>
    </w:lvl>
    <w:lvl w:ilvl="2" w:tentative="0">
      <w:start w:val="1"/>
      <w:numFmt w:val="bullet"/>
      <w:lvlText w:val=""/>
      <w:lvlJc w:val="left"/>
      <w:pPr>
        <w:tabs>
          <w:tab w:val="left" w:pos="-420"/>
        </w:tabs>
        <w:ind w:left="1740" w:hanging="360"/>
      </w:pPr>
      <w:rPr>
        <w:rFonts w:hint="default" w:ascii="Wingdings" w:hAnsi="Wingdings"/>
      </w:rPr>
    </w:lvl>
    <w:lvl w:ilvl="3" w:tentative="0">
      <w:start w:val="1"/>
      <w:numFmt w:val="bullet"/>
      <w:lvlText w:val=""/>
      <w:lvlJc w:val="left"/>
      <w:pPr>
        <w:tabs>
          <w:tab w:val="left" w:pos="-420"/>
        </w:tabs>
        <w:ind w:left="2460" w:hanging="360"/>
      </w:pPr>
      <w:rPr>
        <w:rFonts w:hint="default" w:ascii="Symbol" w:hAnsi="Symbol"/>
      </w:rPr>
    </w:lvl>
    <w:lvl w:ilvl="4" w:tentative="0">
      <w:start w:val="1"/>
      <w:numFmt w:val="bullet"/>
      <w:lvlText w:val="o"/>
      <w:lvlJc w:val="left"/>
      <w:pPr>
        <w:tabs>
          <w:tab w:val="left" w:pos="-420"/>
        </w:tabs>
        <w:ind w:left="3180" w:hanging="360"/>
      </w:pPr>
      <w:rPr>
        <w:rFonts w:hint="default" w:ascii="Courier New" w:hAnsi="Courier New" w:cs="Courier New"/>
      </w:rPr>
    </w:lvl>
    <w:lvl w:ilvl="5" w:tentative="0">
      <w:start w:val="1"/>
      <w:numFmt w:val="bullet"/>
      <w:lvlText w:val=""/>
      <w:lvlJc w:val="left"/>
      <w:pPr>
        <w:tabs>
          <w:tab w:val="left" w:pos="-420"/>
        </w:tabs>
        <w:ind w:left="3900" w:hanging="360"/>
      </w:pPr>
      <w:rPr>
        <w:rFonts w:hint="default" w:ascii="Wingdings" w:hAnsi="Wingdings"/>
      </w:rPr>
    </w:lvl>
    <w:lvl w:ilvl="6" w:tentative="0">
      <w:start w:val="1"/>
      <w:numFmt w:val="bullet"/>
      <w:lvlText w:val=""/>
      <w:lvlJc w:val="left"/>
      <w:pPr>
        <w:tabs>
          <w:tab w:val="left" w:pos="-420"/>
        </w:tabs>
        <w:ind w:left="4620" w:hanging="360"/>
      </w:pPr>
      <w:rPr>
        <w:rFonts w:hint="default" w:ascii="Symbol" w:hAnsi="Symbol"/>
      </w:rPr>
    </w:lvl>
    <w:lvl w:ilvl="7" w:tentative="0">
      <w:start w:val="1"/>
      <w:numFmt w:val="bullet"/>
      <w:lvlText w:val="o"/>
      <w:lvlJc w:val="left"/>
      <w:pPr>
        <w:tabs>
          <w:tab w:val="left" w:pos="-420"/>
        </w:tabs>
        <w:ind w:left="5340" w:hanging="360"/>
      </w:pPr>
      <w:rPr>
        <w:rFonts w:hint="default" w:ascii="Courier New" w:hAnsi="Courier New" w:cs="Courier New"/>
      </w:rPr>
    </w:lvl>
    <w:lvl w:ilvl="8" w:tentative="0">
      <w:start w:val="1"/>
      <w:numFmt w:val="bullet"/>
      <w:lvlText w:val=""/>
      <w:lvlJc w:val="left"/>
      <w:pPr>
        <w:tabs>
          <w:tab w:val="left" w:pos="-420"/>
        </w:tabs>
        <w:ind w:left="606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2"/>
    <w:footnote w:id="3"/>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RiOWM1OGI4OWU5YTI4YzE2NjI1ZTM3YmNlODI2YzcifQ=="/>
    <w:docVar w:name="NE.Ref{005109A5-CFFC-4872-9B93-E2039C16E3D1}" w:val=" ADDIN NE.Ref.{005109A5-CFFC-4872-9B93-E2039C16E3D1}&lt;Citation&gt;&lt;Group&gt;&lt;References&gt;&lt;Item&gt;&lt;ID&gt;525&lt;/ID&gt;&lt;UID&gt;{58F05553-9C01-423D-A8FC-069CCF13A029}&lt;/UID&gt;&lt;Title&gt;Evolution of gastro-oesophageal reflux disease over 5 years under routine medical  care--the ProGERD study&lt;/Title&gt;&lt;Template&gt;Journal Article&lt;/Template&gt;&lt;Star&gt;0&lt;/Star&gt;&lt;Tag&gt;0&lt;/Tag&gt;&lt;Author&gt;Malfertheiner, P; Nocon, M; Vieth, M; Stolte, M; Jaspersen, D; Koelz, H R; Labenz, J; Leodolter, A; Lind, T; Richter, K; Willich, S N&lt;/Author&gt;&lt;Year&gt;2012&lt;/Year&gt;&lt;Details&gt;&lt;_accessed&gt;65116712&lt;/_accessed&gt;&lt;_accession_num&gt;22070159&lt;/_accession_num&gt;&lt;_author_adr&gt;Department of Gastroenterology, Hepatology and Infectious Diseases,  Otto-von-Guericke University, Magdeburg, Germany. peter.malfertheiner@med.ovgu.de&lt;/_author_adr&gt;&lt;_collection_scope&gt;SCIE&lt;/_collection_scope&gt;&lt;_created&gt;65116615&lt;/_created&gt;&lt;_custom1&gt;10&lt;/_custom1&gt;&lt;_date&gt;2012-01-01&lt;/_date&gt;&lt;_date_display&gt;2012 Jan&lt;/_date_display&gt;&lt;_db_updated&gt;PubMed&lt;/_db_updated&gt;&lt;_doi&gt;10.1111/j.1365-2036.2011.04901.x&lt;/_doi&gt;&lt;_impact_factor&gt;   9.524&lt;/_impact_factor&gt;&lt;_isbn&gt;1365-2036 (Electronic); 0269-2813 (Linking)&lt;/_isbn&gt;&lt;_issue&gt;1&lt;/_issue&gt;&lt;_journal&gt;Aliment Pharmacol Ther&lt;/_journal&gt;&lt;_language&gt;eng&lt;/_language&gt;&lt;_modified&gt;65116712&lt;/_modified&gt;&lt;_ori_publication&gt;(c) 2011 Blackwell Publishing Ltd.&lt;/_ori_publication&gt;&lt;_pages&gt;154-64&lt;/_pages&gt;&lt;_social_category&gt;医学(1)&lt;/_social_category&gt;&lt;_subject_headings&gt;Adult; Aged; Antacids/*therapeutic use; Anti-Ulcer Agents/*therapeutic use; Cohort Studies; Disease Progression; Endoscopy, Gastrointestinal; Esomeprazole/*therapeutic use; Female; Gastroesophageal Reflux/diagnosis/*drug therapy/*physiopathology; Humans; Male; Middle Aged; Prospective Studies; Severity of Illness Index; Time Factors&lt;/_subject_headings&gt;&lt;_tertiary_title&gt;Alimentary pharmacology &amp;amp; therapeutics&lt;/_tertiary_title&gt;&lt;_type_work&gt;Journal Article; Multicenter Study; Research Support, Non-U.S. Gov&amp;apos;t&lt;/_type_work&gt;&lt;_url&gt;http://www.ncbi.nlm.nih.gov/entrez/query.fcgi?cmd=Retrieve&amp;amp;db=pubmed&amp;amp;dopt=Abstract&amp;amp;list_uids=22070159&amp;amp;query_hl=1&lt;/_url&gt;&lt;_volume&gt;35&lt;/_volume&gt;&lt;/Details&gt;&lt;Extra&gt;&lt;DBUID&gt;{C3DDB144-B9A5-4BD3-B74E-FCFC25704025}&lt;/DBUID&gt;&lt;/Extra&gt;&lt;/Item&gt;&lt;/References&gt;&lt;/Group&gt;&lt;/Citation&gt;_x000a_"/>
    <w:docVar w:name="NE.Ref{0578E40E-F436-4B3B-8E4D-870327732D12}" w:val=" ADDIN NE.Ref.{0578E40E-F436-4B3B-8E4D-870327732D12}&lt;Citation&gt;&lt;Group&gt;&lt;References&gt;&lt;Item&gt;&lt;ID&gt;559&lt;/ID&gt;&lt;UID&gt;{2660ECAF-BE9B-4480-BE73-A463DD85B296}&lt;/UID&gt;&lt;Title&gt;Randomised clinical trial: comparison of tegoprazan and placebo in non-erosive  reflux disease&lt;/Title&gt;&lt;Template&gt;Journal Article&lt;/Template&gt;&lt;Star&gt;0&lt;/Star&gt;&lt;Tag&gt;0&lt;/Tag&gt;&lt;Author&gt;Kim, S H; Cho, K B; Chun, H J; Lee, S W; Kwon, J G; Lee, D H; Kim, S G; Jung, H Y; Kim, J W; Lee, J S; Park, H; Choi, S C; Jee, S R; Kim, H S; Ko, K H; Park, S J; Lee, Y C; Park, S H; Kim, A R; Kim, E J; Park, H W; Kim, B T; Song, G S&lt;/Author&gt;&lt;Year&gt;2021&lt;/Year&gt;&lt;Details&gt;&lt;_accessed&gt;65116730&lt;/_accessed&gt;&lt;_accession_num&gt;34227708&lt;/_accession_num&gt;&lt;_author_adr&gt;Seoul, South Korea.; Daegu, South Korea.; Seoul, South Korea.; Ansan, South Korea.; Daegu, South Korea.; Seongnam, South Korea.; Seoul, South Korea.; Seoul, South Korea.; Seoul, South Korea.; Seoul, South Korea.; Seoul, South Korea.; Iksan, South Korea.; Busan, South Korea.; Kwangju, South Korea.; Seongnam, South Korea.; Busan, South Korea.; Seoul, South Korea.; Seoul, South Korea.; Seoul, South Korea.; Seoul, South Korea.; Seoul, South Korea.; Seoul, South Korea.; Seoul, South Korea.&lt;/_author_adr&gt;&lt;_collection_scope&gt;SCIE&lt;/_collection_scope&gt;&lt;_created&gt;65116729&lt;/_created&gt;&lt;_custom1&gt;39&lt;/_custom1&gt;&lt;_date&gt;2021-08-01&lt;/_date&gt;&lt;_date_display&gt;2021 Aug&lt;/_date_display&gt;&lt;_db_updated&gt;PubMed&lt;/_db_updated&gt;&lt;_doi&gt;10.1111/apt.16477&lt;/_doi&gt;&lt;_impact_factor&gt;   9.524&lt;/_impact_factor&gt;&lt;_isbn&gt;1365-2036 (Electronic); 0269-2813 (Print); 0269-2813 (Linking)&lt;/_isbn&gt;&lt;_issue&gt;4&lt;/_issue&gt;&lt;_journal&gt;Aliment Pharmacol Ther&lt;/_journal&gt;&lt;_language&gt;eng&lt;/_language&gt;&lt;_modified&gt;65116730&lt;/_modified&gt;&lt;_ori_publication&gt;(c) 2021 The Authors. Alimentary Pharmacology &amp;amp; Therapeutics published by John _x000d__x000a_      Wiley &amp;amp; Sons Ltd.&lt;/_ori_publication&gt;&lt;_pages&gt;402-411&lt;/_pages&gt;&lt;_social_category&gt;医学(1)&lt;/_social_category&gt;&lt;_subject_headings&gt;Benzene Derivatives; Double-Blind Method; *Gastroesophageal Reflux/drug therapy; Heartburn/drug therapy; Humans; *Imidazoles; Treatment Outcome&lt;/_subject_headings&gt;&lt;_tertiary_title&gt;Alimentary pharmacology &amp;amp; therapeutics&lt;/_tertiary_title&gt;&lt;_type_work&gt;Clinical Trial, Phase III; Journal Article; Multicenter Study; Randomized Controlled Trial; Research Support, Non-U.S. Gov&amp;apos;t&lt;/_type_work&gt;&lt;_url&gt;http://www.ncbi.nlm.nih.gov/entrez/query.fcgi?cmd=Retrieve&amp;amp;db=pubmed&amp;amp;dopt=Abstract&amp;amp;list_uids=34227708&amp;amp;query_hl=1&lt;/_url&gt;&lt;_volume&gt;54&lt;/_volume&gt;&lt;/Details&gt;&lt;Extra&gt;&lt;DBUID&gt;{C3DDB144-B9A5-4BD3-B74E-FCFC25704025}&lt;/DBUID&gt;&lt;/Extra&gt;&lt;/Item&gt;&lt;/References&gt;&lt;/Group&gt;&lt;/Citation&gt;_x000a_"/>
    <w:docVar w:name="NE.Ref{081601B2-F90B-4F22-B243-CBEEFF6CEC55}" w:val=" ADDIN NE.Ref.{081601B2-F90B-4F22-B243-CBEEFF6CEC55}&lt;Citation&gt;&lt;Group&gt;&lt;References&gt;&lt;Item&gt;&lt;ID&gt;543&lt;/ID&gt;&lt;UID&gt;{2718293E-1A51-4EC0-A427-69767676D4C4}&lt;/UID&gt;&lt;Title&gt;Pharmacodynamics and Pharmacokinetics of the Potassium-Competitive Acid Blocker  Vonoprazan and the Proton Pump Inhibitor Lansoprazole in US Subjects&lt;/Title&gt;&lt;Template&gt;Journal Article&lt;/Template&gt;&lt;Star&gt;0&lt;/Star&gt;&lt;Tag&gt;0&lt;/Tag&gt;&lt;Author&gt;Laine, L; Sharma, P; Mulford, D J; Hunt, B; Leifke, E; Smith, N; Howden, C W&lt;/Author&gt;&lt;Year&gt;2022&lt;/Year&gt;&lt;Details&gt;&lt;_accessed&gt;65116715&lt;/_accessed&gt;&lt;_accession_num&gt;35294415&lt;/_accession_num&gt;&lt;_author_adr&gt;Yale School of Medicine, New Haven, Connecticut, USA.; VA Connecticut Healthcare System, West Haven, Connecticut, USA.; Veterans Affairs Medical Center and University of Kansas School of Medicine,  Kansas City, Kansas, USA.; Phathom Pharmaceuticals, Buffalo Grove, Illinois, USA.; Phathom Pharmaceuticals, Buffalo Grove, Illinois, USA.; Phathom Pharmaceuticals, Buffalo Grove, Illinois, USA.; Phathom Pharmaceuticals, Buffalo Grove, Illinois, USA.; University of Tennessee College of Medicine, Memphis, Tennessee, USA.&lt;/_author_adr&gt;&lt;_collection_scope&gt;SCIE&lt;/_collection_scope&gt;&lt;_created&gt;65116670&lt;/_created&gt;&lt;_custom1&gt;27&lt;/_custom1&gt;&lt;_date&gt;2022-07-01&lt;/_date&gt;&lt;_date_display&gt;2022 Jul 1&lt;/_date_display&gt;&lt;_db_updated&gt;PubMed&lt;/_db_updated&gt;&lt;_doi&gt;10.14309/ajg.0000000000001735&lt;/_doi&gt;&lt;_impact_factor&gt;  12.045&lt;/_impact_factor&gt;&lt;_isbn&gt;1572-0241 (Electronic); 0002-9270 (Linking)&lt;/_isbn&gt;&lt;_issue&gt;7&lt;/_issue&gt;&lt;_journal&gt;Am J Gastroenterol&lt;/_journal&gt;&lt;_language&gt;eng&lt;/_language&gt;&lt;_modified&gt;65116715&lt;/_modified&gt;&lt;_ori_publication&gt;Copyright (c) 2022 Written work prepared by employees of the Federal Government as _x000d__x000a_      part of their official duties is, under the U.S. Copyright Act, a &amp;quot;work of the _x000d__x000a_      United States Government&amp;quot; for which copyright protection under Title 17 of the _x000d__x000a_      United States Code is not available. As such, copyright does not extend to the _x000d__x000a_      contributions of employees of the Federal Government.&lt;/_ori_publication&gt;&lt;_pages&gt;1158-1161&lt;/_pages&gt;&lt;_social_category&gt;医学(1)&lt;/_social_category&gt;&lt;_subject_headings&gt;Adult; Humans; Hydrogen-Ion Concentration; Lansoprazole/pharmacology; *Potassium; *Proton Pump Inhibitors/pharmacology; Pyrroles/pharmacology; Sulfonamides&lt;/_subject_headings&gt;&lt;_tertiary_title&gt;The American journal of gastroenterology&lt;/_tertiary_title&gt;&lt;_type_work&gt;Journal Article; Randomized Controlled Trial; Research Support, Non-U.S. Gov&amp;apos;t&lt;/_type_work&gt;&lt;_url&gt;http://www.ncbi.nlm.nih.gov/entrez/query.fcgi?cmd=Retrieve&amp;amp;db=pubmed&amp;amp;dopt=Abstract&amp;amp;list_uids=35294415&amp;amp;query_hl=1&lt;/_url&gt;&lt;_volume&gt;117&lt;/_volume&gt;&lt;/Details&gt;&lt;Extra&gt;&lt;DBUID&gt;{C3DDB144-B9A5-4BD3-B74E-FCFC25704025}&lt;/DBUID&gt;&lt;/Extra&gt;&lt;/Item&gt;&lt;/References&gt;&lt;/Group&gt;&lt;/Citation&gt;_x000a_"/>
    <w:docVar w:name="NE.Ref{0E5B9202-EFFE-47C6-856F-D6C593EBF401}" w:val=" ADDIN NE.Ref.{0E5B9202-EFFE-47C6-856F-D6C593EBF401}&lt;Citation&gt;&lt;Group&gt;&lt;References&gt;&lt;Item&gt;&lt;ID&gt;538&lt;/ID&gt;&lt;UID&gt;{6E3BA766-2356-41C6-BB60-3DFA5894E01A}&lt;/UID&gt;&lt;Title&gt;Randomised clinical trial: vonoprazan, a novel potassium-competitive acid  blocker, vs. lansoprazole for the healing of erosive oesophagitis&lt;/Title&gt;&lt;Template&gt;Journal Article&lt;/Template&gt;&lt;Star&gt;0&lt;/Star&gt;&lt;Tag&gt;0&lt;/Tag&gt;&lt;Author&gt;Ashida, K; Sakurai, Y; Hori, T; Kudou, K; Nishimura, A; Hiramatsu, N; Umegaki, E; Iwakiri, K&lt;/Author&gt;&lt;Year&gt;2016&lt;/Year&gt;&lt;Details&gt;&lt;_accessed&gt;65116714&lt;/_accessed&gt;&lt;_accession_num&gt;26559637&lt;/_accession_num&gt;&lt;_author_adr&gt;Rakuwakai Otowa Hospital, Kyoto, Japan.; Takeda Pharmaceutical Company Ltd., Osaka, Japan.; Takeda Pharmaceutical Company Ltd., Osaka, Japan.; Takeda Pharmaceutical Company Ltd., Osaka, Japan.; Takeda Pharmaceutical Company Ltd., Osaka, Japan.; Osaka University Graduate School of Medicine, Osaka, Japan.; Kobe University Graduate School of Medicine, Kobe, Japan.; Nippon Medical School Graduate School of Medicine, Tokyo, Japan.&lt;/_author_adr&gt;&lt;_collection_scope&gt;SCIE&lt;/_collection_scope&gt;&lt;_created&gt;65116650&lt;/_created&gt;&lt;_custom1&gt;22&lt;/_custom1&gt;&lt;_date&gt;2016-01-01&lt;/_date&gt;&lt;_date_display&gt;2016 Jan&lt;/_date_display&gt;&lt;_db_updated&gt;PubMed&lt;/_db_updated&gt;&lt;_doi&gt;10.1111/apt.13461&lt;/_doi&gt;&lt;_impact_factor&gt;   9.524&lt;/_impact_factor&gt;&lt;_isbn&gt;1365-2036 (Electronic); 0269-2813 (Print); 0269-2813 (Linking)&lt;/_isbn&gt;&lt;_issue&gt;2&lt;/_issue&gt;&lt;_journal&gt;Aliment Pharmacol Ther&lt;/_journal&gt;&lt;_language&gt;eng&lt;/_language&gt;&lt;_modified&gt;65116714&lt;/_modified&gt;&lt;_ori_publication&gt;(c) 2015 The Authors. Alimentary Pharmacology &amp;amp; Therapeutics published by John _x000d__x000a_      Wiley &amp;amp; Sons Ltd.&lt;/_ori_publication&gt;&lt;_pages&gt;240-51&lt;/_pages&gt;&lt;_social_category&gt;医学(1)&lt;/_social_category&gt;&lt;_subject_headings&gt;Adult; Aged; Cytochrome P-450 CYP2C19/metabolism; Double-Blind Method; Esophagitis/*drug therapy; Female; Humans; Lansoprazole/*therapeutic use; Male; Middle Aged; Proton Pump Inhibitors/*therapeutic use; Pyrroles/*therapeutic use; Recurrence; Sulfonamides/*therapeutic use; Wound Healing/drug effects&lt;/_subject_headings&gt;&lt;_tertiary_title&gt;Alimentary pharmacology &amp;amp; therapeutics&lt;/_tertiary_title&gt;&lt;_type_work&gt;Comparative Study; Journal Article; Multicenter Study; Randomized Controlled Trial; Research Support, Non-U.S. Gov&amp;apos;t&lt;/_type_work&gt;&lt;_url&gt;http://www.ncbi.nlm.nih.gov/entrez/query.fcgi?cmd=Retrieve&amp;amp;db=pubmed&amp;amp;dopt=Abstract&amp;amp;list_uids=26559637&amp;amp;query_hl=1&lt;/_url&gt;&lt;_volume&gt;43&lt;/_volume&gt;&lt;/Details&gt;&lt;Extra&gt;&lt;DBUID&gt;{C3DDB144-B9A5-4BD3-B74E-FCFC25704025}&lt;/DBUID&gt;&lt;/Extra&gt;&lt;/Item&gt;&lt;/References&gt;&lt;/Group&gt;&lt;/Citation&gt;_x000a_"/>
    <w:docVar w:name="NE.Ref{12F3C201-4C84-4BFD-B6C6-59F48373B1E9}" w:val=" ADDIN NE.Ref.{12F3C201-4C84-4BFD-B6C6-59F48373B1E9}&lt;Citation&gt;&lt;Group&gt;&lt;References&gt;&lt;Item&gt;&lt;ID&gt;552&lt;/ID&gt;&lt;UID&gt;{2931B7A7-C3E2-4239-80A9-D180E6A8DB8F}&lt;/UID&gt;&lt;Title&gt;Effects of Tegoprazan Versus Esomeprazole on Nighttime Heartburn and Sleep  Quality in Gastroesophageal Reflux Disease: A Multicenter Double-blind Randomized  Controlled Trial&lt;/Title&gt;&lt;Template&gt;Journal Article&lt;/Template&gt;&lt;Star&gt;1&lt;/Star&gt;&lt;Tag&gt;0&lt;/Tag&gt;&lt;Author&gt;Kim, J S; Seo, S I; Kang, S H; Lee, S K; Kim, A R; Park, H W; Kim, B T; Song, G S&lt;/Author&gt;&lt;Year&gt;2023&lt;/Year&gt;&lt;Details&gt;&lt;_accessed&gt;65116725&lt;/_accessed&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collection_scope&gt;SCIE&lt;/_collection_scope&gt;&lt;_created&gt;65116702&lt;/_created&gt;&lt;_custom1&gt;34&lt;/_custom1&gt;&lt;_date&gt;2023-01-30&lt;/_date&gt;&lt;_date_display&gt;2023 Jan 30&lt;/_date_display&gt;&lt;_db_updated&gt;PubMed&lt;/_db_updated&gt;&lt;_doi&gt;10.5056/jnm22104&lt;/_doi&gt;&lt;_impact_factor&gt;   4.725&lt;/_impact_factor&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modified&gt;65116725&lt;/_modified&gt;&lt;_pages&gt;58-64&lt;/_pages&gt;&lt;_social_category&gt;医学(2)&lt;/_social_category&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Details&gt;&lt;Extra&gt;&lt;DBUID&gt;{C3DDB144-B9A5-4BD3-B74E-FCFC25704025}&lt;/DBUID&gt;&lt;/Extra&gt;&lt;/Item&gt;&lt;/References&gt;&lt;/Group&gt;&lt;/Citation&gt;_x000a_"/>
    <w:docVar w:name="NE.Ref{134B9C86-92F3-42BA-9398-C61CC1E484C4}" w:val=" ADDIN NE.Ref.{134B9C86-92F3-42BA-9398-C61CC1E484C4}&lt;Citation&gt;&lt;Group&gt;&lt;References&gt;&lt;Item&gt;&lt;ID&gt;525&lt;/ID&gt;&lt;UID&gt;{58F05553-9C01-423D-A8FC-069CCF13A029}&lt;/UID&gt;&lt;Title&gt;Evolution of gastro-oesophageal reflux disease over 5 years under routine medical  care--the ProGERD study&lt;/Title&gt;&lt;Template&gt;Journal Article&lt;/Template&gt;&lt;Star&gt;0&lt;/Star&gt;&lt;Tag&gt;0&lt;/Tag&gt;&lt;Author&gt;Malfertheiner, P; Nocon, M; Vieth, M; Stolte, M; Jaspersen, D; Koelz, H R; Labenz, J; Leodolter, A; Lind, T; Richter, K; Willich, S N&lt;/Author&gt;&lt;Year&gt;2012&lt;/Year&gt;&lt;Details&gt;&lt;_accessed&gt;65116712&lt;/_accessed&gt;&lt;_accession_num&gt;22070159&lt;/_accession_num&gt;&lt;_author_adr&gt;Department of Gastroenterology, Hepatology and Infectious Diseases,  Otto-von-Guericke University, Magdeburg, Germany. peter.malfertheiner@med.ovgu.de&lt;/_author_adr&gt;&lt;_collection_scope&gt;SCIE&lt;/_collection_scope&gt;&lt;_created&gt;65116615&lt;/_created&gt;&lt;_custom1&gt;10&lt;/_custom1&gt;&lt;_date&gt;2012-01-01&lt;/_date&gt;&lt;_date_display&gt;2012 Jan&lt;/_date_display&gt;&lt;_db_updated&gt;PubMed&lt;/_db_updated&gt;&lt;_doi&gt;10.1111/j.1365-2036.2011.04901.x&lt;/_doi&gt;&lt;_impact_factor&gt;   9.524&lt;/_impact_factor&gt;&lt;_isbn&gt;1365-2036 (Electronic); 0269-2813 (Linking)&lt;/_isbn&gt;&lt;_issue&gt;1&lt;/_issue&gt;&lt;_journal&gt;Aliment Pharmacol Ther&lt;/_journal&gt;&lt;_language&gt;eng&lt;/_language&gt;&lt;_modified&gt;65116712&lt;/_modified&gt;&lt;_ori_publication&gt;(c) 2011 Blackwell Publishing Ltd.&lt;/_ori_publication&gt;&lt;_pages&gt;154-64&lt;/_pages&gt;&lt;_social_category&gt;医学(1)&lt;/_social_category&gt;&lt;_subject_headings&gt;Adult; Aged; Antacids/*therapeutic use; Anti-Ulcer Agents/*therapeutic use; Cohort Studies; Disease Progression; Endoscopy, Gastrointestinal; Esomeprazole/*therapeutic use; Female; Gastroesophageal Reflux/diagnosis/*drug therapy/*physiopathology; Humans; Male; Middle Aged; Prospective Studies; Severity of Illness Index; Time Factors&lt;/_subject_headings&gt;&lt;_tertiary_title&gt;Alimentary pharmacology &amp;amp; therapeutics&lt;/_tertiary_title&gt;&lt;_type_work&gt;Journal Article; Multicenter Study; Research Support, Non-U.S. Gov&amp;apos;t&lt;/_type_work&gt;&lt;_url&gt;http://www.ncbi.nlm.nih.gov/entrez/query.fcgi?cmd=Retrieve&amp;amp;db=pubmed&amp;amp;dopt=Abstract&amp;amp;list_uids=22070159&amp;amp;query_hl=1&lt;/_url&gt;&lt;_volume&gt;35&lt;/_volume&gt;&lt;/Details&gt;&lt;Extra&gt;&lt;DBUID&gt;{C3DDB144-B9A5-4BD3-B74E-FCFC25704025}&lt;/DBUID&gt;&lt;/Extra&gt;&lt;/Item&gt;&lt;/References&gt;&lt;/Group&gt;&lt;/Citation&gt;_x000a_"/>
    <w:docVar w:name="NE.Ref{191FD102-06F1-4D00-946C-EFD0FB0552A6}" w:val=" ADDIN NE.Ref.{191FD102-06F1-4D00-946C-EFD0FB0552A6}&lt;Citation&gt;&lt;Group&gt;&lt;References&gt;&lt;Item&gt;&lt;ID&gt;573&lt;/ID&gt;&lt;UID&gt;{22087C7A-FDD9-491E-ABF3-48DE17970DD6}&lt;/UID&gt;&lt;Title&gt;Efficacy of Vonoprazan for 48-Week Maintenance Therapy of Patients with Healed  Reflux Esophagitis&lt;/Title&gt;&lt;Template&gt;Journal Article&lt;/Template&gt;&lt;Star&gt;0&lt;/Star&gt;&lt;Tag&gt;0&lt;/Tag&gt;&lt;Author&gt;Mizuno, H; Nishino, M; Yamada, K; Kamiyamamoto, S; Hinoue, Y&lt;/Author&gt;&lt;Year&gt;2020&lt;/Year&gt;&lt;Details&gt;&lt;_accession_num&gt;31129668&lt;/_accession_num&gt;&lt;_author_adr&gt;Department of Gastroenterology, Toyama City Hospital, Toyama, Japan,  hmizuno@tch.toyama.toyama.jp.; Department of Gastroenterology, Toyama City Hospital, Toyama, Japan.; Department of Gastroenterology, Toyama City Hospital, Toyama, Japan.; Department of Gastroenterology, Toyama City Hospital, Toyama, Japan.; Department of Gastroenterology, Toyama City Hospital, Toyama, Japan.&lt;/_author_adr&gt;&lt;_date_display&gt;2020&lt;/_date_display&gt;&lt;_date&gt;2020-01-20&lt;/_date&gt;&lt;_doi&gt;10.1159/000500399&lt;/_doi&gt;&lt;_isbn&gt;1421-9867 (Electronic); 0012-2823 (Linking)&lt;/_isbn&gt;&lt;_issue&gt;4&lt;/_issue&gt;&lt;_journal&gt;Digestion&lt;/_journal&gt;&lt;_keywords&gt;Gastroesophageal reflux disease; Maintenance therapy; Reflux esophagitis refractory to proton pump inhibitors; Vonoprazan&lt;/_keywords&gt;&lt;_language&gt;eng&lt;/_language&gt;&lt;_ori_publication&gt;(c) 2019 S. Karger AG, Basel.&lt;/_ori_publication&gt;&lt;_pages&gt;411-421&lt;/_pages&gt;&lt;_subject_headings&gt;Aged; Drug Administration Schedule; Esophageal Mucosa/pathology; Esophagitis, Peptic/*drug therapy/pathology; Female; Humans; Maintenance Chemotherapy/*methods; Male; Middle Aged; Proton Pump Inhibitors/therapeutic use; Pyrroles/*administration &amp;amp; dosage; Recurrence; Severity of Illness Index; Sulfonamides/*administration &amp;amp; dosage; Treatment Outcome&lt;/_subject_headings&gt;&lt;_tertiary_title&gt;Digestion&lt;/_tertiary_title&gt;&lt;_type_work&gt;Clinical Trial; Journal Article&lt;/_type_work&gt;&lt;_url&gt;http://www.ncbi.nlm.nih.gov/entrez/query.fcgi?cmd=Retrieve&amp;amp;db=pubmed&amp;amp;dopt=Abstract&amp;amp;list_uids=31129668&amp;amp;query_hl=1&lt;/_url&gt;&lt;_volume&gt;101&lt;/_volume&gt;&lt;_created&gt;65139795&lt;/_created&gt;&lt;_modified&gt;65139796&lt;/_modified&gt;&lt;_db_updated&gt;PubMed&lt;/_db_updated&gt;&lt;_impact_factor&gt;   3.672&lt;/_impact_factor&gt;&lt;_social_category&gt;医学(3)&lt;/_social_category&gt;&lt;_collection_scope&gt;SCIE&lt;/_collection_scope&gt;&lt;/Details&gt;&lt;Extra&gt;&lt;DBUID&gt;{C3DDB144-B9A5-4BD3-B74E-FCFC25704025}&lt;/DBUID&gt;&lt;/Extra&gt;&lt;/Item&gt;&lt;/References&gt;&lt;/Group&gt;&lt;/Citation&gt;_x000a_"/>
    <w:docVar w:name="NE.Ref{1981FF8D-C6C4-4EA1-8A6E-C0F798A8EE48}" w:val=" ADDIN NE.Ref.{1981FF8D-C6C4-4EA1-8A6E-C0F798A8EE48}&lt;Citation&gt;&lt;Group&gt;&lt;References&gt;&lt;Item&gt;&lt;ID&gt;519&lt;/ID&gt;&lt;UID&gt;{7BBC2EF9-1FF7-4818-8B36-DC3EAEBDB653}&lt;/UID&gt;&lt;Title&gt;AGA Clinical Practice Update on the Personalized Approach to the Evaluation and  Management of GERD: Expert Review&lt;/Title&gt;&lt;Template&gt;Journal Article&lt;/Template&gt;&lt;Star&gt;0&lt;/Star&gt;&lt;Tag&gt;0&lt;/Tag&gt;&lt;Author&gt;Yadlapati, R; Gyawali, C P; Pandolfino, J E&lt;/Author&gt;&lt;Year&gt;2022&lt;/Year&gt;&lt;Details&gt;&lt;_accessed&gt;65116711&lt;/_accessed&gt;&lt;_accession_num&gt;35123084&lt;/_accession_num&gt;&lt;_author_adr&gt;Division of Gastroenterology, University of California San Diego School of  Medicine, La Jolla, California.; Division of Gastroenterology, Washington University School of Medicine, St.  Louis, Missouri. Electronic address: cprakash@wustl.edu.; Division of Gastroenterology, Northwestern University Feinberg School of  Medicine, Chicago, Illinois.&lt;/_author_adr&gt;&lt;_collection_scope&gt;SCIE&lt;/_collection_scope&gt;&lt;_created&gt;65116604&lt;/_created&gt;&lt;_custom1&gt;3&lt;/_custom1&gt;&lt;_date&gt;2022-05-01&lt;/_date&gt;&lt;_date_display&gt;2022 May&lt;/_date_display&gt;&lt;_db_updated&gt;PubMed&lt;/_db_updated&gt;&lt;_doi&gt;10.1016/j.cgh.2022.01.025&lt;/_doi&gt;&lt;_impact_factor&gt;  13.576&lt;/_impact_factor&gt;&lt;_isbn&gt;1542-7714 (Electronic); 1542-3565 (Print); 1542-3565 (Linking)&lt;/_isbn&gt;&lt;_issue&gt;5&lt;/_issue&gt;&lt;_journal&gt;Clin Gastroenterol Hepatol&lt;/_journal&gt;&lt;_keywords&gt;Ambulatory Reflux Monitoring; Gastroesophageal Reflux Disease; Proton Pump Inhibitors&lt;/_keywords&gt;&lt;_language&gt;eng&lt;/_language&gt;&lt;_modified&gt;65116711&lt;/_modified&gt;&lt;_ori_publication&gt;Copyright (c) 2022 AGA Institute. Published by Elsevier Inc. All rights reserved.&lt;/_ori_publication&gt;&lt;_pages&gt;984-994.e1&lt;/_pages&gt;&lt;_social_category&gt;医学(1)&lt;/_social_category&gt;&lt;_subject_headings&gt;*Barrett Esophagus/diagnosis; Chest Pain/complications/drug therapy; *Gastroesophageal Reflux/complications/diagnosis/therapy; Heartburn/diagnosis/drug therapy/etiology; Humans; Proton Pump Inhibitors/therapeutic use&lt;/_subject_headings&gt;&lt;_tertiary_title&gt;Clinical gastroenterology and hepatology : the official clinical practice journal _x000d__x000a_      of the American Gastroenterological Association&lt;/_tertiary_title&gt;&lt;_type_work&gt;Practice Guideline; Research Support, N.I.H., Extramural; Review&lt;/_type_work&gt;&lt;_url&gt;http://www.ncbi.nlm.nih.gov/entrez/query.fcgi?cmd=Retrieve&amp;amp;db=pubmed&amp;amp;dopt=Abstract&amp;amp;list_uids=35123084&amp;amp;query_hl=1&lt;/_url&gt;&lt;_volume&gt;20&lt;/_volume&gt;&lt;/Details&gt;&lt;Extra&gt;&lt;DBUID&gt;{C3DDB144-B9A5-4BD3-B74E-FCFC25704025}&lt;/DBUID&gt;&lt;/Extra&gt;&lt;/Item&gt;&lt;/References&gt;&lt;/Group&gt;&lt;Group&gt;&lt;References&gt;&lt;Item&gt;&lt;ID&gt;520&lt;/ID&gt;&lt;UID&gt;{4DC36D14-3F1D-438A-866F-2510F9D7C950}&lt;/UID&gt;&lt;Title&gt;Evidence-based clinical practice guidelines for gastroesophageal reflux disease  2021&lt;/Title&gt;&lt;Template&gt;Journal Article&lt;/Template&gt;&lt;Star&gt;0&lt;/Star&gt;&lt;Tag&gt;0&lt;/Tag&gt;&lt;Author&gt;Iwakiri, K; Fujiwara, Y; Manabe, N; Ihara, E; Kuribayashi, S; Akiyama, J; Kondo, T; Yamashita, H; Ishimura, N; Kitasako, Y; Iijima, K; Koike, T; Omura, N; Nomura, T; Kawamura, O; Ohara, S; Ozawa, S; Kinoshita, Y; Mochida, S; Enomoto, N; Shimosegawa, T; Koike, K&lt;/Author&gt;&lt;Year&gt;2022&lt;/Year&gt;&lt;Details&gt;&lt;_accessed&gt;65116711&lt;/_accessed&gt;&lt;_accession_num&gt;35226174&lt;/_accession_num&gt;&lt;_author_adr&gt;Guidelines Committee for Creating and Evaluating the &amp;quot;Evidence-Based Clinical  Practice Guidelines for Gastroesophageal Reflux Disease&amp;quot;, The Japanese Society of  Gastroenterology, 6F Shimbashi i-MARK Building, 2-6-2 Shimbashi, Minato-ku,  Tokyo, 105-0004, Japan. k-iwa@nms.ac.jp.; Department of Gastroenterology, Nippon Medical School Graduate School of  Medicine, 1-1-5 Sendagi, Bunkyo-ku, Tokyo, 113-8603, Japan. k-iwa@nms.ac.jp.;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lt;/_author_adr&gt;&lt;_collection_scope&gt;SCIE&lt;/_collection_scope&gt;&lt;_created&gt;65116606&lt;/_created&gt;&lt;_custom1&gt;4&lt;/_custom1&gt;&lt;_date&gt;2022-04-01&lt;/_date&gt;&lt;_date_display&gt;2022 Apr&lt;/_date_display&gt;&lt;_db_updated&gt;PubMed&lt;/_db_updated&gt;&lt;_doi&gt;10.1007/s00535-022-01861-z&lt;/_doi&gt;&lt;_impact_factor&gt;   6.772&lt;/_impact_factor&gt;&lt;_isbn&gt;1435-5922 (Electronic); 0944-1174 (Print); 0944-1174 (Linking)&lt;/_isbn&gt;&lt;_issue&gt;4&lt;/_issue&gt;&lt;_journal&gt;J Gastroenterol&lt;/_journal&gt;&lt;_keywords&gt;Algorithm; Gastroesophageal reflux disease (GERD); Guidelines; Heartburn; Japanese traditional medicine; Non-erosive reflux disease; Potassium-competitive acid blocker (P-CAB); Prokinetic drug; Proton pump inhibitor; Reflux esophagitis; Vonoprazan&lt;/_keywords&gt;&lt;_language&gt;eng&lt;/_language&gt;&lt;_modified&gt;65116711&lt;/_modified&gt;&lt;_ori_publication&gt;(c) 2022. The Author(s).&lt;/_ori_publication&gt;&lt;_pages&gt;267-285&lt;/_pages&gt;&lt;_social_category&gt;医学(1)&lt;/_social_category&gt;&lt;_subject_headings&gt;*Esophagitis, Peptic/diagnosis/drug therapy; Evidence-Based Practice; *Gastroenterology; *Gastroesophageal Reflux/diagnosis/drug therapy; Humans; Proton Pump Inhibitors/therapeutic use&lt;/_subject_headings&gt;&lt;_tertiary_title&gt;Journal of gastroenterology&lt;/_tertiary_title&gt;&lt;_type_work&gt;Journal Article; Research Support, Non-U.S. Gov&amp;apos;t; Review&lt;/_type_work&gt;&lt;_url&gt;http://www.ncbi.nlm.nih.gov/entrez/query.fcgi?cmd=Retrieve&amp;amp;db=pubmed&amp;amp;dopt=Abstract&amp;amp;list_uids=35226174&amp;amp;query_hl=1&lt;/_url&gt;&lt;_volume&gt;57&lt;/_volume&gt;&lt;/Details&gt;&lt;Extra&gt;&lt;DBUID&gt;{C3DDB144-B9A5-4BD3-B74E-FCFC25704025}&lt;/DBUID&gt;&lt;/Extra&gt;&lt;/Item&gt;&lt;/References&gt;&lt;/Group&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19EDC923-8885-4356-822A-9D3CDE699F59}" w:val=" ADDIN NE.Ref.{19EDC923-8885-4356-822A-9D3CDE699F59}&lt;Citation&gt;&lt;Group&gt;&lt;References&gt;&lt;Item&gt;&lt;ID&gt;48&lt;/ID&gt;&lt;UID&gt;{98A72EE8-3F4D-4EBB-8C83-631F50FE7BF2}&lt;/UID&gt;&lt;Title&gt;中国胃食管反流病多学科诊疗共识2022（一）&lt;/Title&gt;&lt;Template&gt;Journal Article&lt;/Template&gt;&lt;Star&gt;0&lt;/Star&gt;&lt;Tag&gt;0&lt;/Tag&gt;&lt;Author&gt;中国医疗保健国际交流促进会胃食管反流病学分会&lt;/Author&gt;&lt;Year&gt;2022&lt;/Year&gt;&lt;Details&gt;&lt;_db_provider&gt;北京万方数据股份有限公司&lt;/_db_provider&gt;&lt;_doi&gt;10.3877/cma.j.issn.2095-8765.2022.02.001&lt;/_doi&gt;&lt;_issue&gt;2&lt;/_issue&gt;&lt;_journal&gt;中华胃食管反流病电子杂志&lt;/_journal&gt;&lt;_language&gt;chi_x000d__x000a_基金项目:&lt;/_language&gt;&lt;_pages&gt;51-86_x000d__x000a_{Abstract}:&lt;/_pages&gt;&lt;_translated_title&gt;Chinese consensus on multidisciplinary diagnosis and treatment of gastroesophageal reflux disease 2022 (1)&lt;/_translated_title&gt;&lt;_url&gt;https://d.wanfangdata.com.cn/periodical/ChlQZXJpb2RpY2FsQ0hJTmV3UzIwMjMwODMxEhV6aHdzZ2ZsYmR6enoyMDIyMDIwMDEaCDFhcHV3NWd5&lt;/_url&gt;&lt;_volume&gt;09&lt;/_volume&gt;&lt;_created&gt;65120701&lt;/_created&gt;&lt;_modified&gt;65120701&lt;/_modified&gt;&lt;_accessed&gt;65120701&lt;/_accessed&gt;&lt;_translated_author&gt;Zhong, Guoyiliaobaojianguojijiaoliucujinhuiweishiguanfanliubingxuefenhui&lt;/_translated_author&gt;&lt;/Details&gt;&lt;Extra&gt;&lt;DBUID&gt;{0F498167-812F-4201-A2AC-A04DE753A04A}&lt;/DBUID&gt;&lt;/Extra&gt;&lt;/Item&gt;&lt;/References&gt;&lt;/Group&gt;&lt;/Citation&gt;_x000a_"/>
    <w:docVar w:name="NE.Ref{2682EA2B-30DA-4244-9DFB-731C5EA878D9}" w:val=" ADDIN NE.Ref.{2682EA2B-30DA-4244-9DFB-731C5EA878D9}&lt;Citation&gt;&lt;Group&gt;&lt;References&gt;&lt;Item&gt;&lt;ID&gt;519&lt;/ID&gt;&lt;UID&gt;{7BBC2EF9-1FF7-4818-8B36-DC3EAEBDB653}&lt;/UID&gt;&lt;Title&gt;AGA Clinical Practice Update on the Personalized Approach to the Evaluation and  Management of GERD: Expert Review&lt;/Title&gt;&lt;Template&gt;Journal Article&lt;/Template&gt;&lt;Star&gt;0&lt;/Star&gt;&lt;Tag&gt;0&lt;/Tag&gt;&lt;Author&gt;Yadlapati, R; Gyawali, C P; Pandolfino, J E&lt;/Author&gt;&lt;Year&gt;2022&lt;/Year&gt;&lt;Details&gt;&lt;_accessed&gt;65116711&lt;/_accessed&gt;&lt;_accession_num&gt;35123084&lt;/_accession_num&gt;&lt;_author_adr&gt;Division of Gastroenterology, University of California San Diego School of  Medicine, La Jolla, California.; Division of Gastroenterology, Washington University School of Medicine, St.  Louis, Missouri. Electronic address: cprakash@wustl.edu.; Division of Gastroenterology, Northwestern University Feinberg School of  Medicine, Chicago, Illinois.&lt;/_author_adr&gt;&lt;_collection_scope&gt;SCIE&lt;/_collection_scope&gt;&lt;_created&gt;65116604&lt;/_created&gt;&lt;_custom1&gt;3&lt;/_custom1&gt;&lt;_date&gt;2022-05-01&lt;/_date&gt;&lt;_date_display&gt;2022 May&lt;/_date_display&gt;&lt;_db_updated&gt;PubMed&lt;/_db_updated&gt;&lt;_doi&gt;10.1016/j.cgh.2022.01.025&lt;/_doi&gt;&lt;_impact_factor&gt;  13.576&lt;/_impact_factor&gt;&lt;_isbn&gt;1542-7714 (Electronic); 1542-3565 (Print); 1542-3565 (Linking)&lt;/_isbn&gt;&lt;_issue&gt;5&lt;/_issue&gt;&lt;_journal&gt;Clin Gastroenterol Hepatol&lt;/_journal&gt;&lt;_keywords&gt;Ambulatory Reflux Monitoring; Gastroesophageal Reflux Disease; Proton Pump Inhibitors&lt;/_keywords&gt;&lt;_language&gt;eng&lt;/_language&gt;&lt;_modified&gt;65116711&lt;/_modified&gt;&lt;_ori_publication&gt;Copyright (c) 2022 AGA Institute. Published by Elsevier Inc. All rights reserved.&lt;/_ori_publication&gt;&lt;_pages&gt;984-994.e1&lt;/_pages&gt;&lt;_social_category&gt;医学(1)&lt;/_social_category&gt;&lt;_subject_headings&gt;*Barrett Esophagus/diagnosis; Chest Pain/complications/drug therapy; *Gastroesophageal Reflux/complications/diagnosis/therapy; Heartburn/diagnosis/drug therapy/etiology; Humans; Proton Pump Inhibitors/therapeutic use&lt;/_subject_headings&gt;&lt;_tertiary_title&gt;Clinical gastroenterology and hepatology : the official clinical practice journal _x000d__x000a_      of the American Gastroenterological Association&lt;/_tertiary_title&gt;&lt;_type_work&gt;Practice Guideline; Research Support, N.I.H., Extramural; Review&lt;/_type_work&gt;&lt;_url&gt;http://www.ncbi.nlm.nih.gov/entrez/query.fcgi?cmd=Retrieve&amp;amp;db=pubmed&amp;amp;dopt=Abstract&amp;amp;list_uids=35123084&amp;amp;query_hl=1&lt;/_url&gt;&lt;_volume&gt;20&lt;/_volume&gt;&lt;/Details&gt;&lt;Extra&gt;&lt;DBUID&gt;{C3DDB144-B9A5-4BD3-B74E-FCFC25704025}&lt;/DBUID&gt;&lt;/Extra&gt;&lt;/Item&gt;&lt;/References&gt;&lt;/Group&gt;&lt;Group&gt;&lt;References&gt;&lt;Item&gt;&lt;ID&gt;520&lt;/ID&gt;&lt;UID&gt;{4DC36D14-3F1D-438A-866F-2510F9D7C950}&lt;/UID&gt;&lt;Title&gt;Evidence-based clinical practice guidelines for gastroesophageal reflux disease  2021&lt;/Title&gt;&lt;Template&gt;Journal Article&lt;/Template&gt;&lt;Star&gt;0&lt;/Star&gt;&lt;Tag&gt;0&lt;/Tag&gt;&lt;Author&gt;Iwakiri, K; Fujiwara, Y; Manabe, N; Ihara, E; Kuribayashi, S; Akiyama, J; Kondo, T; Yamashita, H; Ishimura, N; Kitasako, Y; Iijima, K; Koike, T; Omura, N; Nomura, T; Kawamura, O; Ohara, S; Ozawa, S; Kinoshita, Y; Mochida, S; Enomoto, N; Shimosegawa, T; Koike, K&lt;/Author&gt;&lt;Year&gt;2022&lt;/Year&gt;&lt;Details&gt;&lt;_accessed&gt;65116711&lt;/_accessed&gt;&lt;_accession_num&gt;35226174&lt;/_accession_num&gt;&lt;_author_adr&gt;Guidelines Committee for Creating and Evaluating the &amp;quot;Evidence-Based Clinical  Practice Guidelines for Gastroesophageal Reflux Disease&amp;quot;, The Japanese Society of  Gastroenterology, 6F Shimbashi i-MARK Building, 2-6-2 Shimbashi, Minato-ku,  Tokyo, 105-0004, Japan. k-iwa@nms.ac.jp.; Department of Gastroenterology, Nippon Medical School Graduate School of  Medicine, 1-1-5 Sendagi, Bunkyo-ku, Tokyo, 113-8603, Japan. k-iwa@nms.ac.jp.;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lt;/_author_adr&gt;&lt;_collection_scope&gt;SCIE&lt;/_collection_scope&gt;&lt;_created&gt;65116606&lt;/_created&gt;&lt;_custom1&gt;4&lt;/_custom1&gt;&lt;_date&gt;2022-04-01&lt;/_date&gt;&lt;_date_display&gt;2022 Apr&lt;/_date_display&gt;&lt;_db_updated&gt;PubMed&lt;/_db_updated&gt;&lt;_doi&gt;10.1007/s00535-022-01861-z&lt;/_doi&gt;&lt;_impact_factor&gt;   6.772&lt;/_impact_factor&gt;&lt;_isbn&gt;1435-5922 (Electronic); 0944-1174 (Print); 0944-1174 (Linking)&lt;/_isbn&gt;&lt;_issue&gt;4&lt;/_issue&gt;&lt;_journal&gt;J Gastroenterol&lt;/_journal&gt;&lt;_keywords&gt;Algorithm; Gastroesophageal reflux disease (GERD); Guidelines; Heartburn; Japanese traditional medicine; Non-erosive reflux disease; Potassium-competitive acid blocker (P-CAB); Prokinetic drug; Proton pump inhibitor; Reflux esophagitis; Vonoprazan&lt;/_keywords&gt;&lt;_language&gt;eng&lt;/_language&gt;&lt;_modified&gt;65116711&lt;/_modified&gt;&lt;_ori_publication&gt;(c) 2022. The Author(s).&lt;/_ori_publication&gt;&lt;_pages&gt;267-285&lt;/_pages&gt;&lt;_social_category&gt;医学(1)&lt;/_social_category&gt;&lt;_subject_headings&gt;*Esophagitis, Peptic/diagnosis/drug therapy; Evidence-Based Practice; *Gastroenterology; *Gastroesophageal Reflux/diagnosis/drug therapy; Humans; Proton Pump Inhibitors/therapeutic use&lt;/_subject_headings&gt;&lt;_tertiary_title&gt;Journal of gastroenterology&lt;/_tertiary_title&gt;&lt;_type_work&gt;Journal Article; Research Support, Non-U.S. Gov&amp;apos;t; Review&lt;/_type_work&gt;&lt;_url&gt;http://www.ncbi.nlm.nih.gov/entrez/query.fcgi?cmd=Retrieve&amp;amp;db=pubmed&amp;amp;dopt=Abstract&amp;amp;list_uids=35226174&amp;amp;query_hl=1&lt;/_url&gt;&lt;_volume&gt;57&lt;/_volume&gt;&lt;/Details&gt;&lt;Extra&gt;&lt;DBUID&gt;{C3DDB144-B9A5-4BD3-B74E-FCFC25704025}&lt;/DBUID&gt;&lt;/Extra&gt;&lt;/Item&gt;&lt;/References&gt;&lt;/Group&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26990AE6-0501-46A4-A457-186BCE19754C}" w:val=" ADDIN NE.Ref.{26990AE6-0501-46A4-A457-186BCE19754C}&lt;Citation&gt;&lt;Group&gt;&lt;References&gt;&lt;Item&gt;&lt;ID&gt;535&lt;/ID&gt;&lt;UID&gt;{3B723CC9-66E1-48B4-AD0C-7881A3B33FB2}&lt;/UID&gt;&lt;Title&gt;Rapid metabolizer genotype of CYP2C19 is a risk factor of being refractory to  proton pump inhibitor therapy for reflux esophagitis&lt;/Title&gt;&lt;Template&gt;Journal Article&lt;/Template&gt;&lt;Star&gt;0&lt;/Star&gt;&lt;Tag&gt;0&lt;/Tag&gt;&lt;Author&gt;Ichikawa, H; Sugimoto, M; Sugimoto, K; Andoh, A; Furuta, T&lt;/Author&gt;&lt;Year&gt;2016&lt;/Year&gt;&lt;Details&gt;&lt;_accessed&gt;65116714&lt;/_accessed&gt;&lt;_accession_num&gt;26580676&lt;/_accession_num&gt;&lt;_author_adr&gt;First Department of Medicine, Hamamatsu University School of Medicine, Hamamatsu,  Shizuoka, Japan.; First Department of Medicine, Hamamatsu University School of Medicine, Hamamatsu,  Shizuoka, Japan.; Division of Digestive Endoscopy, Shiga University of Medical Science Hospital,  Otsu, Shiga, Japan.; First Department of Medicine, Hamamatsu University School of Medicine, Hamamatsu,  Shizuoka, Japan.; Department of Gastroenterology, Shiga University of Medical Science, Otsu, Shiga,  Japan.; Center for Clinical Research, Hamamatsu University School of Medicine, Hamamatsu,  Shizuoka, Japan.&lt;/_author_adr&gt;&lt;_collection_scope&gt;SCIE&lt;/_collection_scope&gt;&lt;_created&gt;65116643&lt;/_created&gt;&lt;_custom1&gt;19&lt;/_custom1&gt;&lt;_date&gt;2016-04-01&lt;/_date&gt;&lt;_date_display&gt;2016 Apr&lt;/_date_display&gt;&lt;_db_updated&gt;PubMed&lt;/_db_updated&gt;&lt;_doi&gt;10.1111/jgh.13233&lt;/_doi&gt;&lt;_impact_factor&gt;   4.369&lt;/_impact_factor&gt;&lt;_isbn&gt;1440-1746 (Electronic); 0815-9319 (Linking)&lt;/_isbn&gt;&lt;_issue&gt;4&lt;/_issue&gt;&lt;_journal&gt;J Gastroenterol Hepatol&lt;/_journal&gt;&lt;_keywords&gt;Gastroesophageal reflux diseases; cytochrome P450 2C19; proton pump inhibitor; reflux esophagitis; refractory&lt;/_keywords&gt;&lt;_language&gt;eng&lt;/_language&gt;&lt;_modified&gt;65116714&lt;/_modified&gt;&lt;_ori_publication&gt;(c) 2015 Journal of Gastroenterology and Hepatology Foundation and John Wiley &amp;amp; _x000d__x000a_      Sons Australia, Ltd.&lt;/_ori_publication&gt;&lt;_pages&gt;716-26&lt;/_pages&gt;&lt;_social_category&gt;医学(3)&lt;/_social_category&gt;&lt;_subject_headings&gt;Cytochrome P-450 CYP2C19/*genetics; Esophagitis, Peptic/*drug therapy/*enzymology/genetics; *Genetic Association Studies; Genotype; Humans; Proton Pump Inhibitors/*metabolism/*therapeutic use; Risk Factors; Treatment Failure&lt;/_subject_headings&gt;&lt;_tertiary_title&gt;Journal of gastroenterology and hepatology&lt;/_tertiary_title&gt;&lt;_type_work&gt;Journal Article; Meta-Analysis; Research Support, Non-U.S. Gov&amp;apos;t&lt;/_type_work&gt;&lt;_url&gt;http://www.ncbi.nlm.nih.gov/entrez/query.fcgi?cmd=Retrieve&amp;amp;db=pubmed&amp;amp;dopt=Abstract&amp;amp;list_uids=26580676&amp;amp;query_hl=1&lt;/_url&gt;&lt;_volume&gt;31&lt;/_volume&gt;&lt;/Details&gt;&lt;Extra&gt;&lt;DBUID&gt;{C3DDB144-B9A5-4BD3-B74E-FCFC25704025}&lt;/DBUID&gt;&lt;/Extra&gt;&lt;/Item&gt;&lt;/References&gt;&lt;/Group&gt;&lt;/Citation&gt;_x000a_"/>
    <w:docVar w:name="NE.Ref{270FF32D-AFA7-4C0A-B85A-F04BC0ED39CB}" w:val=" ADDIN NE.Ref.{270FF32D-AFA7-4C0A-B85A-F04BC0ED39CB}&lt;Citation&gt;&lt;Group&gt;&lt;References&gt;&lt;Item&gt;&lt;ID&gt;517&lt;/ID&gt;&lt;UID&gt;{BB560DA6-8E39-49C8-A992-1D2DBA0C8E14}&lt;/UID&gt;&lt;Title&gt;Gastro-oesophageal reflux disease&lt;/Title&gt;&lt;Template&gt;Journal Article&lt;/Template&gt;&lt;Star&gt;0&lt;/Star&gt;&lt;Tag&gt;0&lt;/Tag&gt;&lt;Author&gt;Fass, R; Boeckxstaens, G E; El-Serag, H; Rosen, R; Sifrim, D; Vaezi, M F&lt;/Author&gt;&lt;Year&gt;2021&lt;/Year&gt;&lt;Details&gt;&lt;_accessed&gt;65116710&lt;/_accessed&gt;&lt;_accession_num&gt;34326345&lt;/_accession_num&gt;&lt;_author_adr&gt;The Esophageal and Swallowing Center, Division of Gastroenterology and  Hepatology, MetroHealth Medical System, Case Western Reserve University,  Cleveland, OH, USA. ronnie.fass@gmail.com.; Translational Research Center for Gastrointestinal Disorders (TARGID), University  of Leuven, Leuven, Belgium.; Department of Medicine, Baylor College of Medicine, Houston, TX, USA.; Division of Gastroenterology, Hepatology and Nutrition, Boston Children&amp;apos;s  Hospital, Harvard Medical School, Boston, MA, USA.; Wingate Institute of Neurogastroenterology, Royal London Hospital, Barts and The  London School of Medicine and Dentistry, Queen Mary University of London, London,  UK.; Division of Gastroenterology, Hepatology, and Nutrition, Vanderbilt University  Medical Center, Nashville, TN, USA.&lt;/_author_adr&gt;&lt;_collection_scope&gt;SCIE&lt;/_collection_scope&gt;&lt;_created&gt;65116595&lt;/_created&gt;&lt;_custom1&gt;1&lt;/_custom1&gt;&lt;_date&gt;2021-07-29&lt;/_date&gt;&lt;_date_display&gt;2021 Jul 29&lt;/_date_display&gt;&lt;_db_updated&gt;PubMed&lt;/_db_updated&gt;&lt;_doi&gt;10.1038/s41572-021-00287-w&lt;/_doi&gt;&lt;_impact_factor&gt;  65.038&lt;/_impact_factor&gt;&lt;_isbn&gt;2056-676X (Electronic); 2056-676X (Linking)&lt;/_isbn&gt;&lt;_issue&gt;1&lt;/_issue&gt;&lt;_journal&gt;Nat Rev Dis Primers&lt;/_journal&gt;&lt;_language&gt;eng&lt;/_language&gt;&lt;_modified&gt;65116710&lt;/_modified&gt;&lt;_ori_publication&gt;(c) 2021. Springer Nature Limited.&lt;/_ori_publication&gt;&lt;_pages&gt;55&lt;/_pages&gt;&lt;_social_category&gt;医学(1)&lt;/_social_category&gt;&lt;_subject_headings&gt;*Gastroesophageal Reflux/diagnosis/epidemiology; Heartburn; Humans; Proton Pump Inhibitors/therapeutic use; Stomach&lt;/_subject_headings&gt;&lt;_tertiary_title&gt;Nature reviews. Disease primers&lt;/_tertiary_title&gt;&lt;_type_work&gt;Journal Article; Review&lt;/_type_work&gt;&lt;_url&gt;http://www.ncbi.nlm.nih.gov/entrez/query.fcgi?cmd=Retrieve&amp;amp;db=pubmed&amp;amp;dopt=Abstract&amp;amp;list_uids=34326345&amp;amp;query_hl=1&lt;/_url&gt;&lt;_volume&gt;7&lt;/_volume&gt;&lt;/Details&gt;&lt;Extra&gt;&lt;DBUID&gt;{C3DDB144-B9A5-4BD3-B74E-FCFC25704025}&lt;/DBUID&gt;&lt;/Extra&gt;&lt;/Item&gt;&lt;/References&gt;&lt;/Group&gt;&lt;/Citation&gt;_x000a_"/>
    <w:docVar w:name="NE.Ref{2715897E-9419-45BF-A49F-0C92AB27978C}" w:val=" ADDIN NE.Ref.{2715897E-9419-45BF-A49F-0C92AB27978C}&lt;Citation&gt;&lt;Group&gt;&lt;References&gt;&lt;Item&gt;&lt;ID&gt;574&lt;/ID&gt;&lt;UID&gt;{8F3B384D-4F3B-44C4-AC83-7B405A3E8754}&lt;/UID&gt;&lt;Title&gt;Efficacy of Vonoprazan for Proton Pump Inhibitor-Resistant Reflux Esophagitis&lt;/Title&gt;&lt;Template&gt;Journal Article&lt;/Template&gt;&lt;Star&gt;0&lt;/Star&gt;&lt;Tag&gt;0&lt;/Tag&gt;&lt;Author&gt;Hoshino, S; Kawami, N; Takenouchi, N; Umezawa, M; Hanada, Y; Hoshikawa, Y; Kawagoe, T; Sano, H; Hoshihara, Y; Nomura, T; Iwakiri, K&lt;/Author&gt;&lt;Year&gt;2017&lt;/Year&gt;&lt;Details&gt;&lt;_accession_num&gt;28190016&lt;/_accession_num&gt;&lt;_author_adr&gt;Department of Gastroenterology, Nippon Medical School, Graduate School of  Medicine, Tokyo, Japan.&lt;/_author_adr&gt;&lt;_date_display&gt;2017&lt;/_date_display&gt;&lt;_date&gt;2017-01-20&lt;/_date&gt;&lt;_doi&gt;10.1159/000456072&lt;/_doi&gt;&lt;_isbn&gt;1421-9867 (Electronic); 0012-2823 (Linking)&lt;/_isbn&gt;&lt;_issue&gt;2&lt;/_issue&gt;&lt;_journal&gt;Digestion&lt;/_journal&gt;&lt;_language&gt;eng&lt;/_language&gt;&lt;_ori_publication&gt;(c) 2017 S. Karger AG, Basel.&lt;/_ori_publication&gt;&lt;_pages&gt;156-161&lt;/_pages&gt;&lt;_subject_headings&gt;Aged; *Drug Resistance; Endoscopy; Esophageal Mucosa/drug effects; Esophagitis, Peptic/diagnostic imaging/*diet therapy/etiology; Female; Humans; Maintenance Chemotherapy; Male; Middle Aged; Prospective Studies; Proton Pump Inhibitors/administration &amp;amp; dosage/*pharmacology/*therapeutic use; Pyrroles/administration &amp;amp; dosage/*therapeutic use; Severity of Illness Index; Sulfonamides/administration &amp;amp; dosage/*therapeutic use; Treatment Outcome&lt;/_subject_headings&gt;&lt;_tertiary_title&gt;Digestion&lt;/_tertiary_title&gt;&lt;_type_work&gt;Clinical Trial; Journal Article&lt;/_type_work&gt;&lt;_url&gt;http://www.ncbi.nlm.nih.gov/entrez/query.fcgi?cmd=Retrieve&amp;amp;db=pubmed&amp;amp;dopt=Abstract&amp;amp;list_uids=28190016&amp;amp;query_hl=1&lt;/_url&gt;&lt;_volume&gt;95&lt;/_volume&gt;&lt;_created&gt;65139796&lt;/_created&gt;&lt;_modified&gt;65139796&lt;/_modified&gt;&lt;_db_updated&gt;PubMed&lt;/_db_updated&gt;&lt;_impact_factor&gt;   3.672&lt;/_impact_factor&gt;&lt;_social_category&gt;医学(3)&lt;/_social_category&gt;&lt;_collection_scope&gt;SCIE&lt;/_collection_scope&gt;&lt;/Details&gt;&lt;Extra&gt;&lt;DBUID&gt;{C3DDB144-B9A5-4BD3-B74E-FCFC25704025}&lt;/DBUID&gt;&lt;/Extra&gt;&lt;/Item&gt;&lt;/References&gt;&lt;/Group&gt;&lt;/Citation&gt;_x000a_"/>
    <w:docVar w:name="NE.Ref{2C1B29B4-4942-4965-82E9-4AC642FD36D1}" w:val=" ADDIN NE.Ref.{2C1B29B4-4942-4965-82E9-4AC642FD36D1}&lt;Citation&gt;&lt;Group&gt;&lt;References&gt;&lt;Item&gt;&lt;ID&gt;530&lt;/ID&gt;&lt;UID&gt;{B3E8BA4B-5035-4E77-8CD6-7515032E0F1C}&lt;/UID&gt;&lt;Title&gt;The global, regional, and national burden of gastro-oesophageal reflux disease in  195 countries and territories, 1990-2017: a systematic analysis for the Global  Burden of Disease Study 2017&lt;/Title&gt;&lt;Template&gt;Journal Article&lt;/Template&gt;&lt;Star&gt;0&lt;/Star&gt;&lt;Tag&gt;0&lt;/Tag&gt;&lt;Author&gt;Dirac, M Ashworth; Safiri, Saeid; Tsoi, Derrick; Adedoyin, Rufus Adesoji; Afshin, Ashkan; Akhlaghi, Narjes; Alahdab, Fares&lt;/Author&gt;&lt;Year&gt;2020&lt;/Year&gt;&lt;Details&gt;&lt;_accessed&gt;65116713&lt;/_accessed&gt;&lt;_accession_num&gt;32178772&lt;/_accession_num&gt;&lt;_collection_scope&gt;SCIE&lt;/_collection_scope&gt;&lt;_created&gt;65116638&lt;/_created&gt;&lt;_custom1&gt;13&lt;/_custom1&gt;&lt;_date&gt;2020-06-01&lt;/_date&gt;&lt;_date_display&gt;2020 Jun&lt;/_date_display&gt;&lt;_db_updated&gt;PubMed&lt;/_db_updated&gt;&lt;_doi&gt;10.1016/S2468-1253(19)30408-X&lt;/_doi&gt;&lt;_impact_factor&gt;  45.042&lt;/_impact_factor&gt;&lt;_isbn&gt;2468-1253 (Electronic)&lt;/_isbn&gt;&lt;_issue&gt;6&lt;/_issue&gt;&lt;_journal&gt;Lancet Gastroenterol Hepatol&lt;/_journal&gt;&lt;_language&gt;eng&lt;/_language&gt;&lt;_modified&gt;65116713&lt;/_modified&gt;&lt;_ori_publication&gt;Copyright (c) 2020 The Author(s). Published by Elsevier Ltd. This is an Open Access _x000d__x000a_      article under the CC BY 4.0 license. Published by Elsevier Ltd.. All rights _x000d__x000a_      reserved.&lt;/_ori_publication&gt;&lt;_pages&gt;561-581&lt;/_pages&gt;&lt;_social_category&gt;医学(1)&lt;/_social_category&gt;&lt;_subject_headings&gt;Adolescent; Adult; Aged; Aged, 80 and over; Female; Gastroesophageal Reflux/*epidemiology; *Global Burden of Disease; Humans; Male; Middle Aged; Prevalence; Quality-Adjusted Life Years; Young Adult&lt;/_subject_headings&gt;&lt;_tertiary_title&gt;The lancet. Gastroenterology &amp;amp; hepatology&lt;/_tertiary_title&gt;&lt;_type_work&gt;Journal Article; Research Support, Non-U.S. Gov&amp;apos;t&lt;/_type_work&gt;&lt;_url&gt;http://www.ncbi.nlm.nih.gov/entrez/query.fcgi?cmd=Retrieve&amp;amp;db=pubmed&amp;amp;dopt=Abstract&amp;amp;list_uids=32178772&amp;amp;query_hl=1&lt;/_url&gt;&lt;_volume&gt;5&lt;/_volume&gt;&lt;/Details&gt;&lt;Extra&gt;&lt;DBUID&gt;{C3DDB144-B9A5-4BD3-B74E-FCFC25704025}&lt;/DBUID&gt;&lt;/Extra&gt;&lt;/Item&gt;&lt;/References&gt;&lt;/Group&gt;&lt;/Citation&gt;_x000a_"/>
    <w:docVar w:name="NE.Ref{30163808-086F-4993-8C47-0371D542244A}" w:val=" ADDIN NE.Ref.{30163808-086F-4993-8C47-0371D542244A}&lt;Citation&gt;&lt;Group&gt;&lt;References&gt;&lt;Item&gt;&lt;ID&gt;522&lt;/ID&gt;&lt;UID&gt;{459763F9-3FFF-4028-98E7-1C3888A65BDB}&lt;/UID&gt;&lt;Title&gt;Mortality in gastro-oesophageal reflux disease in a population-based nationwide  cohort study of Swedish twins&lt;/Title&gt;&lt;Template&gt;Journal Article&lt;/Template&gt;&lt;Star&gt;0&lt;/Star&gt;&lt;Tag&gt;0&lt;/Tag&gt;&lt;Author&gt;Ness-Jensen, E; Santoni, G; Gottlieb-Vedi, E; Lindam, A; Pedersen, N; Lagergren, J&lt;/Author&gt;&lt;Year&gt;2020&lt;/Year&gt;&lt;Details&gt;&lt;_accessed&gt;65116711&lt;/_accessed&gt;&lt;_accession_num&gt;32764086&lt;/_accession_num&gt;&lt;_author_adr&gt;Upper Gastrointestinal Research, Department of Molecular Medicine and Surgery,  Karolinska Institute, Stockholm, Sweden eivind.ness-jensen@ntnu.no.; HUNT Research Centre, Department of Public Health and Nursing, NTNU, Norwegian  University of Science and Technology, Levanger, Norway.; Department of Medicine, Levanger Hospital, Nord-Trondelag Hospital Trust,  Levanger, Norway.; Upper Gastrointestinal Research, Department of Molecular Medicine and Surgery,  Karolinska Institute, Stockholm, Sweden.; Upper Gastrointestinal Research, Department of Molecular Medicine and Surgery,  Karolinska Institute, Stockholm, Sweden.; Upper Gastrointestinal Research, Department of Molecular Medicine and Surgery,  Karolinska Institute, Stockholm, Sweden.; Department of Medical Epidemiology and Biostatistics, Karolinska Institute,  Stockholm, Sweden.; Upper Gastrointestinal Research, Department of Molecular Medicine and Surgery,  Karolinska Institute, Stockholm, Sweden.; School of Cancer and Pharmaceutical Sciences, King&amp;apos;s College London, London, UK.&lt;/_author_adr&gt;&lt;_collection_scope&gt;SCIE&lt;/_collection_scope&gt;&lt;_created&gt;65116611&lt;/_created&gt;&lt;_custom1&gt;6&lt;/_custom1&gt;&lt;_date&gt;2020-08-06&lt;/_date&gt;&lt;_date_display&gt;2020 Aug 6&lt;/_date_display&gt;&lt;_db_updated&gt;PubMed&lt;/_db_updated&gt;&lt;_doi&gt;10.1136/bmjopen-2020-037456&lt;/_doi&gt;&lt;_impact_factor&gt;   3.006&lt;/_impact_factor&gt;&lt;_isbn&gt;2044-6055 (Electronic); 2044-6055 (Linking)&lt;/_isbn&gt;&lt;_issue&gt;8&lt;/_issue&gt;&lt;_journal&gt;BMJ Open&lt;/_journal&gt;&lt;_keywords&gt;epidemiology; gastrointestinal tumours; oesophageal disease&lt;/_keywords&gt;&lt;_language&gt;eng&lt;/_language&gt;&lt;_modified&gt;65116712&lt;/_modified&gt;&lt;_ori_publication&gt;(c) Author(s) (or their employer(s)) 2020. Re-use permitted under CC BY. Published _x000d__x000a_      by BMJ.&lt;/_ori_publication&gt;&lt;_pages&gt;e037456&lt;/_pages&gt;&lt;_social_category&gt;医学(4)&lt;/_social_category&gt;&lt;_subject_headings&gt;*Adenocarcinoma; Cohort Studies; *Esophageal Neoplasms; *Gastroesophageal Reflux/epidemiology; Humans; Middle Aged; Sweden/epidemiology&lt;/_subject_headings&gt;&lt;_tertiary_title&gt;BMJ open&lt;/_tertiary_title&gt;&lt;_type_work&gt;Journal Article; Research Support, Non-U.S. Gov&amp;apos;t&lt;/_type_work&gt;&lt;_url&gt;http://www.ncbi.nlm.nih.gov/entrez/query.fcgi?cmd=Retrieve&amp;amp;db=pubmed&amp;amp;dopt=Abstract&amp;amp;list_uids=32764086&amp;amp;query_hl=1&lt;/_url&gt;&lt;_volume&gt;10&lt;/_volume&gt;&lt;/Details&gt;&lt;Extra&gt;&lt;DBUID&gt;{C3DDB144-B9A5-4BD3-B74E-FCFC25704025}&lt;/DBUID&gt;&lt;/Extra&gt;&lt;/Item&gt;&lt;/References&gt;&lt;/Group&gt;&lt;/Citation&gt;_x000a_"/>
    <w:docVar w:name="NE.Ref{35F86201-F074-439C-BE04-BA6CA48C61B8}" w:val=" ADDIN NE.Ref.{35F86201-F074-439C-BE04-BA6CA48C61B8}&lt;Citation&gt;&lt;Group&gt;&lt;References&gt;&lt;Item&gt;&lt;ID&gt;520&lt;/ID&gt;&lt;UID&gt;{4DC36D14-3F1D-438A-866F-2510F9D7C950}&lt;/UID&gt;&lt;Title&gt;Evidence-based clinical practice guidelines for gastroesophageal reflux disease  2021&lt;/Title&gt;&lt;Template&gt;Journal Article&lt;/Template&gt;&lt;Star&gt;0&lt;/Star&gt;&lt;Tag&gt;0&lt;/Tag&gt;&lt;Author&gt;Iwakiri, K; Fujiwara, Y; Manabe, N; Ihara, E; Kuribayashi, S; Akiyama, J; Kondo, T; Yamashita, H; Ishimura, N; Kitasako, Y; Iijima, K; Koike, T; Omura, N; Nomura, T; Kawamura, O; Ohara, S; Ozawa, S; Kinoshita, Y; Mochida, S; Enomoto, N; Shimosegawa, T; Koike, K&lt;/Author&gt;&lt;Year&gt;2022&lt;/Year&gt;&lt;Details&gt;&lt;_accessed&gt;65116711&lt;/_accessed&gt;&lt;_accession_num&gt;35226174&lt;/_accession_num&gt;&lt;_author_adr&gt;Guidelines Committee for Creating and Evaluating the &amp;quot;Evidence-Based Clinical  Practice Guidelines for Gastroesophageal Reflux Disease&amp;quot;, The Japanese Society of  Gastroenterology, 6F Shimbashi i-MARK Building, 2-6-2 Shimbashi, Minato-ku,  Tokyo, 105-0004, Japan. k-iwa@nms.ac.jp.; Department of Gastroenterology, Nippon Medical School Graduate School of  Medicine, 1-1-5 Sendagi, Bunkyo-ku, Tokyo, 113-8603, Japan. k-iwa@nms.ac.jp.;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lt;/_author_adr&gt;&lt;_collection_scope&gt;SCIE&lt;/_collection_scope&gt;&lt;_created&gt;65116606&lt;/_created&gt;&lt;_custom1&gt;4&lt;/_custom1&gt;&lt;_date&gt;2022-04-01&lt;/_date&gt;&lt;_date_display&gt;2022 Apr&lt;/_date_display&gt;&lt;_db_updated&gt;PubMed&lt;/_db_updated&gt;&lt;_doi&gt;10.1007/s00535-022-01861-z&lt;/_doi&gt;&lt;_impact_factor&gt;   6.772&lt;/_impact_factor&gt;&lt;_isbn&gt;1435-5922 (Electronic); 0944-1174 (Print); 0944-1174 (Linking)&lt;/_isbn&gt;&lt;_issue&gt;4&lt;/_issue&gt;&lt;_journal&gt;J Gastroenterol&lt;/_journal&gt;&lt;_keywords&gt;Algorithm; Gastroesophageal reflux disease (GERD); Guidelines; Heartburn; Japanese traditional medicine; Non-erosive reflux disease; Potassium-competitive acid blocker (P-CAB); Prokinetic drug; Proton pump inhibitor; Reflux esophagitis; Vonoprazan&lt;/_keywords&gt;&lt;_language&gt;eng&lt;/_language&gt;&lt;_modified&gt;65116711&lt;/_modified&gt;&lt;_ori_publication&gt;(c) 2022. The Author(s).&lt;/_ori_publication&gt;&lt;_pages&gt;267-285&lt;/_pages&gt;&lt;_social_category&gt;医学(1)&lt;/_social_category&gt;&lt;_subject_headings&gt;*Esophagitis, Peptic/diagnosis/drug therapy; Evidence-Based Practice; *Gastroenterology; *Gastroesophageal Reflux/diagnosis/drug therapy; Humans; Proton Pump Inhibitors/therapeutic use&lt;/_subject_headings&gt;&lt;_tertiary_title&gt;Journal of gastroenterology&lt;/_tertiary_title&gt;&lt;_type_work&gt;Journal Article; Research Support, Non-U.S. Gov&amp;apos;t; Review&lt;/_type_work&gt;&lt;_url&gt;http://www.ncbi.nlm.nih.gov/entrez/query.fcgi?cmd=Retrieve&amp;amp;db=pubmed&amp;amp;dopt=Abstract&amp;amp;list_uids=35226174&amp;amp;query_hl=1&lt;/_url&gt;&lt;_volume&gt;57&lt;/_volume&gt;&lt;/Details&gt;&lt;Extra&gt;&lt;DBUID&gt;{C3DDB144-B9A5-4BD3-B74E-FCFC25704025}&lt;/DBUID&gt;&lt;/Extra&gt;&lt;/Item&gt;&lt;/References&gt;&lt;/Group&gt;&lt;/Citation&gt;_x000a_"/>
    <w:docVar w:name="NE.Ref{375CD857-6A9C-496D-9EB2-3F2D06655A4A}" w:val=" ADDIN NE.Ref.{375CD857-6A9C-496D-9EB2-3F2D06655A4A}&lt;Citation&gt;&lt;Group&gt;&lt;References&gt;&lt;Item&gt;&lt;ID&gt;530&lt;/ID&gt;&lt;UID&gt;{B3E8BA4B-5035-4E77-8CD6-7515032E0F1C}&lt;/UID&gt;&lt;Title&gt;The global, regional, and national burden of gastro-oesophageal reflux disease in  195 countries and territories, 1990-2017: a systematic analysis for the Global  Burden of Disease Study 2017&lt;/Title&gt;&lt;Template&gt;Journal Article&lt;/Template&gt;&lt;Star&gt;0&lt;/Star&gt;&lt;Tag&gt;0&lt;/Tag&gt;&lt;Author&gt;Dirac, M Ashworth; Safiri, Saeid; Tsoi, Derrick; Adedoyin, Rufus Adesoji; Afshin, Ashkan; Akhlaghi, Narjes; Alahdab, Fares&lt;/Author&gt;&lt;Year&gt;2020&lt;/Year&gt;&lt;Details&gt;&lt;_accessed&gt;65116713&lt;/_accessed&gt;&lt;_accession_num&gt;32178772&lt;/_accession_num&gt;&lt;_collection_scope&gt;SCIE&lt;/_collection_scope&gt;&lt;_created&gt;65116638&lt;/_created&gt;&lt;_custom1&gt;13&lt;/_custom1&gt;&lt;_date&gt;2020-06-01&lt;/_date&gt;&lt;_date_display&gt;2020 Jun&lt;/_date_display&gt;&lt;_db_updated&gt;PubMed&lt;/_db_updated&gt;&lt;_doi&gt;10.1016/S2468-1253(19)30408-X&lt;/_doi&gt;&lt;_impact_factor&gt;  45.042&lt;/_impact_factor&gt;&lt;_isbn&gt;2468-1253 (Electronic)&lt;/_isbn&gt;&lt;_issue&gt;6&lt;/_issue&gt;&lt;_journal&gt;Lancet Gastroenterol Hepatol&lt;/_journal&gt;&lt;_language&gt;eng&lt;/_language&gt;&lt;_modified&gt;65116713&lt;/_modified&gt;&lt;_ori_publication&gt;Copyright (c) 2020 The Author(s). Published by Elsevier Ltd. This is an Open Access _x000d__x000a_      article under the CC BY 4.0 license. Published by Elsevier Ltd.. All rights _x000d__x000a_      reserved.&lt;/_ori_publication&gt;&lt;_pages&gt;561-581&lt;/_pages&gt;&lt;_social_category&gt;医学(1)&lt;/_social_category&gt;&lt;_subject_headings&gt;Adolescent; Adult; Aged; Aged, 80 and over; Female; Gastroesophageal Reflux/*epidemiology; *Global Burden of Disease; Humans; Male; Middle Aged; Prevalence; Quality-Adjusted Life Years; Young Adult&lt;/_subject_headings&gt;&lt;_tertiary_title&gt;The lancet. Gastroenterology &amp;amp; hepatology&lt;/_tertiary_title&gt;&lt;_type_work&gt;Journal Article; Research Support, Non-U.S. Gov&amp;apos;t&lt;/_type_work&gt;&lt;_url&gt;http://www.ncbi.nlm.nih.gov/entrez/query.fcgi?cmd=Retrieve&amp;amp;db=pubmed&amp;amp;dopt=Abstract&amp;amp;list_uids=32178772&amp;amp;query_hl=1&lt;/_url&gt;&lt;_volume&gt;5&lt;/_volume&gt;&lt;/Details&gt;&lt;Extra&gt;&lt;DBUID&gt;{C3DDB144-B9A5-4BD3-B74E-FCFC25704025}&lt;/DBUID&gt;&lt;/Extra&gt;&lt;/Item&gt;&lt;/References&gt;&lt;/Group&gt;&lt;/Citation&gt;_x000a_"/>
    <w:docVar w:name="NE.Ref{390CFECB-A561-4CB3-B809-C412B1EB5406}" w:val=" ADDIN NE.Ref.{390CFECB-A561-4CB3-B809-C412B1EB5406}&lt;Citation&gt;&lt;Group&gt;&lt;References&gt;&lt;Item&gt;&lt;ID&gt;570&lt;/ID&gt;&lt;UID&gt;{C3916A8F-5D3B-40F0-A742-B83399D721F0}&lt;/UID&gt;&lt;Title&gt;中国胃食管反流病多学科诊疗共识2022（二）&lt;/Title&gt;&lt;Template&gt;Journal Article&lt;/Template&gt;&lt;Star&gt;0&lt;/Star&gt;&lt;Tag&gt;0&lt;/Tag&gt;&lt;Author&gt;中国医疗保健国际交流促进会胃食管反流病学分会&lt;/Author&gt;&lt;Year&gt;2022&lt;/Year&gt;&lt;Details&gt;&lt;_db_provider&gt;北京万方数据股份有限公司&lt;/_db_provider&gt;&lt;_doi&gt;10.3877/cma.j.issn.2095-8765.2022.03.001&lt;/_doi&gt;&lt;_issue&gt;3&lt;/_issue&gt;&lt;_journal&gt;中华胃食管反流病电子杂志&lt;/_journal&gt;&lt;_language&gt;chi_x000d__x000a_基金项目:&lt;/_language&gt;&lt;_pages&gt;112-146_x000d__x000a_{Abstract}:&lt;/_pages&gt;&lt;_translated_title&gt;Chinese consensus on multidisciplinary diagnosis and treatment of gastroesophageal reflux disease 2022 (2)&lt;/_translated_title&gt;&lt;_url&gt;https://d.wanfangdata.com.cn/periodical/ChlQZXJpb2RpY2FsQ0hJTmV3UzIwMjMwODMxEhV6aHdzZ2ZsYmR6enoyMDIyMDMwMDEaCHVmeHRqcGVs&lt;/_url&gt;&lt;_volume&gt;09&lt;/_volume&gt;&lt;_created&gt;65120993&lt;/_created&gt;&lt;_modified&gt;65120993&lt;/_modified&gt;&lt;_translated_author&gt;Zhong, Guo yi liao bao&lt;/_translated_author&gt;&lt;/Details&gt;&lt;Extra&gt;&lt;DBUID&gt;{C3DDB144-B9A5-4BD3-B74E-FCFC25704025}&lt;/DBUID&gt;&lt;/Extra&gt;&lt;/Item&gt;&lt;/References&gt;&lt;/Group&gt;&lt;Group&gt;&lt;References&gt;&lt;Item&gt;&lt;ID&gt;571&lt;/ID&gt;&lt;UID&gt;{AE81EEC8-CF8A-4EE0-B01F-D96F8B2BAF90}&lt;/UID&gt;&lt;Title&gt;中国胃食管反流病多学科诊疗共识2022（一）&lt;/Title&gt;&lt;Template&gt;Journal Article&lt;/Template&gt;&lt;Star&gt;0&lt;/Star&gt;&lt;Tag&gt;0&lt;/Tag&gt;&lt;Author&gt;中国医疗保健国际交流促进会胃食管反流病学分会&lt;/Author&gt;&lt;Year&gt;2022&lt;/Year&gt;&lt;Details&gt;&lt;_db_provider&gt;北京万方数据股份有限公司&lt;/_db_provider&gt;&lt;_doi&gt;10.3877/cma.j.issn.2095-8765.2022.02.001&lt;/_doi&gt;&lt;_issue&gt;2&lt;/_issue&gt;&lt;_journal&gt;中华胃食管反流病电子杂志&lt;/_journal&gt;&lt;_language&gt;chi_x000d__x000a_基金项目:&lt;/_language&gt;&lt;_pages&gt;51-86_x000d__x000a_{Abstract}:&lt;/_pages&gt;&lt;_translated_title&gt;Chinese consensus on multidisciplinary diagnosis and treatment of gastroesophageal reflux disease 2022 (1)&lt;/_translated_title&gt;&lt;_url&gt;https://d.wanfangdata.com.cn/periodical/ChlQZXJpb2RpY2FsQ0hJTmV3UzIwMjMwODMxEhV6aHdzZ2ZsYmR6enoyMDIyMDIwMDEaCHVmeHRqcGVs&lt;/_url&gt;&lt;_volume&gt;09&lt;/_volume&gt;&lt;_created&gt;65120993&lt;/_created&gt;&lt;_modified&gt;65120993&lt;/_modified&gt;&lt;_translated_author&gt;Zhong, Guo yi liao bao&lt;/_translated_author&gt;&lt;/Details&gt;&lt;Extra&gt;&lt;DBUID&gt;{C3DDB144-B9A5-4BD3-B74E-FCFC25704025}&lt;/DBUID&gt;&lt;/Extra&gt;&lt;/Item&gt;&lt;/References&gt;&lt;/Group&gt;&lt;/Citation&gt;_x000a_"/>
    <w:docVar w:name="NE.Ref{3AF8176D-A63E-4751-9D3F-520C5D6AB479}" w:val=" ADDIN NE.Ref.{3AF8176D-A63E-4751-9D3F-520C5D6AB479}&lt;Citation&gt;&lt;Group&gt;&lt;References&gt;&lt;Item&gt;&lt;ID&gt;545&lt;/ID&gt;&lt;UID&gt;{16F1FB30-92B3-42C2-9647-7B1EE8B3F476}&lt;/UID&gt;&lt;Title&gt;Comparison of Pharmacodynamics between Tegoprazan and Dexlansoprazole Regarding  Nocturnal Acid Breakthrough: A Randomized Crossover Study&lt;/Title&gt;&lt;Template&gt;Journal Article&lt;/Template&gt;&lt;Star&gt;0&lt;/Star&gt;&lt;Tag&gt;0&lt;/Tag&gt;&lt;Author&gt;Han, S; Choi, H Y; Kim, Y H; Choi, S; Kim, S; Nam, J Y; Kim, B; Song, G S; Lim, H S; Bae, K S&lt;/Author&gt;&lt;Year&gt;2023&lt;/Year&gt;&lt;Details&gt;&lt;_accessed&gt;65116715&lt;/_accessed&gt;&lt;_accession_num&gt;36317518&lt;/_accession_num&gt;&lt;_author_adr&gt;Department of Pharmacology, College of Medicine, The Catholic University of  Korea, Seoul, Korea.; Department of Clinical Pharmacology and Therapeutics, Asan Medical Center,  University of Ulsan College of Medicine, Seoul, Korea.; Department of Clinical Pharmacology and Therapeutics, Asan Medical Center,  University of Ulsan College of Medicine, Seoul, Korea.; Department of Clinical Pharmacology and Therapeutics, Asan Medical Center,  University of Ulsan College of Medicine, Seoul, Korea.; Clinical Development, HK inno.N Corp., Seoul, Korea.; Clinical Development, HK inno.N Corp., Seoul, Korea.; Clinical Development, HK inno.N Corp., Seoul, Korea.; Clinical Development, HK inno.N Corp., Seoul, Korea.; Department of Clinical Pharmacology and Therapeutics, Asan Medical Center,  University of Ulsan College of Medicine, Seoul, Korea.; Department of Clinical Pharmacology and Therapeutics, Asan Medical Center,  University of Ulsan College of Medicine, Seoul, Korea.&lt;/_author_adr&gt;&lt;_collection_scope&gt;SCIE&lt;/_collection_scope&gt;&lt;_created&gt;65116672&lt;/_created&gt;&lt;_custom1&gt;29&lt;/_custom1&gt;&lt;_date&gt;2023-01-15&lt;/_date&gt;&lt;_date_display&gt;2023 Jan 15&lt;/_date_display&gt;&lt;_db_updated&gt;PubMed&lt;/_db_updated&gt;&lt;_doi&gt;10.5009/gnl220050&lt;/_doi&gt;&lt;_impact_factor&gt;   4.321&lt;/_impact_factor&gt;&lt;_isbn&gt;2005-1212 (Electronic); 1976-2283 (Print); 1976-2283 (Linking)&lt;/_isbn&gt;&lt;_issue&gt;1&lt;/_issue&gt;&lt;_journal&gt;Gut Liver&lt;/_journal&gt;&lt;_keywords&gt;Dexlansoprazole; Healthy subjects; Nocturnal acid breakthrough; Potassium-competitive acid blocker; Tegoprazan&lt;/_keywords&gt;&lt;_language&gt;eng&lt;/_language&gt;&lt;_modified&gt;65116715&lt;/_modified&gt;&lt;_pages&gt;92-99&lt;/_pages&gt;&lt;_social_category&gt;医学(3)&lt;/_social_category&gt;&lt;_subject_headings&gt;Humans; Male; Dexlansoprazole/pharmacokinetics; Cross-Over Studies; *Proton Pump Inhibitors/pharmacology; *Benzene Derivatives/pharmacology&lt;/_subject_headings&gt;&lt;_tertiary_title&gt;Gut and liver&lt;/_tertiary_title&gt;&lt;_type_work&gt;Journal Article; Randomized Controlled Trial&lt;/_type_work&gt;&lt;_url&gt;http://www.ncbi.nlm.nih.gov/entrez/query.fcgi?cmd=Retrieve&amp;amp;db=pubmed&amp;amp;dopt=Abstract&amp;amp;list_uids=36317518&amp;amp;query_hl=1&lt;/_url&gt;&lt;_volume&gt;17&lt;/_volume&gt;&lt;/Details&gt;&lt;Extra&gt;&lt;DBUID&gt;{C3DDB144-B9A5-4BD3-B74E-FCFC25704025}&lt;/DBUID&gt;&lt;/Extra&gt;&lt;/Item&gt;&lt;/References&gt;&lt;/Group&gt;&lt;/Citation&gt;_x000a_"/>
    <w:docVar w:name="NE.Ref{3B0C0048-D79A-42D6-B02A-1C565CEE54EC}" w:val=" ADDIN NE.Ref.{3B0C0048-D79A-42D6-B02A-1C565CEE54EC}&lt;Citation&gt;&lt;Group&gt;&lt;References&gt;&lt;Item&gt;&lt;ID&gt;528&lt;/ID&gt;&lt;UID&gt;{3F738745-766D-47D1-B66E-28737662FCFA}&lt;/UID&gt;&lt;Title&gt;Global prevalence of Barrett&amp;apos;s oesophagus and oesophageal cancer in individuals  with gastro-oesophageal reflux: a systematic review and meta-analysis&lt;/Title&gt;&lt;Template&gt;Journal Article&lt;/Template&gt;&lt;Star&gt;0&lt;/Star&gt;&lt;Tag&gt;0&lt;/Tag&gt;&lt;Author&gt;Eusebi, L H; Cirota, G G; Zagari, R M; Ford, A C&lt;/Author&gt;&lt;Year&gt;2021&lt;/Year&gt;&lt;Details&gt;&lt;_accessed&gt;65116712&lt;/_accessed&gt;&lt;_accession_num&gt;32732370&lt;/_accession_num&gt;&lt;_author_adr&gt;Department of Medical and Surgical Sciences, University of Bologna, Bologna,  Italy.; Department of Medical and Surgical Sciences, University of Bologna, Bologna,  Italy.; Department of Medical and Surgical Sciences, University of Bologna, Bologna,  Italy.; Leeds Gastroenterology Institute, St James&amp;apos;s University Hospital, Leeds, West  Yorkshire, UK alexf12399@yahoo.com.&lt;/_author_adr&gt;&lt;_collection_scope&gt;SCIE&lt;/_collection_scope&gt;&lt;_created&gt;65116628&lt;/_created&gt;&lt;_custom1&gt;8&lt;/_custom1&gt;&lt;_date&gt;2021-03-01&lt;/_date&gt;&lt;_date_display&gt;2021 Mar&lt;/_date_display&gt;&lt;_db_updated&gt;PubMed&lt;/_db_updated&gt;&lt;_doi&gt;10.1136/gutjnl-2020-321365&lt;/_doi&gt;&lt;_impact_factor&gt;  31.793&lt;/_impact_factor&gt;&lt;_isbn&gt;1468-3288 (Electronic); 0017-5749 (Linking)&lt;/_isbn&gt;&lt;_issue&gt;3&lt;/_issue&gt;&lt;_journal&gt;Gut&lt;/_journal&gt;&lt;_keywords&gt;barrett&amp;apos;s oesophagus; gastroesophageal reflux disease&lt;/_keywords&gt;&lt;_language&gt;eng&lt;/_language&gt;&lt;_modified&gt;65116712&lt;/_modified&gt;&lt;_ori_publication&gt;(c) Author(s) (or their employer(s)) 2021. No commercial re-use. See rights and _x000d__x000a_      permissions. Published by BMJ.&lt;/_ori_publication&gt;&lt;_pages&gt;456-463&lt;/_pages&gt;&lt;_social_category&gt;医学(1)&lt;/_social_category&gt;&lt;_subject_headings&gt;Adenocarcinoma/*epidemiology/etiology; Barrett Esophagus/*epidemiology/etiology; Esophageal Neoplasms/*epidemiology/etiology; Gastroesophageal Reflux/*complications/*epidemiology; Humans; Prevalence&lt;/_subject_headings&gt;&lt;_tertiary_title&gt;Gut&lt;/_tertiary_title&gt;&lt;_type_work&gt;Journal Article; Meta-Analysis; Systematic Review&lt;/_type_work&gt;&lt;_url&gt;http://www.ncbi.nlm.nih.gov/entrez/query.fcgi?cmd=Retrieve&amp;amp;db=pubmed&amp;amp;dopt=Abstract&amp;amp;list_uids=32732370&amp;amp;query_hl=1&lt;/_url&gt;&lt;_volume&gt;70&lt;/_volume&gt;&lt;/Details&gt;&lt;Extra&gt;&lt;DBUID&gt;{C3DDB144-B9A5-4BD3-B74E-FCFC25704025}&lt;/DBUID&gt;&lt;/Extra&gt;&lt;/Item&gt;&lt;/References&gt;&lt;/Group&gt;&lt;/Citation&gt;_x000a_"/>
    <w:docVar w:name="NE.Ref{46EBE9FA-FC02-47B4-BC10-64786BD8AD3E}" w:val=" ADDIN NE.Ref.{46EBE9FA-FC02-47B4-BC10-64786BD8AD3E}&lt;Citation&gt;&lt;Group&gt;&lt;References&gt;&lt;Item&gt;&lt;ID&gt;558&lt;/ID&gt;&lt;UID&gt;{1E2F94BE-CB45-4FFD-BD67-FBBDA3AD0997}&lt;/UID&gt;&lt;Title&gt;Efficacy and Safety of Vonoprazan in Patients With Nonerosive Gastroesophageal  Reflux Disease: A Randomized, Placebo-Controlled, Phase 3 Study&lt;/Title&gt;&lt;Template&gt;Journal Article&lt;/Template&gt;&lt;Star&gt;0&lt;/Star&gt;&lt;Tag&gt;0&lt;/Tag&gt;&lt;Author&gt;Kinoshita, Y; Sakurai, Y; Takabayashi, N; Kudou, K; Araki, T; Miyagi, T; Iwakiri, K; Ashida, K&lt;/Author&gt;&lt;Year&gt;2019&lt;/Year&gt;&lt;Details&gt;&lt;_accessed&gt;65116730&lt;/_accessed&gt;&lt;_accession_num&gt;31770139&lt;/_accession_num&gt;&lt;_author_adr&gt;Department of Gastroenterology and Hepatology, Shimane University School of  Medicine, Izumo, Japan.; Takeda Development Center Japan, Takeda Pharmaceutical Company Limited, Osaka,  Japan.; Takeda Development Center Japan, Takeda Pharmaceutical Company Limited, Osaka,  Japan.; Takeda Development Center Japan, Takeda Pharmaceutical Company Limited, Osaka,  Japan.; Takeda Development Center Japan, Takeda Pharmaceutical Company Limited, Osaka,  Japan.; Department of Internal Medicine, Fukuyama Daiichi Hospital, Hiroshima, Japan.; Department of Gastroenterology, Nippon Medical School Graduate School of  Medicine, Tokyo, Japan.; Department of Gastroenterology, Rakuwakai Otowa Hospital, Kyoto, Japan.&lt;/_author_adr&gt;&lt;_collection_scope&gt;SCIE&lt;/_collection_scope&gt;&lt;_created&gt;65116728&lt;/_created&gt;&lt;_custom1&gt;38&lt;/_custom1&gt;&lt;_date&gt;2019-11-01&lt;/_date&gt;&lt;_date_display&gt;2019 Nov&lt;/_date_display&gt;&lt;_db_updated&gt;PubMed&lt;/_db_updated&gt;&lt;_doi&gt;10.14309/ctg.0000000000000101&lt;/_doi&gt;&lt;_impact_factor&gt;   4.396&lt;/_impact_factor&gt;&lt;_isbn&gt;2155-384X (Electronic); 2155-384X (Linking)&lt;/_isbn&gt;&lt;_issue&gt;11&lt;/_issue&gt;&lt;_journal&gt;Clin Transl Gastroenterol&lt;/_journal&gt;&lt;_language&gt;eng&lt;/_language&gt;&lt;_modified&gt;65116732&lt;/_modified&gt;&lt;_pages&gt;e00101&lt;/_pages&gt;&lt;_social_category&gt;医学(2)&lt;/_social_category&gt;&lt;_subject_headings&gt;Dose-Response Relationship, Drug; Double-Blind Method; Endoscopy, Gastrointestinal/methods; Female; Gastroesophageal Reflux/complications/diagnosis/*drug therapy; Heartburn/diagnosis/*drug therapy/etiology; Humans; Male; Middle Aged; Pyrroles/*administration &amp;amp; dosage; Sulfonamides/*administration &amp;amp; dosage; Treatment Outcome&lt;/_subject_headings&gt;&lt;_tertiary_title&gt;Clinical and translational gastroenterology&lt;/_tertiary_title&gt;&lt;_type_work&gt;Clinical Trial, Phase III; Journal Article; Multicenter Study; Randomized Controlled Trial; Research Support, Non-U.S. Gov&amp;apos;t&lt;/_type_work&gt;&lt;_url&gt;http://www.ncbi.nlm.nih.gov/entrez/query.fcgi?cmd=Retrieve&amp;amp;db=pubmed&amp;amp;dopt=Abstract&amp;amp;list_uids=31770139&amp;amp;query_hl=1&lt;/_url&gt;&lt;_volume&gt;10&lt;/_volume&gt;&lt;/Details&gt;&lt;Extra&gt;&lt;DBUID&gt;{C3DDB144-B9A5-4BD3-B74E-FCFC25704025}&lt;/DBUID&gt;&lt;/Extra&gt;&lt;/Item&gt;&lt;/References&gt;&lt;/Group&gt;&lt;/Citation&gt;_x000a_"/>
    <w:docVar w:name="NE.Ref{4BE549B7-2E0A-40AF-B6BA-E4CDD865A762}" w:val=" ADDIN NE.Ref.{4BE549B7-2E0A-40AF-B6BA-E4CDD865A762}&lt;Citation&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4D4BFC69-0410-4A6A-B9D0-367CBC09EDF5}" w:val=" ADDIN NE.Ref.{4D4BFC69-0410-4A6A-B9D0-367CBC09EDF5}&lt;Citation&gt;&lt;Group&gt;&lt;References&gt;&lt;Item&gt;&lt;ID&gt;572&lt;/ID&gt;&lt;UID&gt;{AC8F84DB-00D4-490B-8DB3-615377FF32E9}&lt;/UID&gt;&lt;Title&gt;2020 Seoul Consensus on the Diagnosis and Management of Gastroesophageal Reflux  Disease&lt;/Title&gt;&lt;Template&gt;Journal Article&lt;/Template&gt;&lt;Star&gt;0&lt;/Star&gt;&lt;Tag&gt;0&lt;/Tag&gt;&lt;Author&gt;Jung, H K; Tae, C H; Song, K H; Kang, S J; Park, J K; Gong, E J; Shin, J E; Lim, H C; Lee, S K; Jung, D H; Choi, Y J; Seo, S I; Kim, J S; Lee, J M; Kim, B J; Kang, S H; Park, C H; Choi, S C; Kwon, J G; Park, K S; Park, M I; Lee, T H; Kim, S Y; Cho, Y S; Lee, H H; Jung, K W; Kim, D H; Moon, H S; Miwa, H; Chen, C L; Gonlachanvit, S; Ghoshal, U C; Wu, JCY; Siah, KTH; Hou, X; Oshima, T; Choi, M Y; Lee, K J&lt;/Author&gt;&lt;Year&gt;2021&lt;/Year&gt;&lt;Details&gt;&lt;_accession_num&gt;34642267&lt;/_accession_num&gt;&lt;_author_adr&gt;Department of Internal Medicine, Ewha Womans University College of Medicine,  Seoul, Korea.; Department of Internal Medicine, Ewha Womans University College of Medicine,  Seoul, Korea.; Division of Gastroenterology, Department of Internal Medicine, CHA Ilsan Medical  Center, CHA University School of Medicine, Ilsan, Jeollabuk-do, Korea.; Department of Internal Medicine, Seoul National University Hospital Gangnam  Center, Seoul, Korea.; Department of Internal Medicine, Gangneung Asan Hospital, University of Ulsan  College of Medicine, Gangneung, Gangwon-do, Korea.; Department of Internal Medicine, Gangneung Asan Hospital, University of Ulsan  College of Medicine, Gangneung, Gangwon-do, Korea.; Department of Internal Medicine, Dankook University College of Medicine, Cheonan,  Chungcheongnam-do, Korea.; Department of Internal Medicine, Yongin Severance Hospital, Yonsei University  College of Medicine, Yongin, Gyeonggi-do, Korea.; Division of Gastroenterology, Department of Internal Medicine, Severance  Hospital, Yonsei University College of Medicine, Seoul, Korea.; Division of Gastroenterology, Department of Internal Medicine, Severance  Hospital, Yonsei University College of Medicine, Seoul, Korea.; Division of Gastroenterology, Department of Internal Medicine, Severance  Hospital, Yonsei University College of Medicine, Seoul, Korea.; Division of Gastroenterology, Department of Internal Medicine, Kangdong Sacred  Heart Hospital, Hallym University College of Medicine, Seoul, Korea.; Division of Gastroenterology, Department of Internal Medicine, Incheon St. Mary&amp;apos;s  Hospital, College of Medicine, The Catholic University of Korea, Incheon, Korea.; Digestive Disease Center, CHA Gangnam Medical Center, CHA University, Seoul,  Korea.; Department of Internal Medicine, Chung-Ang University College of Medicine, Seoul,  Korea.; Department of Gastroenterology, Chungnam National University Hospital, Chungnam  National University School of Medicine, Daejeon, Korea.; Department of Internal Medicine, Hanyang University Guri Hospital, Hanyang  University College of Medicine, Guri, Gyeonggi-do, Korea.; Department of Internal Medicine and Digestive Disease Research Institute,  Wonkwang University School of Medicine, Iksan, Jeollabuk-do, Korea.; Department of Internal Medicine, Daegu Catholic University School of Medicine,  Daegu, Korea.; Department of Internal Medicine, Keimyung University School of Medicine, Daegu,  Korea.; Department of Internal Medicine, Kosin University College of Medicine, Busan,  Korea.; Department of Internal Medicine, Soonchunhyang University Seoul Hospital, Seoul,  Korea.; Department of Internal Medicine, College of Medicine, Korea University, Seoul,  Korea.; Division of Gastroenterology, Department of Internal Medicine, Soonchunhyang  University Cheonan, Hospital, Cheonan, Chungcheongnamdo, Korea.; Department of Surgery, Seoul St. Mary&amp;apos;s Hospital, College of Medicine, The  Catholic University of Korea, Seoul, Korea.; Department of Gastroenterology, Asan Medical Center, University of Ulsan College  of Medicine, Seoul, Korea.; Department of Gastroenterology, Asan Medical Center, University of Ulsan College  of Medicine, Seoul, Korea.; Department of Internal Medicine, Chungnam National University School of Medicine,  Daejeon, Korea.; Division of Gastroenterology and Hepatology, Department of Internal Medicine,  Hyogo College of Medicine, Nishinomiya, Hyogo, Japan.; Institute of Medical Sciences, Tzu Chi University, and Department of Public  Health, College of Medicine, Tzu Chi University, Hualien City, Taiwan.; Center of Excellence on Neurogastroenterology and Motility, Department of  Medicine, Faculty of Medicine, Chulalongkorn University, Bangkok, Thailand.; Departments of Gastroenterology, Sanjay Gandhi Postgraduate Institute of Medical  Science, Lucknow, India.; Institute of Digestive Disease, Department of Medicine and Therapeutics, Faculty  of Medicine, The Chinese University of Hong Kong, China.; Department of Medicine, Yong Loo Lin School of Medicine, National University of  Singapore, Singapore.; Division of Gastroenterology and Hepatology, University Medicine Cluster,  National University Hospital, Singapore.; Department of Gastroenterology, Union Hospital, Tongji Medical College, Huazhong  University of Science and Technology, Wuhan, Hubei Province, China.; Division of Gastroenterology and Hepatology, Department of Internal Medicine,  Hyogo College of Medicine, Nishinomiya, Japan.; Division of Healthcare Technology Assessment Research, National Evidence-based  Healthcare Collaborating Agency, Seoul, Korea.; Department of Gastroenterology, Ajou University School of Medicine, Suwon,  Gyeonggi-do, Korea.&lt;/_author_adr&gt;&lt;_date_display&gt;2021 Oct 30&lt;/_date_display&gt;&lt;_date&gt;2021-10-30&lt;/_date&gt;&lt;_doi&gt;10.5056/jnm21077&lt;/_doi&gt;&lt;_isbn&gt;2093-0879 (Print); 2093-0887 (Electronic); 2093-0879 (Linking)&lt;/_isbn&gt;&lt;_issue&gt;4&lt;/_issue&gt;&lt;_journal&gt;J Neurogastroenterol Motil&lt;/_journal&gt;&lt;_keywords&gt;Diagnosis; Gastroesophageal reflux disease; Guideline; Meta-analysis; Treatment&lt;/_keywords&gt;&lt;_language&gt;eng&lt;/_language&gt;&lt;_pages&gt;453-481&lt;/_pages&gt;&lt;_tertiary_title&gt;Journal of neurogastroenterology and motility&lt;/_tertiary_title&gt;&lt;_type_work&gt;Journal Article; Review&lt;/_type_work&gt;&lt;_url&gt;http://www.ncbi.nlm.nih.gov/entrez/query.fcgi?cmd=Retrieve&amp;amp;db=pubmed&amp;amp;dopt=Abstract&amp;amp;list_uids=34642267&amp;amp;query_hl=1&lt;/_url&gt;&lt;_volume&gt;27&lt;/_volume&gt;&lt;_created&gt;65120996&lt;/_created&gt;&lt;_modified&gt;65120996&lt;/_modified&gt;&lt;_db_updated&gt;PubMed&lt;/_db_updated&gt;&lt;_impact_factor&gt;   4.725&lt;/_impact_factor&gt;&lt;_social_category&gt;医学(2)&lt;/_social_category&gt;&lt;_collection_scope&gt;SCIE&lt;/_collection_scope&gt;&lt;/Details&gt;&lt;Extra&gt;&lt;DBUID&gt;{C3DDB144-B9A5-4BD3-B74E-FCFC25704025}&lt;/DBUID&gt;&lt;/Extra&gt;&lt;/Item&gt;&lt;/References&gt;&lt;/Group&gt;&lt;/Citation&gt;_x000a_"/>
    <w:docVar w:name="NE.Ref{5141B7A9-BBED-408E-A851-BD394E0D843E}" w:val=" ADDIN NE.Ref.{5141B7A9-BBED-408E-A851-BD394E0D843E}&lt;Citation&gt;&lt;Group&gt;&lt;References&gt;&lt;Item&gt;&lt;ID&gt;563&lt;/ID&gt;&lt;UID&gt;{1CFE6DBD-6D7F-48E5-B74F-52EEE6D506BD}&lt;/UID&gt;&lt;Title&gt;Randomised clinical trial: comparison of tegoprazan and lansoprazole as  maintenance therapy for healed mild erosive oesophagitis&lt;/Title&gt;&lt;Template&gt;Journal Article&lt;/Template&gt;&lt;Star&gt;0&lt;/Star&gt;&lt;Tag&gt;0&lt;/Tag&gt;&lt;Author&gt;Cho, Y K; Kim, J H; Kim, H S; Kim, T O; Oh, J H; Choi, S C; Moon, J S; Lee, S K; Jung, S W; Kim, S S; Jung, H K; Lee, S P; Cheon, G J; Park, M I; Jung, H Y; Ko, K H; Sung, I K; Lee, S H; Lee, J Y; Lee, S T; Rhee, P L; Kim, N; Hong, S J; Kim, H J; Kim, G H; Lee, K J; Kim, S K; Shin, W G; Lee, O Y&lt;/Author&gt;&lt;Year&gt;2023&lt;/Year&gt;&lt;Details&gt;&lt;_accessed&gt;65116737&lt;/_accessed&gt;&lt;_accession_num&gt;36314172&lt;/_accession_num&gt;&lt;_author_adr&gt;Catholic Photomedicine Research Institute, Seoul St. Mary&amp;apos;s Hospital, College of  Medicine, The Catholic University of Korea, Seoul, South Korea.; Department of Internal Medicine, Dongguk University Ilsan Hospital, Dongguk  University College of Medicine, Goyang, South Korea.; Department of Internal Medicine, Yonsei University Wonju College of Medicine,  Wonju Christian Hospital, Wonju, South Korea.; Department of Internal Medicine, Inje University Haeundae Paik Hospital, Busan,  South Korea.; Department of Internal Medicine, Eunpyeong St. Mary&amp;apos;s Hospital, College of  Medicine, The Catholic University of Korea, Seoul, South Korea.; Department of Internal Medicine, Wonkwang University Hospital, Iksan, South  Korea.; Department of Internal Medicine, Inje University, Seoul Paik Hospital, Seoul,  South Korea.; Department of Internal Medicine, Yonsei University College of Medicine, Severance  Hospital, Seoul, South Korea.; Department of Internal Medicine, Korea University College of Medicine, Seoul,  South Korea.; Department of Internal Medicine, Uijeongbu St. Mary&amp;apos;s Hospital, College of  Medicine, The Catholic University of Korea, Uijeongbu, South Korea.; Department of Internal Medicine, College of Medicine, Ewha Womans University,  Seoul, South Korea.; Department of Internal Medicine, Hallym University Dongtan Sacred Heart Hospital,  Hwaseong, South Korea.; Department of Internal Medicine, GangNeung Asan Hospital, College of Medicine,  Ulsan University, Gangneung, South Korea.; Department of Internal Medicine, Kosin University College of Medicine, Busan,  South Korea.; Department of Gastroenterology, Asan Medical Center, University of Ulsan, Seoul,  South Korea.; Digestive Disease Center, CHA Bundang Medical Center, CHA University, Seongnam,  South Korea.; Department of Internal Medicine, Konkuk University Medical Center, Seoul, South  Korea.; Department of Internal Medicine, Yeungnam University College of Medicine, Daegu,  South Korea.; Department of Internal Medicine, Keimyung University School of Medicine, Daegu,  South Korea.; Department of Internal Medicine, Jeonbuk National University Hospital, Jeonju,  South Korea.; Department of Medicine, Samsung Medical Center, Sungkyunkwan University, Seoul,  South Korea.; Department of Internal Medicine, Seoul National University Bundang Hospital,  Seongnam and Seoul National University College of Medicine, Seoul, South Korea.; Department of Internal Medicine, Soonchunhyang University College of Medicine,  Bucheon, South Korea.; Department of Internal Medicine, Gyeongsang National University Changwon  Hospital, Changwon, South Korea.; Department of Internal Medicine, Pusan National University College of Medicine  and Biomedical Research Institute, Pusan National University Hospital, Busan,  South Korea.; Department of Gastroenterology, Ajou University Hospital, Ajou University School  of Medicine, Suwon, South Korea.; Department of Internal Medicine, Kyungpook National University Hospital, Daegu,  South Korea.; Department of Internal Medicine, Hallym University College of Medicine/Institute  for Liver and Digestive Diseases, Chuncheon, South Korea.; Department of Internal Medicine, Hanyang University College of Medicine, Seoul,  South Korea.&lt;/_author_adr&gt;&lt;_collection_scope&gt;SCIE&lt;/_collection_scope&gt;&lt;_created&gt;65116736&lt;/_created&gt;&lt;_custom1&gt;43&lt;/_custom1&gt;&lt;_date&gt;2023-01-01&lt;/_date&gt;&lt;_date_display&gt;2023 Jan&lt;/_date_display&gt;&lt;_db_updated&gt;PubMed&lt;/_db_updated&gt;&lt;_doi&gt;10.1111/apt.17255&lt;/_doi&gt;&lt;_impact_factor&gt;   9.524&lt;/_impact_factor&gt;&lt;_isbn&gt;1365-2036 (Electronic); 0269-2813 (Print); 0269-2813 (Linking)&lt;/_isbn&gt;&lt;_issue&gt;1&lt;/_issue&gt;&lt;_journal&gt;Aliment Pharmacol Ther&lt;/_journal&gt;&lt;_language&gt;eng&lt;/_language&gt;&lt;_modified&gt;65116737&lt;/_modified&gt;&lt;_ori_publication&gt;(c) 2022 The Authors. Alimentary Pharmacology &amp;amp; Therapeutics published by John _x000d__x000a_      Wiley &amp;amp; Sons Ltd.&lt;/_ori_publication&gt;&lt;_pages&gt;72-80&lt;/_pages&gt;&lt;_social_category&gt;医学(1)&lt;/_social_category&gt;&lt;_subject_headings&gt;Humans; Lansoprazole/therapeutic use; *Gastrins&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6314172&amp;amp;query_hl=1&lt;/_url&gt;&lt;_volume&gt;57&lt;/_volume&gt;&lt;/Details&gt;&lt;Extra&gt;&lt;DBUID&gt;{C3DDB144-B9A5-4BD3-B74E-FCFC25704025}&lt;/DBUID&gt;&lt;/Extra&gt;&lt;/Item&gt;&lt;/References&gt;&lt;/Group&gt;&lt;/Citation&gt;_x000a_"/>
    <w:docVar w:name="NE.Ref{53545FCE-7854-4FCB-BB71-847393F451A8}" w:val=" ADDIN NE.Ref.{53545FCE-7854-4FCB-BB71-847393F451A8}&lt;Citation&gt;&lt;Group&gt;&lt;References&gt;&lt;Item&gt;&lt;ID&gt;527&lt;/ID&gt;&lt;UID&gt;{05C82D94-7152-41F1-8FFF-6086B062ADBE}&lt;/UID&gt;&lt;Title&gt;Global prevalence of, and risk factors for, gastro-oesophageal reflux symptoms: a  meta-analysis&lt;/Title&gt;&lt;Template&gt;Journal Article&lt;/Template&gt;&lt;Star&gt;0&lt;/Star&gt;&lt;Tag&gt;0&lt;/Tag&gt;&lt;Author&gt;Eusebi, L H; Ratnakumaran, R; Yuan, Y; Solaymani-Dodaran, M; Bazzoli, F; Ford, A C&lt;/Author&gt;&lt;Year&gt;2018&lt;/Year&gt;&lt;Details&gt;&lt;_accessed&gt;65116713&lt;/_accessed&gt;&lt;_accession_num&gt;28232473&lt;/_accession_num&gt;&lt;_author_adr&gt;Department of Medical and Surgical Sciences, University of Bologna, Bologna,  Italy.; The Royal Free Hospital and University College London Institute for Liver and  Digestive Health, London, UK.; Leeds Institute of Biomedical and Clinical Sciences, University of Leeds, Leeds,  UK.; Leeds Gastroenterology Institute, St. James&amp;apos;s University Hospital, Leeds, UK.; Division of Gastroenterology, Health Sciences Centre, McMaster University,  Hamilton, Ontario, Canada.; Iran University of Medical Sciences, Tehran, Iran.; The University of Nottingham, Nottingham, UK.; Department of Medical and Surgical Sciences, University of Bologna, Bologna,  Italy.; Leeds Institute of Biomedical and Clinical Sciences, University of Leeds, Leeds,  UK.; Leeds Gastroenterology Institute, St. James&amp;apos;s University Hospital, Leeds, UK.&lt;/_author_adr&gt;&lt;_collection_scope&gt;SCIE&lt;/_collection_scope&gt;&lt;_created&gt;65116618&lt;/_created&gt;&lt;_custom1&gt;14&lt;/_custom1&gt;&lt;_date&gt;2018-03-01&lt;/_date&gt;&lt;_date_display&gt;2018 Mar&lt;/_date_display&gt;&lt;_db_updated&gt;PubMed&lt;/_db_updated&gt;&lt;_doi&gt;10.1136/gutjnl-2016-313589&lt;/_doi&gt;&lt;_impact_factor&gt;  31.793&lt;/_impact_factor&gt;&lt;_isbn&gt;1468-3288 (Electronic); 0017-5749 (Linking)&lt;/_isbn&gt;&lt;_issue&gt;3&lt;/_issue&gt;&lt;_journal&gt;Gut&lt;/_journal&gt;&lt;_keywords&gt;GASTROESOPHAGEAL REFLUX DISEASE; META-ANALYSIS&lt;/_keywords&gt;&lt;_language&gt;eng&lt;/_language&gt;&lt;_modified&gt;65116713&lt;/_modified&gt;&lt;_ori_publication&gt;Published by the BMJ Publishing Group Limited. For permission to use (where not _x000d__x000a_      already granted under a licence) please go to _x000d__x000a_      http://www.bmj.com/company/products-services/rights-and-licensing/.&lt;/_ori_publication&gt;&lt;_pages&gt;430-440&lt;/_pages&gt;&lt;_social_category&gt;医学(1)&lt;/_social_category&gt;&lt;_subject_headings&gt;Age Factors; Alcohol Drinking/epidemiology; Anti-Inflammatory Agents, Non-Steroidal/therapeutic use; Educational Status; Gastroesophageal Reflux/diagnosis/*epidemiology; Global Health/*statistics &amp;amp; numerical data; Humans; Obesity/epidemiology; Prevalence; Risk Factors; Smoking/epidemiology; Social Class&lt;/_subject_headings&gt;&lt;_tertiary_title&gt;Gut&lt;/_tertiary_title&gt;&lt;_type_work&gt;Journal Article; Meta-Analysis; Review; Systematic Review&lt;/_type_work&gt;&lt;_url&gt;http://www.ncbi.nlm.nih.gov/entrez/query.fcgi?cmd=Retrieve&amp;amp;db=pubmed&amp;amp;dopt=Abstract&amp;amp;list_uids=28232473&amp;amp;query_hl=1&lt;/_url&gt;&lt;_volume&gt;67&lt;/_volume&gt;&lt;/Details&gt;&lt;Extra&gt;&lt;DBUID&gt;{C3DDB144-B9A5-4BD3-B74E-FCFC25704025}&lt;/DBUID&gt;&lt;/Extra&gt;&lt;/Item&gt;&lt;/References&gt;&lt;/Group&gt;&lt;/Citation&gt;_x000a_"/>
    <w:docVar w:name="NE.Ref{5D1EA1BC-7929-420D-9DF3-D0E8C2392845}" w:val=" ADDIN NE.Ref.{5D1EA1BC-7929-420D-9DF3-D0E8C2392845}&lt;Citation&gt;&lt;Group&gt;&lt;References&gt;&lt;Item&gt;&lt;ID&gt;557&lt;/ID&gt;&lt;UID&gt;{31FF4C29-4603-447D-9CD2-BB99DC9E3280}&lt;/UID&gt;&lt;Title&gt;Randomised clinical trial: vonoprazan versus lansoprazole for the initial relief  of heartburn in patients with erosive oesophagitis&lt;/Title&gt;&lt;Template&gt;Journal Article&lt;/Template&gt;&lt;Star&gt;0&lt;/Star&gt;&lt;Tag&gt;0&lt;/Tag&gt;&lt;Author&gt;Oshima, T; Arai, E; Taki, M; Kondo, T; Tomita, T; Fukui, H; Watari, J; Miwa, H&lt;/Author&gt;&lt;Year&gt;2019&lt;/Year&gt;&lt;Details&gt;&lt;_accessed&gt;65116730&lt;/_accessed&gt;&lt;_accession_num&gt;30589965&lt;/_accession_num&gt;&lt;_author_adr&gt;Division of Gastroenterology, Department of Internal Medicine, Hyogo College of  Medicine, Nishinomiya, Hyogo, Japan.; Department of Internal Medicine, Nishinomiya Kyoritsu Neurosurgical Hospital,  Nishinomiya, Hyogo, Japan.; Division of Gastroenterology, Department of Internal Medicine, Hyogo College of  Medicine, Nishinomiya, Hyogo, Japan.; Division of Gastroenterology, Department of Internal Medicine, Hyogo College of  Medicine, Nishinomiya, Hyogo, Japan.; Division of Gastroenterology, Department of Internal Medicine, Hyogo College of  Medicine, Nishinomiya, Hyogo, Japan.; Division of Gastroenterology, Department of Internal Medicine, Hyogo College of  Medicine, Nishinomiya, Hyogo, Japan.; Division of Gastroenterology, Department of Internal Medicine, Hyogo College of  Medicine, Nishinomiya, Hyogo, Japan.; Division of Gastroenterology, Department of Internal Medicine, Hyogo College of  Medicine, Nishinomiya, Hyogo, Japan.&lt;/_author_adr&gt;&lt;_collection_scope&gt;SCIE&lt;/_collection_scope&gt;&lt;_created&gt;65116728&lt;/_created&gt;&lt;_custom1&gt;37&lt;/_custom1&gt;&lt;_date&gt;2019-01-01&lt;/_date&gt;&lt;_date_display&gt;2019 Jan&lt;/_date_display&gt;&lt;_db_updated&gt;PubMed&lt;/_db_updated&gt;&lt;_doi&gt;10.1111/apt.15062&lt;/_doi&gt;&lt;_impact_factor&gt;   9.524&lt;/_impact_factor&gt;&lt;_isbn&gt;1365-2036 (Electronic); 0269-2813 (Linking)&lt;/_isbn&gt;&lt;_issue&gt;2&lt;/_issue&gt;&lt;_journal&gt;Aliment Pharmacol Ther&lt;/_journal&gt;&lt;_language&gt;eng&lt;/_language&gt;&lt;_modified&gt;65116732&lt;/_modified&gt;&lt;_ori_publication&gt;(c) 2018 John Wiley &amp;amp; Sons Ltd.&lt;/_ori_publication&gt;&lt;_pages&gt;140-146&lt;/_pages&gt;&lt;_social_category&gt;医学(1)&lt;/_social_category&gt;&lt;_subject_headings&gt;Adult; Aged; Double-Blind Method; Esophagitis/diagnosis/*drug therapy; Female; Gastroesophageal Reflux/drug therapy; Heartburn/diagnosis/*drug therapy; Humans; Lansoprazole/*therapeutic use; Male; Middle Aged; Proton Pump Inhibitors/*therapeutic use; Pyrroles/*therapeutic use; Sulfonamides/*therapeutic use&lt;/_subject_headings&gt;&lt;_tertiary_title&gt;Alimentary pharmacology &amp;amp; therapeutics&lt;/_tertiary_title&gt;&lt;_type_work&gt;Comparative Study; Journal Article; Randomized Controlled Trial; Research Support, Non-U.S. Gov&amp;apos;t&lt;/_type_work&gt;&lt;_url&gt;http://www.ncbi.nlm.nih.gov/entrez/query.fcgi?cmd=Retrieve&amp;amp;db=pubmed&amp;amp;dopt=Abstract&amp;amp;list_uids=30589965&amp;amp;query_hl=1&lt;/_url&gt;&lt;_volume&gt;49&lt;/_volume&gt;&lt;/Details&gt;&lt;Extra&gt;&lt;DBUID&gt;{C3DDB144-B9A5-4BD3-B74E-FCFC25704025}&lt;/DBUID&gt;&lt;/Extra&gt;&lt;/Item&gt;&lt;/References&gt;&lt;/Group&gt;&lt;/Citation&gt;_x000a_"/>
    <w:docVar w:name="NE.Ref{5E73F7C8-193F-46E7-B81E-CE18996D84AF}" w:val=" ADDIN NE.Ref.{5E73F7C8-193F-46E7-B81E-CE18996D84AF}&lt;Citation&gt;&lt;Group&gt;&lt;References&gt;&lt;Item&gt;&lt;ID&gt;546&lt;/ID&gt;&lt;UID&gt;{F243687C-F840-44F8-8F6C-5598AD6182E2}&lt;/UID&gt;&lt;Title&gt;Direct Comparison of the Efficacy and Safety of Vonoprazan Versus Proton-Pump  Inhibitors for Gastroesophageal Reflux Disease: A Systematic Review and  Meta-Analysis&lt;/Title&gt;&lt;Template&gt;Journal Article&lt;/Template&gt;&lt;Star&gt;0&lt;/Star&gt;&lt;Tag&gt;0&lt;/Tag&gt;&lt;Author&gt;Cheng, Y; Liu, J; Tan, X; Dai, Y; Xie, C; Li, X; Lu, Q; Kou, F; Jiang, H; Li, J&lt;/Author&gt;&lt;Year&gt;2021&lt;/Year&gt;&lt;Details&gt;&lt;_accession_num&gt;32095968&lt;/_accession_num&gt;&lt;_author_adr&gt;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Department of Pharmacotherapy and Oriental Medicine, School of Pharmacy, Hyogo  University of Health Sciences, Hyogo, Japan.; School of Life Science, Beijing University of Chinese Medicine, Beijing, 100029,  China.; Gastroenterology Department, Dongfang Hospital, Beijing University of Chinese  Medicine, No. 6, 1st Section, Fangxingyuan, Fangzhuang, Beijing, 100078,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astroenterology Department, Dongfang Hospital, Beijing University of Chinese  Medicine, No. 6, 1st Section, Fangxingyuan, Fangzhuang, Beijing, 100078, China.  lijunxiang1226@163.com.&lt;/_author_adr&gt;&lt;_date_display&gt;2021 Jan&lt;/_date_display&gt;&lt;_date&gt;2021-01-01&lt;/_date&gt;&lt;_doi&gt;10.1007/s10620-020-06141-5&lt;/_doi&gt;&lt;_isbn&gt;1573-2568 (Electronic); 0163-2116 (Linking)&lt;/_isbn&gt;&lt;_issue&gt;1&lt;/_issue&gt;&lt;_journal&gt;Dig Dis Sci&lt;/_journal&gt;&lt;_keywords&gt;Gastroesophageal reflux disease; Meta-analysis; Proton-pump inhibitors; Vonoprazan&lt;/_keywords&gt;&lt;_language&gt;eng&lt;/_language&gt;&lt;_pages&gt;19-28&lt;/_pages&gt;&lt;_subject_headings&gt;Gastroesophageal Reflux/complications/*diagnosis/*drug therapy; Heartburn/diagnosis/drug therapy/etiology; Humans; Proton Pump Inhibitors/adverse effects/*therapeutic use; Pyrroles/adverse effects/*therapeutic use; Randomized Controlled Trials as Topic/methods; Sulfonamides/adverse effects/*therapeutic use; Treatment Outcome&lt;/_subject_headings&gt;&lt;_tertiary_title&gt;Digestive diseases and sciences&lt;/_tertiary_title&gt;&lt;_type_work&gt;Comparative Study; Journal Article; Meta-Analysis; Research Support, Non-U.S. Gov&amp;apos;t; Systematic Review&lt;/_type_work&gt;&lt;_url&gt;http://www.ncbi.nlm.nih.gov/entrez/query.fcgi?cmd=Retrieve&amp;amp;db=pubmed&amp;amp;dopt=Abstract&amp;amp;list_uids=32095968&amp;amp;query_hl=1&lt;/_url&gt;&lt;_volume&gt;66&lt;/_volume&gt;&lt;_created&gt;65116685&lt;/_created&gt;&lt;_modified&gt;65116690&lt;/_modified&gt;&lt;_db_updated&gt;PubMed&lt;/_db_updated&gt;&lt;_impact_factor&gt;   3.487&lt;/_impact_factor&gt;&lt;_social_category&gt;医学(3)&lt;/_social_category&gt;&lt;_collection_scope&gt;SCIE&lt;/_collection_scope&gt;&lt;/Details&gt;&lt;Extra&gt;&lt;DBUID&gt;{C3DDB144-B9A5-4BD3-B74E-FCFC25704025}&lt;/DBUID&gt;&lt;/Extra&gt;&lt;/Item&gt;&lt;/References&gt;&lt;/Group&gt;&lt;Group&gt;&lt;References&gt;&lt;Item&gt;&lt;ID&gt;547&lt;/ID&gt;&lt;UID&gt;{792F9769-C06B-4137-8144-4239A23C2B00}&lt;/UID&gt;&lt;Title&gt;Incidence and type of adverse events in patients taking vonoprazan: A systematic  review and meta-analysis&lt;/Title&gt;&lt;Template&gt;Journal Article&lt;/Template&gt;&lt;Star&gt;0&lt;/Star&gt;&lt;Tag&gt;0&lt;/Tag&gt;&lt;Author&gt;Xu, W; Bai, Z; Shang, Y; Wang, J; Wong, Y; Qi, X&lt;/Author&gt;&lt;Year&gt;2023&lt;/Year&gt;&lt;Details&gt;&lt;_accession_num&gt;37113190&lt;/_accession_num&gt;&lt;_author_adr&gt;Department of Gastroenterology, General Hospital of Northern Theater Command,  Shenyang, China.; Department of Life Sciences and Biopharmaceutics, Shenyang Pharmaceutical  University, Shenyang, China.; Department of Gastroenterology, General Hospital of Northern Theater Command,  Shenyang, China.; Department of Life Sciences and Biopharmaceutics, Shenyang Pharmaceutical  University, Shenyang, China.; Department of Gastroenterology, General Hospital of Northern Theater Command,  Shenyang, China.; Department of Life Sciences and Biopharmaceutics, Shenyang Pharmaceutical  University, Shenyang, China.; Department of Gastroenterology, The 960th Hospital of the PLA, Jinan, China.; Department of Gastroenterology and Hepatology, Changi General Hospital,  Singapore, Singapore.; Department of Gastroenterology, General Hospital of Northern Theater Command, No.  83 Wenhua Road, Shenyang, Liaoning 110840, China.&lt;/_author_adr&gt;&lt;_date_display&gt;2023&lt;/_date_display&gt;&lt;_date&gt;2023-01-20&lt;/_date&gt;&lt;_doi&gt;10.1177/17562848231167858&lt;/_doi&gt;&lt;_isbn&gt;1756-283X (Print); 1756-2848 (Electronic); 1756-283X (Linking)&lt;/_isbn&gt;&lt;_journal&gt;Therap Adv Gastroenterol&lt;/_journal&gt;&lt;_keywords&gt;adverse event; gastric acid; proton pump inhibitor; safety; vonoprazan&lt;/_keywords&gt;&lt;_language&gt;eng&lt;/_language&gt;&lt;_ori_publication&gt;(c) The Author(s), 2023.&lt;/_ori_publication&gt;&lt;_pages&gt;17562848231167858&lt;/_pages&gt;&lt;_tertiary_title&gt;Therapeutic advances in gastroenterology&lt;/_tertiary_title&gt;&lt;_type_work&gt;Journal Article&lt;/_type_work&gt;&lt;_url&gt;http://www.ncbi.nlm.nih.gov/entrez/query.fcgi?cmd=Retrieve&amp;amp;db=pubmed&amp;amp;dopt=Abstract&amp;amp;list_uids=37113190&amp;amp;query_hl=1&lt;/_url&gt;&lt;_volume&gt;16&lt;/_volume&gt;&lt;_created&gt;65116688&lt;/_created&gt;&lt;_modified&gt;65116690&lt;/_modified&gt;&lt;_db_updated&gt;PubMed&lt;/_db_updated&gt;&lt;_impact_factor&gt;   4.802&lt;/_impact_factor&gt;&lt;_social_category&gt;医学(3)&lt;/_social_category&gt;&lt;_collection_scope&gt;SCIE&lt;/_collection_scope&gt;&lt;/Details&gt;&lt;Extra&gt;&lt;DBUID&gt;{C3DDB144-B9A5-4BD3-B74E-FCFC25704025}&lt;/DBUID&gt;&lt;/Extra&gt;&lt;/Item&gt;&lt;/References&gt;&lt;/Group&gt;&lt;Group&gt;&lt;References&gt;&lt;Item&gt;&lt;ID&gt;548&lt;/ID&gt;&lt;UID&gt;{AAF1BF8E-BFC9-4424-94FD-3620F1E7780B}&lt;/UID&gt;&lt;Title&gt;Adverse events of vonoprazan in the treatments of acid-related diseases: a  systematic review and meta-analysis&lt;/Title&gt;&lt;Template&gt;Journal Article&lt;/Template&gt;&lt;Star&gt;0&lt;/Star&gt;&lt;Tag&gt;0&lt;/Tag&gt;&lt;Author&gt;Gong, H; Han, D; Liu, S; Liu, C; Zhu, X; Chen, D&lt;/Author&gt;&lt;Year&gt;2023&lt;/Year&gt;&lt;Details&gt;&lt;_accession_num&gt;36353962&lt;/_accession_num&gt;&lt;_author_adr&gt;Gastroenterology, Affiliated Hospital of Nanjing University of Chinese Medicine.; Respiratory and Critical Medicine, Affiliated Hospital of Nanjing University of  Chinese Medicine.; Laboratory of Neural Regeneration and Repair, Advanced Innovation Center for  Human Brain Protection, Capital Medical University.; Gastroenterology, Anhui Medical University, .; Nephrology, The Second Affiliated Hospital of Nanjing University of Chinese  Medicine.; Gastroenterology, Affiliated Hospital of Nanjing University of Chinese Medicine,  China.&lt;/_author_adr&gt;&lt;_date_display&gt;2023 Jun&lt;/_date_display&gt;&lt;_date&gt;2023-06-01&lt;/_date&gt;&lt;_doi&gt;10.17235/reed.2022.9228/2022&lt;/_doi&gt;&lt;_isbn&gt;1130-0108 (Print); 1130-0108 (Linking)&lt;/_isbn&gt;&lt;_issue&gt;6&lt;/_issue&gt;&lt;_journal&gt;Rev Esp Enferm Dig&lt;/_journal&gt;&lt;_language&gt;eng&lt;/_language&gt;&lt;_pages&gt;294-300&lt;/_pages&gt;&lt;_subject_headings&gt;Humans; *Proton Pump Inhibitors/adverse effects; *Constipation/drug therapy; Sulfonamides/adverse effects; Pyrroles/adverse effects; Diarrhea/chemically induced&lt;/_subject_headings&gt;&lt;_tertiary_title&gt;Revista espanola de enfermedades digestivas&lt;/_tertiary_title&gt;&lt;_type_work&gt;Journal Article; Meta-Analysis; Systematic Review&lt;/_type_work&gt;&lt;_url&gt;http://www.ncbi.nlm.nih.gov/entrez/query.fcgi?cmd=Retrieve&amp;amp;db=pubmed&amp;amp;dopt=Abstract&amp;amp;list_uids=36353962&amp;amp;query_hl=1&lt;/_url&gt;&lt;_volume&gt;115&lt;/_volume&gt;&lt;_created&gt;65116691&lt;/_created&gt;&lt;_modified&gt;65116691&lt;/_modified&gt;&lt;_db_updated&gt;PubMed&lt;/_db_updated&gt;&lt;_impact_factor&gt;   2.389&lt;/_impact_factor&gt;&lt;_social_category&gt;医学(4)&lt;/_social_category&gt;&lt;_collection_scope&gt;SCIE&lt;/_collection_scope&gt;&lt;/Details&gt;&lt;Extra&gt;&lt;DBUID&gt;{C3DDB144-B9A5-4BD3-B74E-FCFC25704025}&lt;/DBUID&gt;&lt;/Extra&gt;&lt;/Item&gt;&lt;/References&gt;&lt;/Group&gt;&lt;/Citation&gt;_x000a_"/>
    <w:docVar w:name="NE.Ref{60CAB531-09E4-4EED-9ECD-01C6E9BEFFA6}" w:val=" ADDIN NE.Ref.{60CAB531-09E4-4EED-9ECD-01C6E9BEFFA6}&lt;Citation&gt;&lt;Group&gt;&lt;References&gt;&lt;Item&gt;&lt;ID&gt;517&lt;/ID&gt;&lt;UID&gt;{BB560DA6-8E39-49C8-A992-1D2DBA0C8E14}&lt;/UID&gt;&lt;Title&gt;Gastro-oesophageal reflux disease&lt;/Title&gt;&lt;Template&gt;Journal Article&lt;/Template&gt;&lt;Star&gt;0&lt;/Star&gt;&lt;Tag&gt;0&lt;/Tag&gt;&lt;Author&gt;Fass, R; Boeckxstaens, G E; El-Serag, H; Rosen, R; Sifrim, D; Vaezi, M F&lt;/Author&gt;&lt;Year&gt;2021&lt;/Year&gt;&lt;Details&gt;&lt;_accessed&gt;65116710&lt;/_accessed&gt;&lt;_accession_num&gt;34326345&lt;/_accession_num&gt;&lt;_author_adr&gt;The Esophageal and Swallowing Center, Division of Gastroenterology and  Hepatology, MetroHealth Medical System, Case Western Reserve University,  Cleveland, OH, USA. ronnie.fass@gmail.com.; Translational Research Center for Gastrointestinal Disorders (TARGID), University  of Leuven, Leuven, Belgium.; Department of Medicine, Baylor College of Medicine, Houston, TX, USA.; Division of Gastroenterology, Hepatology and Nutrition, Boston Children&amp;apos;s  Hospital, Harvard Medical School, Boston, MA, USA.; Wingate Institute of Neurogastroenterology, Royal London Hospital, Barts and The  London School of Medicine and Dentistry, Queen Mary University of London, London,  UK.; Division of Gastroenterology, Hepatology, and Nutrition, Vanderbilt University  Medical Center, Nashville, TN, USA.&lt;/_author_adr&gt;&lt;_collection_scope&gt;SCIE&lt;/_collection_scope&gt;&lt;_created&gt;65116595&lt;/_created&gt;&lt;_custom1&gt;1&lt;/_custom1&gt;&lt;_date&gt;2021-07-29&lt;/_date&gt;&lt;_date_display&gt;2021 Jul 29&lt;/_date_display&gt;&lt;_db_updated&gt;PubMed&lt;/_db_updated&gt;&lt;_doi&gt;10.1038/s41572-021-00287-w&lt;/_doi&gt;&lt;_impact_factor&gt;  65.038&lt;/_impact_factor&gt;&lt;_isbn&gt;2056-676X (Electronic); 2056-676X (Linking)&lt;/_isbn&gt;&lt;_issue&gt;1&lt;/_issue&gt;&lt;_journal&gt;Nat Rev Dis Primers&lt;/_journal&gt;&lt;_language&gt;eng&lt;/_language&gt;&lt;_modified&gt;65116710&lt;/_modified&gt;&lt;_ori_publication&gt;(c) 2021. Springer Nature Limited.&lt;/_ori_publication&gt;&lt;_pages&gt;55&lt;/_pages&gt;&lt;_social_category&gt;医学(1)&lt;/_social_category&gt;&lt;_subject_headings&gt;*Gastroesophageal Reflux/diagnosis/epidemiology; Heartburn; Humans; Proton Pump Inhibitors/therapeutic use; Stomach&lt;/_subject_headings&gt;&lt;_tertiary_title&gt;Nature reviews. Disease primers&lt;/_tertiary_title&gt;&lt;_type_work&gt;Journal Article; Review&lt;/_type_work&gt;&lt;_url&gt;http://www.ncbi.nlm.nih.gov/entrez/query.fcgi?cmd=Retrieve&amp;amp;db=pubmed&amp;amp;dopt=Abstract&amp;amp;list_uids=34326345&amp;amp;query_hl=1&lt;/_url&gt;&lt;_volume&gt;7&lt;/_volume&gt;&lt;/Details&gt;&lt;Extra&gt;&lt;DBUID&gt;{C3DDB144-B9A5-4BD3-B74E-FCFC25704025}&lt;/DBUID&gt;&lt;/Extra&gt;&lt;/Item&gt;&lt;/References&gt;&lt;/Group&gt;&lt;/Citation&gt;_x000a_"/>
    <w:docVar w:name="NE.Ref{6516F1F4-BF6F-4322-A53B-07D2312B9BD6}" w:val=" ADDIN NE.Ref.{6516F1F4-BF6F-4322-A53B-07D2312B9BD6}&lt;Citation&gt;&lt;Group&gt;&lt;References&gt;&lt;Item&gt;&lt;ID&gt;541&lt;/ID&gt;&lt;UID&gt;{769C968E-AC9C-4650-AC86-ACE83A48FC88}&lt;/UID&gt;&lt;Title&gt;Randomised trial of acid inhibition by vonoprazan 10/20 mg once daily vs  rabeprazole 10/20 mg twice daily in healthy Japanese volunteers (SAMURAI pH  study)&lt;/Title&gt;&lt;Template&gt;Journal Article&lt;/Template&gt;&lt;Star&gt;0&lt;/Star&gt;&lt;Tag&gt;0&lt;/Tag&gt;&lt;Author&gt;Takeuchi, T; Furuta, T; Fujiwara, Y; Sugimoto, M; Kasugai, K; Kusano, M; Okada, H; Suzuki, T; Higuchi, T; Kagami, T; Uotani, T; Yamade, M; Sawada, A; Tanaka, F; Harada, S; Ota, K; Kojima, Y; Murata, M; Tamura, Y; Funaki, Y; Kawamura, O; Okamoto, Y; Fujimoto, K; Higuchi, K&lt;/Author&gt;&lt;Year&gt;2020&lt;/Year&gt;&lt;Details&gt;&lt;_accessed&gt;65116715&lt;/_accessed&gt;&lt;_accession_num&gt;31990424&lt;/_accession_num&gt;&lt;_author_adr&gt;Endoscopic Center, Osaka Medical College Hospital, Takatsuki, Japan.; Center for Clinical Research, Hamamatsu University School of Medicine, Hamamatsu,  Japan.; Department of Gastroenterology, Osaka City University Graduate School of Medicine  School of Medicine, Osaka, Japan.; Division of Digestive Endoscopy, Shiga University of Medical Science Hospital,  Otsu, Japan.; Department of Gastroenterology, Aichi Medical University, Aichi, Japan.; Department of Endoscopy and Endoscopic Surgery, Gunma University Hospital,  Meabashi, Japan.; Department of Gastroenterology and Hepatology, Dentistry and Pharmaceutical  Sciences, Okayama University Graduate School of Medicine, Okayama, Japan.; First Department of Medicine, Hamamatsu University School of Medicine, Hamamatsu,  Japan.; First Department of Medicine, Hamamatsu University School of Medicine, Hamamatsu,  Japan.; First Department of Medicine, Hamamatsu University School of Medicine, Hamamatsu,  Japan.; First Department of Medicine, Hamamatsu University School of Medicine, Hamamatsu,  Japan.; First Department of Medicine, Hamamatsu University School of Medicine, Hamamatsu,  Japan.; Department of Gastroenterology, Osaka City University Graduate School of Medicine  School of Medicine, Osaka, Japan.; Department of Gastroenterology, Osaka City University Graduate School of Medicine  School of Medicine, Osaka, Japan.; Second Department of Internal Medicine, Osaka Medical College, Takatsuki, Japan.; Second Department of Internal Medicine, Osaka Medical College, Takatsuki, Japan.; Endoscopic Center, Osaka Medical College Hospital, Takatsuki, Japan.; Division of Digestive Endoscopy, Shiga University of Medical Science Hospital,  Otsu, Japan.; Department of Gastroenterology, Aichi Medical University, Aichi, Japan.; Department of Gastroenterology, Aichi Medical University, Aichi, Japan.; Department of Endoscopy and Endoscopic Surgery, Gunma University Hospital,  Meabashi, Japan.; Department of Gastroenterology and Hepatology, Dentistry and Pharmaceutical  Sciences, Okayama University Graduate School of Medicine, Okayama, Japan.; Department of Internal Medicine, Saga Medical School, Saga, Japan.; Second Department of Internal Medicine, Osaka Medical College, Takatsuki, Japan.&lt;/_author_adr&gt;&lt;_collection_scope&gt;SCIE&lt;/_collection_scope&gt;&lt;_created&gt;65116668&lt;/_created&gt;&lt;_custom1&gt;25&lt;/_custom1&gt;&lt;_date&gt;2020-03-01&lt;/_date&gt;&lt;_date_display&gt;2020 Mar&lt;/_date_display&gt;&lt;_db_updated&gt;PubMed&lt;/_db_updated&gt;&lt;_doi&gt;10.1111/apt.15641&lt;/_doi&gt;&lt;_impact_factor&gt;   9.524&lt;/_impact_factor&gt;&lt;_isbn&gt;1365-2036 (Electronic); 0269-2813 (Linking)&lt;/_isbn&gt;&lt;_issue&gt;5&lt;/_issue&gt;&lt;_journal&gt;Aliment Pharmacol Ther&lt;/_journal&gt;&lt;_keywords&gt;crossover; gastric ph monitoring; healthy volunteers; rabeprazole; vonoprazan&lt;/_keywords&gt;&lt;_language&gt;eng&lt;/_language&gt;&lt;_modified&gt;65116715&lt;/_modified&gt;&lt;_ori_publication&gt;(c) 2020 John Wiley &amp;amp; Sons Ltd.&lt;/_ori_publication&gt;&lt;_pages&gt;534-543&lt;/_pages&gt;&lt;_social_category&gt;医学(1)&lt;/_social_category&gt;&lt;_subject_headings&gt;Adolescent; Adult; Antacids/*administration &amp;amp; dosage/adverse effects; Cross-Over Studies; Dose-Response Relationship, Drug; Drug Administration Schedule; Female; Gastric Acid/*metabolism; Gastric Juice/*drug effects/metabolism; Healthy Volunteers; Humans; Hydrogen-Ion Concentration; Japan; Male; Polymorphism, Genetic; Proton Pump Inhibitors/*administration &amp;amp; dosage/adverse effects; Pyrroles/*administration &amp;amp; dosage/adverse effects; Rabeprazole/*administration &amp;amp; dosage/adverse effects; Sulfonamides/*administration &amp;amp; dosage/adverse effects; Young Adult&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1990424&amp;amp;query_hl=1&lt;/_url&gt;&lt;_volume&gt;51&lt;/_volume&gt;&lt;/Details&gt;&lt;Extra&gt;&lt;DBUID&gt;{C3DDB144-B9A5-4BD3-B74E-FCFC25704025}&lt;/DBUID&gt;&lt;/Extra&gt;&lt;/Item&gt;&lt;/References&gt;&lt;/Group&gt;&lt;/Citation&gt;_x000a_"/>
    <w:docVar w:name="NE.Ref{6AB1E3FE-B213-44B3-A830-27AB5BA1151A}" w:val=" ADDIN NE.Ref.{6AB1E3FE-B213-44B3-A830-27AB5BA1151A}&lt;Citation&gt;&lt;Group&gt;&lt;References&gt;&lt;Item&gt;&lt;ID&gt;536&lt;/ID&gt;&lt;UID&gt;{7E196E7F-D8D3-45A2-9B2C-34CB231EDAE4}&lt;/UID&gt;&lt;Title&gt;Gastroesophageal Reflux Disease: A Review&lt;/Title&gt;&lt;Template&gt;Journal Article&lt;/Template&gt;&lt;Star&gt;0&lt;/Star&gt;&lt;Tag&gt;0&lt;/Tag&gt;&lt;Author&gt;Maret-Ouda, J; Markar, S R; Lagergren, J&lt;/Author&gt;&lt;Year&gt;2020&lt;/Year&gt;&lt;Details&gt;&lt;_accessed&gt;65116714&lt;/_accessed&gt;&lt;_accession_num&gt;33351048&lt;/_accession_num&gt;&lt;_author_adr&gt;Upper Gastrointestinal Surgery, Department of Molecular Medicine and Surgery,  Karolinska Institutet, and Karolinska University Hospital, Stockholm, Sweden.; Centre for Clinical Research Sormland, Uppsala University, Eskilstuna, Sweden.; Upper Gastrointestinal Surgery, Department of Molecular Medicine and Surgery,  Karolinska Institutet, and Karolinska University Hospital, Stockholm, Sweden.; Department of Surgery and Cancer, Imperial College London, London, United  Kingdom.; Upper Gastrointestinal Surgery, Department of Molecular Medicine and Surgery,  Karolinska Institutet, and Karolinska University Hospital, Stockholm, Sweden.; School of Cancer and Pharmaceutical Sciences, King&amp;apos;s College London, London,  United Kingdom.&lt;/_author_adr&gt;&lt;_collection_scope&gt;SCIE&lt;/_collection_scope&gt;&lt;_created&gt;65116644&lt;/_created&gt;&lt;_custom1&gt;20&lt;/_custom1&gt;&lt;_date&gt;2020-12-22&lt;/_date&gt;&lt;_date_display&gt;2020 Dec 22&lt;/_date_display&gt;&lt;_db_updated&gt;PubMed&lt;/_db_updated&gt;&lt;_doi&gt;10.1001/jama.2020.21360&lt;/_doi&gt;&lt;_impact_factor&gt; 157.335&lt;/_impact_factor&gt;&lt;_isbn&gt;1538-3598 (Electronic); 0098-7484 (Linking)&lt;/_isbn&gt;&lt;_issue&gt;24&lt;/_issue&gt;&lt;_journal&gt;JAMA&lt;/_journal&gt;&lt;_language&gt;eng&lt;/_language&gt;&lt;_modified&gt;65116714&lt;/_modified&gt;&lt;_pages&gt;2536-2547&lt;/_pages&gt;&lt;_social_category&gt;医学(1)&lt;/_social_category&gt;&lt;_subject_headings&gt;Adenocarcinoma/etiology; Barrett Esophagus/etiology; Diagnosis, Differential; Esophageal Neoplasms/etiology; *Fundoplication; Gastroesophageal Reflux/complications/*diagnosis/*therapy; Humans; Omeprazole/administration &amp;amp; dosage; Proton Pump Inhibitors/administration &amp;amp; dosage/adverse effects/*therapeutic use; Risk Reduction Behavior&lt;/_subject_headings&gt;&lt;_tertiary_title&gt;JAMA&lt;/_tertiary_title&gt;&lt;_type_work&gt;Journal Article; Research Support, Non-U.S. Gov&amp;apos;t; Review&lt;/_type_work&gt;&lt;_url&gt;http://www.ncbi.nlm.nih.gov/entrez/query.fcgi?cmd=Retrieve&amp;amp;db=pubmed&amp;amp;dopt=Abstract&amp;amp;list_uids=33351048&amp;amp;query_hl=1&lt;/_url&gt;&lt;_volume&gt;324&lt;/_volume&gt;&lt;/Details&gt;&lt;Extra&gt;&lt;DBUID&gt;{C3DDB144-B9A5-4BD3-B74E-FCFC25704025}&lt;/DBUID&gt;&lt;/Extra&gt;&lt;/Item&gt;&lt;/References&gt;&lt;/Group&gt;&lt;/Citation&gt;_x000a_"/>
    <w:docVar w:name="NE.Ref{6D6D6602-89EB-4F67-A0E7-43BF8DBA424C}" w:val=" ADDIN NE.Ref.{6D6D6602-89EB-4F67-A0E7-43BF8DBA424C}&lt;Citation&gt;&lt;Group&gt;&lt;References&gt;&lt;Item&gt;&lt;ID&gt;540&lt;/ID&gt;&lt;UID&gt;{15F2D642-B68F-4254-BA29-A44F36F6F6F0}&lt;/UID&gt;&lt;Title&gt;Randomised phase 3 trial: tegoprazan, a novel potassium-competitive acid blocker,  vs. esomeprazole in patients with erosive oesophagitis&lt;/Title&gt;&lt;Template&gt;Journal Article&lt;/Template&gt;&lt;Star&gt;0&lt;/Star&gt;&lt;Tag&gt;0&lt;/Tag&gt;&lt;Author&gt;Lee, K J; Son, B K; Kim, G H; Jung, H K; Jung, H Y; Chung, I K; Sung, I K; Kim, J I; Kim, J H; Lee, J S; Kwon, J G; Park, J H; Huh, K C; Park, K S; Park, M I; Kim, N; Lee, O Y; Jee, S R; Lee, S K; Youn, S J; Kim, S K; Lee, S T; Hong, S J; Choi, S C; Kim, T N; Youn, Y H; Park, H J; Kang, M J; Park, C H; Kim, B T; Youn, S; Song, G S; Rhee, P L&lt;/Author&gt;&lt;Year&gt;2019&lt;/Year&gt;&lt;Details&gt;&lt;_accessed&gt;65116715&lt;/_accessed&gt;&lt;_accession_num&gt;30843245&lt;/_accession_num&gt;&lt;_author_adr&gt;Suwon, Korea.; Seoul, Korea.; Busan, Korea.; Seoul, Korea.; Seoul, Korea.; Cheonan, Korea.; Seoul, Korea.; Seoul, Korea.; Anyang, Korea.; Seoul, Korea.; Daegu, Korea.; Seoul, Korea.; Daejeon, Korea.; Daegu, Korea.; Busan, Korea.; Seongnam, Korea.; Seoul, Korea.; Busan, Korea.; Seoul, Korea.; Cheongju, Korea.; Daegu, Korea.; Jeonju, Korea.; Bucheon, Korea.; Iksan, Korea.; Daegu, Korea.; Seoul, Korea.; Seoul, Korea.; Seoul, Korea.; Seoul, Korea.; Seoul, Korea.; Seoul, Korea.; Seoul, Korea.; Seoul, Korea.&lt;/_author_adr&gt;&lt;_collection_scope&gt;SCIE&lt;/_collection_scope&gt;&lt;_created&gt;65116666&lt;/_created&gt;&lt;_custom1&gt;24&lt;/_custom1&gt;&lt;_date&gt;2019-04-01&lt;/_date&gt;&lt;_date_display&gt;2019 Apr&lt;/_date_display&gt;&lt;_db_updated&gt;PubMed&lt;/_db_updated&gt;&lt;_doi&gt;10.1111/apt.15185&lt;/_doi&gt;&lt;_impact_factor&gt;   9.524&lt;/_impact_factor&gt;&lt;_isbn&gt;1365-2036 (Electronic); 0269-2813 (Print); 0269-2813 (Linking)&lt;/_isbn&gt;&lt;_issue&gt;7&lt;/_issue&gt;&lt;_journal&gt;Aliment Pharmacol Ther&lt;/_journal&gt;&lt;_language&gt;eng&lt;/_language&gt;&lt;_modified&gt;65116723&lt;/_modified&gt;&lt;_ori_publication&gt;(c) 2019 The Authors. Alimentary Pharmacology &amp;amp; Therapeutics Published by John _x000d__x000a_      Wiley &amp;amp; Sons Ltd.&lt;/_ori_publication&gt;&lt;_pages&gt;864-872&lt;/_pages&gt;&lt;_social_category&gt;医学(1)&lt;/_social_category&gt;&lt;_subject_headings&gt;Adult; Aged; Anti-Ulcer Agents/*administration &amp;amp; dosage; Benzene Derivatives/*administration &amp;amp; dosage; Double-Blind Method; Esomeprazole/*administration &amp;amp; dosage; Esophagitis/*diagnosis/*drug therapy; Female; Humans; Imidazoles/*administration &amp;amp; dosage; Male; Middle Aged; Potassium; Proton Pump Inhibitors/*administration &amp;amp; dosage; Treatment Outcome; Wound Healing/drug effects/physiology; Young Adult&lt;/_subject_headings&gt;&lt;_tertiary_title&gt;Alimentary pharmacology &amp;amp; therapeutics&lt;/_tertiary_title&gt;&lt;_type_work&gt;Clinical Trial, Phase III; Comparative Study; Journal Article; Multicenter Study; Randomized Controlled Trial; Research Support, Non-U.S. Gov&amp;apos;t&lt;/_type_work&gt;&lt;_url&gt;http://www.ncbi.nlm.nih.gov/entrez/query.fcgi?cmd=Retrieve&amp;amp;db=pubmed&amp;amp;dopt=Abstract&amp;amp;list_uids=30843245&amp;amp;query_hl=1&lt;/_url&gt;&lt;_volume&gt;49&lt;/_volume&gt;&lt;/Details&gt;&lt;Extra&gt;&lt;DBUID&gt;{C3DDB144-B9A5-4BD3-B74E-FCFC25704025}&lt;/DBUID&gt;&lt;/Extra&gt;&lt;/Item&gt;&lt;/References&gt;&lt;/Group&gt;&lt;Group&gt;&lt;References&gt;&lt;Item&gt;&lt;ID&gt;551&lt;/ID&gt;&lt;UID&gt;{2FD86CDF-A2D9-4766-9164-4DB1FF8D39FB}&lt;/UID&gt;&lt;Title&gt;Randomised clinical trial: tegoprazan, a novel potassium-competitive acid  blocker, or lansoprazole in the treatment of gastric ulcer&lt;/Title&gt;&lt;Template&gt;Journal Article&lt;/Template&gt;&lt;Star&gt;0&lt;/Star&gt;&lt;Tag&gt;0&lt;/Tag&gt;&lt;Author&gt;Cho, Y K; Choi, M G; Choi, S C; Lee, K M; Kim, T O; Park, S H; Moon, J S; Lim, Y J; Kang, D H; Cheon, G J; Baik, G H; Kim, K O; Cho, K B; Jang, J S; Park, J J; Son, B K; Jung, H K; Kim, B W; Kim, S K; Lee, S T; Cha, J M; Kim, A R; Kim, E J; Park, H W; Song, G S&lt;/Author&gt;&lt;Year&gt;2020&lt;/Year&gt;&lt;Details&gt;&lt;_accessed&gt;65116725&lt;/_accessed&gt;&lt;_accession_num&gt;32701188&lt;/_accession_num&gt;&lt;_author_adr&gt;Seoul, Korea.; Seoul, Korea.; Iksan, Korea.; Suwon, Korea.; Busan, Korea.; Seoul, Korea.; Seoul, Korea.; Goyang, Korea.; Yangsan, Korea.; Gangneung, Korea.; Chuncheon, Korea.; Incheon, Korea.; Daegu, Korea.; Busan, Korea.; Seoul, Korea.; Seoul, Korea.; Seoul, Korea.; Incheon, Korea.; Daegu, Korea.; Jeonju, Korea.; Seoul, Korea.; Seoul, Korea.; Seoul, Korea.; Seoul, Korea.; Seoul, Korea.&lt;/_author_adr&gt;&lt;_collection_scope&gt;SCIE&lt;/_collection_scope&gt;&lt;_created&gt;65116699&lt;/_created&gt;&lt;_custom1&gt;33&lt;/_custom1&gt;&lt;_date&gt;2020-09-01&lt;/_date&gt;&lt;_date_display&gt;2020 Sep&lt;/_date_display&gt;&lt;_db_updated&gt;PubMed&lt;/_db_updated&gt;&lt;_doi&gt;10.1111/apt.15865&lt;/_doi&gt;&lt;_impact_factor&gt;   9.524&lt;/_impact_factor&gt;&lt;_isbn&gt;1365-2036 (Electronic); 0269-2813 (Print); 0269-2813 (Linking)&lt;/_isbn&gt;&lt;_issue&gt;5&lt;/_issue&gt;&lt;_journal&gt;Aliment Pharmacol Ther&lt;/_journal&gt;&lt;_language&gt;eng&lt;/_language&gt;&lt;_modified&gt;65116725&lt;/_modified&gt;&lt;_ori_publication&gt;(c) 2020 The Authors. Alimentary Pharmacology &amp;amp; Therapeutics published by John _x000d__x000a_      Wiley &amp;amp; Sons Ltd.&lt;/_ori_publication&gt;&lt;_pages&gt;789-797&lt;/_pages&gt;&lt;_social_category&gt;医学(1)&lt;/_social_category&gt;&lt;_subject_headings&gt;Adult; Aged; Anti-Ulcer Agents/administration &amp;amp; dosage/adverse effects; Benzene Derivatives/*administration &amp;amp; dosage/adverse effects; Dose-Response Relationship, Drug; Double-Blind Method; Drug Administration Schedule; Female; Humans; Imidazoles/*administration &amp;amp; dosage/adverse effects; Lansoprazole/*administration &amp;amp; dosage/adverse effects; Male; Middle Aged; Potassium/metabolism; Proton Pump Inhibitors/administration &amp;amp; dosage/adverse effects; Republic of Korea; Stomach Ulcer/*drug therapy; Treatment Outcome; Wound Healing/drug effects&lt;/_subject_headings&gt;&lt;_tertiary_title&gt;Alimentary pharmacology &amp;amp; therapeutics&lt;/_tertiary_title&gt;&lt;_type_work&gt;Clinical Trial, Phase III; Journal Article; Multicenter Study; Randomized Controlled Trial; Research Support, Non-U.S. Gov&amp;apos;t&lt;/_type_work&gt;&lt;_url&gt;http://www.ncbi.nlm.nih.gov/entrez/query.fcgi?cmd=Retrieve&amp;amp;db=pubmed&amp;amp;dopt=Abstract&amp;amp;list_uids=32701188&amp;amp;query_hl=1&lt;/_url&gt;&lt;_volume&gt;52&lt;/_volume&gt;&lt;/Details&gt;&lt;Extra&gt;&lt;DBUID&gt;{C3DDB144-B9A5-4BD3-B74E-FCFC25704025}&lt;/DBUID&gt;&lt;/Extra&gt;&lt;/Item&gt;&lt;/References&gt;&lt;/Group&gt;&lt;Group&gt;&lt;References&gt;&lt;Item&gt;&lt;ID&gt;552&lt;/ID&gt;&lt;UID&gt;{2931B7A7-C3E2-4239-80A9-D180E6A8DB8F}&lt;/UID&gt;&lt;Title&gt;Effects of Tegoprazan Versus Esomeprazole on Nighttime Heartburn and Sleep  Quality in Gastroesophageal Reflux Disease: A Multicenter Double-blind Randomized  Controlled Trial&lt;/Title&gt;&lt;Template&gt;Journal Article&lt;/Template&gt;&lt;Star&gt;1&lt;/Star&gt;&lt;Tag&gt;0&lt;/Tag&gt;&lt;Author&gt;Kim, J S; Seo, S I; Kang, S H; Lee, S K; Kim, A R; Park, H W; Kim, B T; Song, G S&lt;/Author&gt;&lt;Year&gt;2023&lt;/Year&gt;&lt;Details&gt;&lt;_accessed&gt;65116725&lt;/_accessed&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collection_scope&gt;SCIE&lt;/_collection_scope&gt;&lt;_created&gt;65116702&lt;/_created&gt;&lt;_custom1&gt;34&lt;/_custom1&gt;&lt;_date&gt;2023-01-30&lt;/_date&gt;&lt;_date_display&gt;2023 Jan 30&lt;/_date_display&gt;&lt;_db_updated&gt;PubMed&lt;/_db_updated&gt;&lt;_doi&gt;10.5056/jnm22104&lt;/_doi&gt;&lt;_impact_factor&gt;   4.725&lt;/_impact_factor&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modified&gt;65116725&lt;/_modified&gt;&lt;_pages&gt;58-64&lt;/_pages&gt;&lt;_social_category&gt;医学(2)&lt;/_social_category&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Details&gt;&lt;Extra&gt;&lt;DBUID&gt;{C3DDB144-B9A5-4BD3-B74E-FCFC25704025}&lt;/DBUID&gt;&lt;/Extra&gt;&lt;/Item&gt;&lt;/References&gt;&lt;/Group&gt;&lt;Group&gt;&lt;References&gt;&lt;Item&gt;&lt;ID&gt;555&lt;/ID&gt;&lt;UID&gt;{46F103B0-AC9A-40B4-B013-A3F992F512C1}&lt;/UID&gt;&lt;Title&gt;Randomised clinical trial: comparison of tegoprazan and lansoprazole as  maintenance therapy for healed mild erosive oesophagitis&lt;/Title&gt;&lt;Template&gt;Journal Article&lt;/Template&gt;&lt;Star&gt;0&lt;/Star&gt;&lt;Tag&gt;0&lt;/Tag&gt;&lt;Author&gt;Cho, Y K; Kim, J H; Kim, H S; Kim, T O; Oh, J H; Choi, S C; Moon, J S; Lee, S K; Jung, S W; Kim, S S; Jung, H K; Lee, S P; Cheon, G J; Park, M I; Jung, H Y; Ko, K H; Sung, I K; Lee, S H; Lee, J Y; Lee, S T; Rhee, P L; Kim, N; Hong, S J; Kim, H J; Kim, G H; Lee, K J; Kim, S K; Shin, W G; Lee, O Y&lt;/Author&gt;&lt;Year&gt;2023&lt;/Year&gt;&lt;Details&gt;&lt;_accessed&gt;65116725&lt;/_accessed&gt;&lt;_accession_num&gt;36314172&lt;/_accession_num&gt;&lt;_author_adr&gt;Catholic Photomedicine Research Institute, Seoul St. Mary&amp;apos;s Hospital, College of  Medicine, The Catholic University of Korea, Seoul, South Korea.; Department of Internal Medicine, Dongguk University Ilsan Hospital, Dongguk  University College of Medicine, Goyang, South Korea.; Department of Internal Medicine, Yonsei University Wonju College of Medicine,  Wonju Christian Hospital, Wonju, South Korea.; Department of Internal Medicine, Inje University Haeundae Paik Hospital, Busan,  South Korea.; Department of Internal Medicine, Eunpyeong St. Mary&amp;apos;s Hospital, College of  Medicine, The Catholic University of Korea, Seoul, South Korea.; Department of Internal Medicine, Wonkwang University Hospital, Iksan, South  Korea.; Department of Internal Medicine, Inje University, Seoul Paik Hospital, Seoul,  South Korea.; Department of Internal Medicine, Yonsei University College of Medicine, Severance  Hospital, Seoul, South Korea.; Department of Internal Medicine, Korea University College of Medicine, Seoul,  South Korea.; Department of Internal Medicine, Uijeongbu St. Mary&amp;apos;s Hospital, College of  Medicine, The Catholic University of Korea, Uijeongbu, South Korea.; Department of Internal Medicine, College of Medicine, Ewha Womans University,  Seoul, South Korea.; Department of Internal Medicine, Hallym University Dongtan Sacred Heart Hospital,  Hwaseong, South Korea.; Department of Internal Medicine, GangNeung Asan Hospital, College of Medicine,  Ulsan University, Gangneung, South Korea.; Department of Internal Medicine, Kosin University College of Medicine, Busan,  South Korea.; Department of Gastroenterology, Asan Medical Center, University of Ulsan, Seoul,  South Korea.; Digestive Disease Center, CHA Bundang Medical Center, CHA University, Seongnam,  South Korea.; Department of Internal Medicine, Konkuk University Medical Center, Seoul, South  Korea.; Department of Internal Medicine, Yeungnam University College of Medicine, Daegu,  South Korea.; Department of Internal Medicine, Keimyung University School of Medicine, Daegu,  South Korea.; Department of Internal Medicine, Jeonbuk National University Hospital, Jeonju,  South Korea.; Department of Medicine, Samsung Medical Center, Sungkyunkwan University, Seoul,  South Korea.; Department of Internal Medicine, Seoul National University Bundang Hospital,  Seongnam and Seoul National University College of Medicine, Seoul, South Korea.; Department of Internal Medicine, Soonchunhyang University College of Medicine,  Bucheon, South Korea.; Department of Internal Medicine, Gyeongsang National University Changwon  Hospital, Changwon, South Korea.; Department of Internal Medicine, Pusan National University College of Medicine  and Biomedical Research Institute, Pusan National University Hospital, Busan,  South Korea.; Department of Gastroenterology, Ajou University Hospital, Ajou University School  of Medicine, Suwon, South Korea.; Department of Internal Medicine, Kyungpook National University Hospital, Daegu,  South Korea.; Department of Internal Medicine, Hallym University College of Medicine/Institute  for Liver and Digestive Diseases, Chuncheon, South Korea.; Department of Internal Medicine, Hanyang University College of Medicine, Seoul,  South Korea.&lt;/_author_adr&gt;&lt;_collection_scope&gt;SCIE&lt;/_collection_scope&gt;&lt;_created&gt;65116703&lt;/_created&gt;&lt;_custom1&gt;35&lt;/_custom1&gt;&lt;_date&gt;2023-01-01&lt;/_date&gt;&lt;_date_display&gt;2023 Jan&lt;/_date_display&gt;&lt;_db_updated&gt;PubMed&lt;/_db_updated&gt;&lt;_doi&gt;10.1111/apt.17255&lt;/_doi&gt;&lt;_impact_factor&gt;   9.524&lt;/_impact_factor&gt;&lt;_isbn&gt;1365-2036 (Electronic); 0269-2813 (Print); 0269-2813 (Linking)&lt;/_isbn&gt;&lt;_issue&gt;1&lt;/_issue&gt;&lt;_journal&gt;Aliment Pharmacol Ther&lt;/_journal&gt;&lt;_language&gt;eng&lt;/_language&gt;&lt;_modified&gt;65116725&lt;/_modified&gt;&lt;_ori_publication&gt;(c) 2022 The Authors. Alimentary Pharmacology &amp;amp; Therapeutics published by John _x000d__x000a_      Wiley &amp;amp; Sons Ltd.&lt;/_ori_publication&gt;&lt;_pages&gt;72-80&lt;/_pages&gt;&lt;_social_category&gt;医学(1)&lt;/_social_category&gt;&lt;_subject_headings&gt;Humans; Lansoprazole/therapeutic use; *Gastrins&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6314172&amp;amp;query_hl=1&lt;/_url&gt;&lt;_volume&gt;57&lt;/_volume&gt;&lt;/Details&gt;&lt;Extra&gt;&lt;DBUID&gt;{C3DDB144-B9A5-4BD3-B74E-FCFC25704025}&lt;/DBUID&gt;&lt;/Extra&gt;&lt;/Item&gt;&lt;/References&gt;&lt;/Group&gt;&lt;/Citation&gt;_x000a_"/>
    <w:docVar w:name="NE.Ref{6DE5F2BA-192D-4A90-A24D-9934635CA274}" w:val=" ADDIN NE.Ref.{6DE5F2BA-192D-4A90-A24D-9934635CA274}&lt;Citation&gt;&lt;Group&gt;&lt;References&gt;&lt;Item&gt;&lt;ID&gt;539&lt;/ID&gt;&lt;UID&gt;{72C8F13C-E560-4E61-A630-11935AC788AA}&lt;/UID&gt;&lt;Title&gt;Phase III, randomised, double-blind, multicentre study to evaluate the efficacy  and safety of vonoprazan compared with lansoprazole in Asian patients with  erosive oesophagitis&lt;/Title&gt;&lt;Template&gt;Journal Article&lt;/Template&gt;&lt;Star&gt;0&lt;/Star&gt;&lt;Tag&gt;0&lt;/Tag&gt;&lt;Author&gt;Xiao, Y; Zhang, S; Dai, N; Fei, G; Goh, K L; Chun, H J; Sheu, B S; Chong, C F; Funao, N; Zhou, W; Chen, M&lt;/Author&gt;&lt;Year&gt;2020&lt;/Year&gt;&lt;Details&gt;&lt;_accessed&gt;65116714&lt;/_accessed&gt;&lt;_accession_num&gt;31409606&lt;/_accession_num&gt;&lt;_author_adr&gt;Department of Gastroenterology and Hepatology, The First Affiliated Hospital, Sun  Yat-sen University, Guangzhou, China.; Department of Gastroenterology, Beijing Friendship Hospital, Capital Medical  University, Beijing, China.; Department of Gastroenterology, Sir Run Run Shaw Hospital, School of Medicine,  Zhejiang University, Zhejiang, China.; Department of Gastroenterology, Peking Union Medical College Hospital, Beijing,  China.; Division of Gastroenterology, Department of Medicine, University of Malaya, Kuala  Lumpur, Malaysia.; Division of Gastroenterology and Hepatology, Department of Internal Medicine,  Institute of Gastrointestinal Medical Instrument Research, Korea University  College of Medicine, Seoul, Republic of Korea.; Department of Internal Medicine, National Cheng Kung University Hospital and  Tainan Hospital, Tainan, Taiwan.; Gastroenterology Therapeutic Area Unit, Takeda Development Center Asia,  Singapore, Singapore.; Takeda Development Center Japan, Takeda Pharmaceutical Company, Osaka, Japan.; Department of Clinical Science, Takeda Pharmaceutical Company, Cambridge,  Massachusetts, USA.; Department of Gastroenterology and Hepatology, The First Affiliated Hospital, Sun  Yat-sen University, Guangzhou, China chenminhu@mail.sysu.edu.cn.&lt;/_author_adr&gt;&lt;_collection_scope&gt;SCIE&lt;/_collection_scope&gt;&lt;_created&gt;65116664&lt;/_created&gt;&lt;_custom1&gt;23&lt;/_custom1&gt;&lt;_date&gt;2020-02-01&lt;/_date&gt;&lt;_date_display&gt;2020 Feb&lt;/_date_display&gt;&lt;_db_updated&gt;PubMed&lt;/_db_updated&gt;&lt;_doi&gt;10.1136/gutjnl-2019-318365&lt;/_doi&gt;&lt;_impact_factor&gt;  31.793&lt;/_impact_factor&gt;&lt;_isbn&gt;1468-3288 (Electronic); 0017-5749 (Print); 0017-5749 (Linking)&lt;/_isbn&gt;&lt;_issue&gt;2&lt;/_issue&gt;&lt;_journal&gt;Gut&lt;/_journal&gt;&lt;_keywords&gt;erosive oesophagitis; gastric acid; gastro-oesophageal reflux disease; proton pump inhibition&lt;/_keywords&gt;&lt;_language&gt;eng&lt;/_language&gt;&lt;_modified&gt;65116715&lt;/_modified&gt;&lt;_ori_publication&gt;(c) Author(s) (or their employer(s)) 2020. Re-use permitted under CC BY-NC. No _x000d__x000a_      commercial re-use. See rights and permissions. Published by BMJ.&lt;/_ori_publication&gt;&lt;_pages&gt;224-230&lt;/_pages&gt;&lt;_social_category&gt;医学(1)&lt;/_social_category&gt;&lt;_subject_headings&gt;Adult; Aged; Double-Blind Method; Drug Administration Schedule; Esophagitis, Peptic/*drug therapy; Female; Humans; Lansoprazole/administration &amp;amp; dosage/adverse effects/*therapeutic use; Male; Middle Aged; Proton Pump Inhibitors/administration &amp;amp; dosage/adverse effects/*therapeutic use; Pyrroles/administration &amp;amp; dosage/adverse effects/*therapeutic use; Severity of Illness Index; Sulfonamides/administration &amp;amp; dosage/adverse effects/*therapeutic use; Treatment Outcome; Wound Healing&lt;/_subject_headings&gt;&lt;_tertiary_title&gt;Gut&lt;/_tertiary_title&gt;&lt;_type_work&gt;Clinical Trial, Phase III; Comparative Study; Journal Article; Multicenter Study; Randomized Controlled Trial; Research Support, Non-U.S. Gov&amp;apos;t&lt;/_type_work&gt;&lt;_url&gt;http://www.ncbi.nlm.nih.gov/entrez/query.fcgi?cmd=Retrieve&amp;amp;db=pubmed&amp;amp;dopt=Abstract&amp;amp;list_uids=31409606&amp;amp;query_hl=1&lt;/_url&gt;&lt;_volume&gt;69&lt;/_volume&gt;&lt;/Details&gt;&lt;Extra&gt;&lt;DBUID&gt;{C3DDB144-B9A5-4BD3-B74E-FCFC25704025}&lt;/DBUID&gt;&lt;/Extra&gt;&lt;/Item&gt;&lt;/References&gt;&lt;/Group&gt;&lt;/Citation&gt;_x000a_"/>
    <w:docVar w:name="NE.Ref{6F32D877-4803-4D39-915E-AF2A9F215D10}" w:val=" ADDIN NE.Ref.{6F32D877-4803-4D39-915E-AF2A9F215D10}&lt;Citation&gt;&lt;Group&gt;&lt;References&gt;&lt;Item&gt;&lt;ID&gt;544&lt;/ID&gt;&lt;UID&gt;{00EF528D-0F67-4B88-AAEA-3A89F50DF46F}&lt;/UID&gt;&lt;Title&gt;Night-time gastric acid suppression by tegoprazan compared to vonoprazan or  esomeprazole&lt;/Title&gt;&lt;Template&gt;Journal Article&lt;/Template&gt;&lt;Star&gt;0&lt;/Star&gt;&lt;Tag&gt;0&lt;/Tag&gt;&lt;Author&gt;Yang, E; Kim, S; Kim, B; Kim, B; Kim, Y; Park, S S; Song, G S; Yu, K S; Jang, I J; Lee, S&lt;/Author&gt;&lt;Year&gt;2022&lt;/Year&gt;&lt;Details&gt;&lt;_accessed&gt;65116715&lt;/_accessed&gt;&lt;_accession_num&gt;35146797&lt;/_accession_num&gt;&lt;_author_adr&gt;Department of Clinical Pharmacology and Therapeutics, Seoul National University  College of Medicine and Hospital, Seoul, Republic of Korea.; Division of Clinical Development, HK inno. N Corp., Seoul, Republic of Korea.; Division of Clinical Development, HK inno. N Corp., Seoul, Republic of Korea.; Department of Laboratory Medicine, Seoul National University College of Medicine  and Hospital, Seoul, Republic of Korea.; Department of Laboratory Medicine, Seoul National University College of Medicine  and Hospital, Seoul, Republic of Korea.; Department of Laboratory Medicine, Seoul National University College of Medicine  and Hospital, Seoul, Republic of Korea.; Division of Clinical Development, HK inno. N Corp., Seoul, Republic of Korea.; Department of Clinical Pharmacology and Therapeutics, Seoul National University  College of Medicine and Hospital, Seoul, Republic of Korea.; Department of Clinical Pharmacology and Therapeutics, Seoul National University  College of Medicine and Hospital, Seoul, Republic of Korea.; Department of Clinical Pharmacology and Therapeutics, Seoul National University  College of Medicine and Hospital, Seoul, Republic of Korea.&lt;/_author_adr&gt;&lt;_collection_scope&gt;SCIE&lt;/_collection_scope&gt;&lt;_created&gt;65116671&lt;/_created&gt;&lt;_custom1&gt;28&lt;/_custom1&gt;&lt;_date&gt;2022-07-01&lt;/_date&gt;&lt;_date_display&gt;2022 Jul&lt;/_date_display&gt;&lt;_db_updated&gt;PubMed&lt;/_db_updated&gt;&lt;_doi&gt;10.1111/bcp.15268&lt;/_doi&gt;&lt;_impact_factor&gt;   3.716&lt;/_impact_factor&gt;&lt;_isbn&gt;1365-2125 (Electronic); 0306-5251 (Print); 0306-5251 (Linking)&lt;/_isbn&gt;&lt;_issue&gt;7&lt;/_issue&gt;&lt;_journal&gt;Br J Clin Pharmacol&lt;/_journal&gt;&lt;_keywords&gt;CYP2C19 genetic polymorphisms; gastroesophageal reflux disease; nocturnal acid breakthrough; potassium-competitive acid blocker; proton-pump inhibitor&lt;/_keywords&gt;&lt;_language&gt;eng&lt;/_language&gt;&lt;_modified&gt;65116715&lt;/_modified&gt;&lt;_ori_publication&gt;(c) 2022 The Authors. British Journal of Clinical Pharmacology published by John _x000d__x000a_      Wiley &amp;amp; Sons Ltd on behalf of British Pharmacological Society.&lt;/_ori_publication&gt;&lt;_pages&gt;3288-3296&lt;/_pages&gt;&lt;_social_category&gt;医学(2)&lt;/_social_category&gt;&lt;_subject_headings&gt;Benzene Derivatives; Cross-Over Studies; Cytochrome P-450 CYP2C19/genetics; *Esomeprazole/pharmacology; *Gastric Acid; Humans; Hydrogen-Ion Concentration; Imidazoles; Proton Pump Inhibitors/pharmacology; Pyrroles; Sulfonamides&lt;/_subject_headings&gt;&lt;_tertiary_title&gt;British journal of clinical pharmacology&lt;/_tertiary_title&gt;&lt;_type_work&gt;Journal Article; Randomized Controlled Trial; Research Support, Non-U.S. Gov&amp;apos;t&lt;/_type_work&gt;&lt;_url&gt;http://www.ncbi.nlm.nih.gov/entrez/query.fcgi?cmd=Retrieve&amp;amp;db=pubmed&amp;amp;dopt=Abstract&amp;amp;list_uids=35146797&amp;amp;query_hl=1&lt;/_url&gt;&lt;_volume&gt;88&lt;/_volume&gt;&lt;/Details&gt;&lt;Extra&gt;&lt;DBUID&gt;{C3DDB144-B9A5-4BD3-B74E-FCFC25704025}&lt;/DBUID&gt;&lt;/Extra&gt;&lt;/Item&gt;&lt;/References&gt;&lt;/Group&gt;&lt;/Citation&gt;_x000a_"/>
    <w:docVar w:name="NE.Ref{71067360-E160-4C25-BF6C-8153ADB9353C}" w:val=" ADDIN NE.Ref.{71067360-E160-4C25-BF6C-8153ADB9353C}&lt;Citation&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72154615-D608-47DA-A646-E05F35DF89B4}" w:val=" ADDIN NE.Ref.{72154615-D608-47DA-A646-E05F35DF89B4}&lt;Citation&gt;&lt;Group&gt;&lt;References&gt;&lt;Item&gt;&lt;ID&gt;519&lt;/ID&gt;&lt;UID&gt;{7BBC2EF9-1FF7-4818-8B36-DC3EAEBDB653}&lt;/UID&gt;&lt;Title&gt;AGA Clinical Practice Update on the Personalized Approach to the Evaluation and  Management of GERD: Expert Review&lt;/Title&gt;&lt;Template&gt;Journal Article&lt;/Template&gt;&lt;Star&gt;0&lt;/Star&gt;&lt;Tag&gt;0&lt;/Tag&gt;&lt;Author&gt;Yadlapati, R; Gyawali, C P; Pandolfino, J E&lt;/Author&gt;&lt;Year&gt;2022&lt;/Year&gt;&lt;Details&gt;&lt;_accessed&gt;65116711&lt;/_accessed&gt;&lt;_accession_num&gt;35123084&lt;/_accession_num&gt;&lt;_author_adr&gt;Division of Gastroenterology, University of California San Diego School of  Medicine, La Jolla, California.; Division of Gastroenterology, Washington University School of Medicine, St.  Louis, Missouri. Electronic address: cprakash@wustl.edu.; Division of Gastroenterology, Northwestern University Feinberg School of  Medicine, Chicago, Illinois.&lt;/_author_adr&gt;&lt;_collection_scope&gt;SCIE&lt;/_collection_scope&gt;&lt;_created&gt;65116604&lt;/_created&gt;&lt;_custom1&gt;3&lt;/_custom1&gt;&lt;_date&gt;2022-05-01&lt;/_date&gt;&lt;_date_display&gt;2022 May&lt;/_date_display&gt;&lt;_db_updated&gt;PubMed&lt;/_db_updated&gt;&lt;_doi&gt;10.1016/j.cgh.2022.01.025&lt;/_doi&gt;&lt;_impact_factor&gt;  13.576&lt;/_impact_factor&gt;&lt;_isbn&gt;1542-7714 (Electronic); 1542-3565 (Print); 1542-3565 (Linking)&lt;/_isbn&gt;&lt;_issue&gt;5&lt;/_issue&gt;&lt;_journal&gt;Clin Gastroenterol Hepatol&lt;/_journal&gt;&lt;_keywords&gt;Ambulatory Reflux Monitoring; Gastroesophageal Reflux Disease; Proton Pump Inhibitors&lt;/_keywords&gt;&lt;_language&gt;eng&lt;/_language&gt;&lt;_modified&gt;65116711&lt;/_modified&gt;&lt;_ori_publication&gt;Copyright (c) 2022 AGA Institute. Published by Elsevier Inc. All rights reserved.&lt;/_ori_publication&gt;&lt;_pages&gt;984-994.e1&lt;/_pages&gt;&lt;_social_category&gt;医学(1)&lt;/_social_category&gt;&lt;_subject_headings&gt;*Barrett Esophagus/diagnosis; Chest Pain/complications/drug therapy; *Gastroesophageal Reflux/complications/diagnosis/therapy; Heartburn/diagnosis/drug therapy/etiology; Humans; Proton Pump Inhibitors/therapeutic use&lt;/_subject_headings&gt;&lt;_tertiary_title&gt;Clinical gastroenterology and hepatology : the official clinical practice journal _x000d__x000a_      of the American Gastroenterological Association&lt;/_tertiary_title&gt;&lt;_type_work&gt;Practice Guideline; Research Support, N.I.H., Extramural; Review&lt;/_type_work&gt;&lt;_url&gt;http://www.ncbi.nlm.nih.gov/entrez/query.fcgi?cmd=Retrieve&amp;amp;db=pubmed&amp;amp;dopt=Abstract&amp;amp;list_uids=35123084&amp;amp;query_hl=1&lt;/_url&gt;&lt;_volume&gt;20&lt;/_volume&gt;&lt;/Details&gt;&lt;Extra&gt;&lt;DBUID&gt;{C3DDB144-B9A5-4BD3-B74E-FCFC25704025}&lt;/DBUID&gt;&lt;/Extra&gt;&lt;/Item&gt;&lt;/References&gt;&lt;/Group&gt;&lt;Group&gt;&lt;References&gt;&lt;Item&gt;&lt;ID&gt;520&lt;/ID&gt;&lt;UID&gt;{4DC36D14-3F1D-438A-866F-2510F9D7C950}&lt;/UID&gt;&lt;Title&gt;Evidence-based clinical practice guidelines for gastroesophageal reflux disease  2021&lt;/Title&gt;&lt;Template&gt;Journal Article&lt;/Template&gt;&lt;Star&gt;0&lt;/Star&gt;&lt;Tag&gt;0&lt;/Tag&gt;&lt;Author&gt;Iwakiri, K; Fujiwara, Y; Manabe, N; Ihara, E; Kuribayashi, S; Akiyama, J; Kondo, T; Yamashita, H; Ishimura, N; Kitasako, Y; Iijima, K; Koike, T; Omura, N; Nomura, T; Kawamura, O; Ohara, S; Ozawa, S; Kinoshita, Y; Mochida, S; Enomoto, N; Shimosegawa, T; Koike, K&lt;/Author&gt;&lt;Year&gt;2022&lt;/Year&gt;&lt;Details&gt;&lt;_accessed&gt;65116711&lt;/_accessed&gt;&lt;_accession_num&gt;35226174&lt;/_accession_num&gt;&lt;_author_adr&gt;Guidelines Committee for Creating and Evaluating the &amp;quot;Evidence-Based Clinical  Practice Guidelines for Gastroesophageal Reflux Disease&amp;quot;, The Japanese Society of  Gastroenterology, 6F Shimbashi i-MARK Building, 2-6-2 Shimbashi, Minato-ku,  Tokyo, 105-0004, Japan. k-iwa@nms.ac.jp.; Department of Gastroenterology, Nippon Medical School Graduate School of  Medicine, 1-1-5 Sendagi, Bunkyo-ku, Tokyo, 113-8603, Japan. k-iwa@nms.ac.jp.;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lt;/_author_adr&gt;&lt;_collection_scope&gt;SCIE&lt;/_collection_scope&gt;&lt;_created&gt;65116606&lt;/_created&gt;&lt;_custom1&gt;4&lt;/_custom1&gt;&lt;_date&gt;2022-04-01&lt;/_date&gt;&lt;_date_display&gt;2022 Apr&lt;/_date_display&gt;&lt;_db_updated&gt;PubMed&lt;/_db_updated&gt;&lt;_doi&gt;10.1007/s00535-022-01861-z&lt;/_doi&gt;&lt;_impact_factor&gt;   6.772&lt;/_impact_factor&gt;&lt;_isbn&gt;1435-5922 (Electronic); 0944-1174 (Print); 0944-1174 (Linking)&lt;/_isbn&gt;&lt;_issue&gt;4&lt;/_issue&gt;&lt;_journal&gt;J Gastroenterol&lt;/_journal&gt;&lt;_keywords&gt;Algorithm; Gastroesophageal reflux disease (GERD); Guidelines; Heartburn; Japanese traditional medicine; Non-erosive reflux disease; Potassium-competitive acid blocker (P-CAB); Prokinetic drug; Proton pump inhibitor; Reflux esophagitis; Vonoprazan&lt;/_keywords&gt;&lt;_language&gt;eng&lt;/_language&gt;&lt;_modified&gt;65116711&lt;/_modified&gt;&lt;_ori_publication&gt;(c) 2022. The Author(s).&lt;/_ori_publication&gt;&lt;_pages&gt;267-285&lt;/_pages&gt;&lt;_social_category&gt;医学(1)&lt;/_social_category&gt;&lt;_subject_headings&gt;*Esophagitis, Peptic/diagnosis/drug therapy; Evidence-Based Practice; *Gastroenterology; *Gastroesophageal Reflux/diagnosis/drug therapy; Humans; Proton Pump Inhibitors/therapeutic use&lt;/_subject_headings&gt;&lt;_tertiary_title&gt;Journal of gastroenterology&lt;/_tertiary_title&gt;&lt;_type_work&gt;Journal Article; Research Support, Non-U.S. Gov&amp;apos;t; Review&lt;/_type_work&gt;&lt;_url&gt;http://www.ncbi.nlm.nih.gov/entrez/query.fcgi?cmd=Retrieve&amp;amp;db=pubmed&amp;amp;dopt=Abstract&amp;amp;list_uids=35226174&amp;amp;query_hl=1&lt;/_url&gt;&lt;_volume&gt;57&lt;/_volume&gt;&lt;/Details&gt;&lt;Extra&gt;&lt;DBUID&gt;{C3DDB144-B9A5-4BD3-B74E-FCFC25704025}&lt;/DBUID&gt;&lt;/Extra&gt;&lt;/Item&gt;&lt;/References&gt;&lt;/Group&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7339E550-10BE-44CB-A023-7570C95E66FD}" w:val=" ADDIN NE.Ref.{7339E550-10BE-44CB-A023-7570C95E66FD}&lt;Citation&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7471CBC8-2220-43FB-9F3E-2197D4E90B01}" w:val=" ADDIN NE.Ref.{7471CBC8-2220-43FB-9F3E-2197D4E90B01}&lt;Citation&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7C618E34-6E62-4453-BA44-096B32F67B4E}" w:val=" ADDIN NE.Ref.{7C618E34-6E62-4453-BA44-096B32F67B4E}&lt;Citation&gt;&lt;Group&gt;&lt;References&gt;&lt;Item&gt;&lt;ID&gt;542&lt;/ID&gt;&lt;UID&gt;{762D696F-517F-429E-B055-F2C2A1DFCA34}&lt;/UID&gt;&lt;Title&gt;Acid-inhibitory effects of vonoprazan 20 mg compared with esomeprazole 20 mg or  rabeprazole 10 mg in healthy adult male subjects--a randomised open-label  cross-over study&lt;/Title&gt;&lt;Template&gt;Journal Article&lt;/Template&gt;&lt;Star&gt;0&lt;/Star&gt;&lt;Tag&gt;0&lt;/Tag&gt;&lt;Author&gt;Sakurai, Y; Mori, Y; Okamoto, H; Nishimura, A; Komura, E; Araki, T; Shiramoto, M&lt;/Author&gt;&lt;Year&gt;2015&lt;/Year&gt;&lt;Details&gt;&lt;_accessed&gt;65116715&lt;/_accessed&gt;&lt;_accession_num&gt;26193978&lt;/_accession_num&gt;&lt;_author_adr&gt;Takeda Pharmaceutical Company Ltd., Osaka, Japan.; Takeda Pharmaceutical Company Ltd., Osaka, Japan.; Takeda Pharmaceutical Company Ltd., Osaka, Japan.; Takeda Pharmaceutical Company Ltd., Osaka, Japan.; Takeda Pharmaceutical Company Ltd., Osaka, Japan.; Takeda Pharmaceutical Company Ltd., Osaka, Japan.; Medical Co. LTA Hakata Clinic, Fukuoka, Japan.&lt;/_author_adr&gt;&lt;_collection_scope&gt;SCIE&lt;/_collection_scope&gt;&lt;_created&gt;65116669&lt;/_created&gt;&lt;_custom1&gt;26&lt;/_custom1&gt;&lt;_date&gt;2015-09-01&lt;/_date&gt;&lt;_date_display&gt;2015 Sep&lt;/_date_display&gt;&lt;_db_updated&gt;PubMed&lt;/_db_updated&gt;&lt;_doi&gt;10.1111/apt.13325&lt;/_doi&gt;&lt;_impact_factor&gt;   9.524&lt;/_impact_factor&gt;&lt;_isbn&gt;1365-2036 (Electronic); 0269-2813 (Linking)&lt;/_isbn&gt;&lt;_issue&gt;6&lt;/_issue&gt;&lt;_journal&gt;Aliment Pharmacol Ther&lt;/_journal&gt;&lt;_language&gt;eng&lt;/_language&gt;&lt;_modified&gt;65116715&lt;/_modified&gt;&lt;_ori_publication&gt;(c) 2015 The Authors. Alimentary Pharmacology &amp;amp; Therapeutics published by John _x000d__x000a_      Wiley &amp;amp; Sons Ltd.&lt;/_ori_publication&gt;&lt;_pages&gt;719-30&lt;/_pages&gt;&lt;_social_category&gt;医学(1)&lt;/_social_category&gt;&lt;_subject_headings&gt;Adult; Cross-Over Studies; Esomeprazole/administration &amp;amp; dosage/adverse effects/*therapeutic use; Gastric Acid; Humans; Hydrogen-Ion Concentration; Male; Middle Aged; Proton Pump Inhibitors/*therapeutic use; Pyrroles/administration &amp;amp; dosage/adverse effects/*therapeutic use; Rabeprazole/administration &amp;amp; dosage/adverse effects/*therapeutic use; Research Design; Sulfonamides/administration &amp;amp; dosage/adverse effects/*therapeutic use&lt;/_subject_headings&gt;&lt;_tertiary_title&gt;Alimentary pharmacology &amp;amp; therapeutics&lt;/_tertiary_title&gt;&lt;_type_work&gt;Comparative Study; Journal Article; Randomized Controlled Trial; Research Support, Non-U.S. Gov&amp;apos;t&lt;/_type_work&gt;&lt;_url&gt;http://www.ncbi.nlm.nih.gov/entrez/query.fcgi?cmd=Retrieve&amp;amp;db=pubmed&amp;amp;dopt=Abstract&amp;amp;list_uids=26193978&amp;amp;query_hl=1&lt;/_url&gt;&lt;_volume&gt;42&lt;/_volume&gt;&lt;/Details&gt;&lt;Extra&gt;&lt;DBUID&gt;{C3DDB144-B9A5-4BD3-B74E-FCFC25704025}&lt;/DBUID&gt;&lt;/Extra&gt;&lt;/Item&gt;&lt;/References&gt;&lt;/Group&gt;&lt;/Citation&gt;_x000a_"/>
    <w:docVar w:name="NE.Ref{86D0D6B0-E11E-4E5A-BB05-B5A0F19603C8}" w:val=" ADDIN NE.Ref.{86D0D6B0-E11E-4E5A-BB05-B5A0F19603C8}&lt;Citation&gt;&lt;Group&gt;&lt;References&gt;&lt;Item&gt;&lt;ID&gt;36&lt;/ID&gt;&lt;UID&gt;{5CFB000C-C656-495B-B54D-3B75FF09A726}&lt;/UID&gt;&lt;Title&gt;Effects of Tegoprazan Versus Esomeprazole on Nighttime Heartburn and Sleep  Quality in Gastroesophageal Reflux Disease: A Multicenter Double-blind Randomized  Controlled Trial&lt;/Title&gt;&lt;Template&gt;Journal Article&lt;/Template&gt;&lt;Star&gt;1&lt;/Star&gt;&lt;Tag&gt;0&lt;/Tag&gt;&lt;Author&gt;Kim, J S; Seo, S I; Kang, S H; Lee, S K; Kim, A R; Park, H W; Kim, B T; Song, G S&lt;/Author&gt;&lt;Year&gt;2023&lt;/Year&gt;&lt;Details&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custom1&gt;34&lt;/_custom1&gt;&lt;_date_display&gt;2023 Jan 30&lt;/_date_display&gt;&lt;_date&gt;2023-01-30&lt;/_date&gt;&lt;_doi&gt;10.5056/jnm22104&lt;/_doi&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pages&gt;58-64&lt;/_pages&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_created&gt;65119244&lt;/_created&gt;&lt;_modified&gt;65119244&lt;/_modified&gt;&lt;_impact_factor&gt;   4.924&lt;/_impact_factor&gt;&lt;/Details&gt;&lt;Extra&gt;&lt;DBUID&gt;{0F498167-812F-4201-A2AC-A04DE753A04A}&lt;/DBUID&gt;&lt;/Extra&gt;&lt;/Item&gt;&lt;/References&gt;&lt;/Group&gt;&lt;/Citation&gt;_x000a_"/>
    <w:docVar w:name="NE.Ref{8783C12D-0EB5-4106-9BA7-2BF48DF421B5}" w:val=" ADDIN NE.Ref.{8783C12D-0EB5-4106-9BA7-2BF48DF421B5}&lt;Citation&gt;&lt;Group&gt;&lt;References&gt;&lt;Item&gt;&lt;ID&gt;540&lt;/ID&gt;&lt;UID&gt;{15F2D642-B68F-4254-BA29-A44F36F6F6F0}&lt;/UID&gt;&lt;Title&gt;Randomised phase 3 trial: tegoprazan, a novel potassium-competitive acid blocker,  vs. esomeprazole in patients with erosive oesophagitis&lt;/Title&gt;&lt;Template&gt;Journal Article&lt;/Template&gt;&lt;Star&gt;0&lt;/Star&gt;&lt;Tag&gt;0&lt;/Tag&gt;&lt;Author&gt;Lee, K J; Son, B K; Kim, G H; Jung, H K; Jung, H Y; Chung, I K; Sung, I K; Kim, J I; Kim, J H; Lee, J S; Kwon, J G; Park, J H; Huh, K C; Park, K S; Park, M I; Kim, N; Lee, O Y; Jee, S R; Lee, S K; Youn, S J; Kim, S K; Lee, S T; Hong, S J; Choi, S C; Kim, T N; Youn, Y H; Park, H J; Kang, M J; Park, C H; Kim, B T; Youn, S; Song, G S; Rhee, P L&lt;/Author&gt;&lt;Year&gt;2019&lt;/Year&gt;&lt;Details&gt;&lt;_accessed&gt;65116715&lt;/_accessed&gt;&lt;_accession_num&gt;30843245&lt;/_accession_num&gt;&lt;_author_adr&gt;Suwon, Korea.; Seoul, Korea.; Busan, Korea.; Seoul, Korea.; Seoul, Korea.; Cheonan, Korea.; Seoul, Korea.; Seoul, Korea.; Anyang, Korea.; Seoul, Korea.; Daegu, Korea.; Seoul, Korea.; Daejeon, Korea.; Daegu, Korea.; Busan, Korea.; Seongnam, Korea.; Seoul, Korea.; Busan, Korea.; Seoul, Korea.; Cheongju, Korea.; Daegu, Korea.; Jeonju, Korea.; Bucheon, Korea.; Iksan, Korea.; Daegu, Korea.; Seoul, Korea.; Seoul, Korea.; Seoul, Korea.; Seoul, Korea.; Seoul, Korea.; Seoul, Korea.; Seoul, Korea.; Seoul, Korea.&lt;/_author_adr&gt;&lt;_collection_scope&gt;SCIE&lt;/_collection_scope&gt;&lt;_created&gt;65116666&lt;/_created&gt;&lt;_custom1&gt;24&lt;/_custom1&gt;&lt;_date&gt;2019-04-01&lt;/_date&gt;&lt;_date_display&gt;2019 Apr&lt;/_date_display&gt;&lt;_db_updated&gt;PubMed&lt;/_db_updated&gt;&lt;_doi&gt;10.1111/apt.15185&lt;/_doi&gt;&lt;_impact_factor&gt;   9.524&lt;/_impact_factor&gt;&lt;_isbn&gt;1365-2036 (Electronic); 0269-2813 (Print); 0269-2813 (Linking)&lt;/_isbn&gt;&lt;_issue&gt;7&lt;/_issue&gt;&lt;_journal&gt;Aliment Pharmacol Ther&lt;/_journal&gt;&lt;_language&gt;eng&lt;/_language&gt;&lt;_modified&gt;65116723&lt;/_modified&gt;&lt;_ori_publication&gt;(c) 2019 The Authors. Alimentary Pharmacology &amp;amp; Therapeutics Published by John _x000d__x000a_      Wiley &amp;amp; Sons Ltd.&lt;/_ori_publication&gt;&lt;_pages&gt;864-872&lt;/_pages&gt;&lt;_social_category&gt;医学(1)&lt;/_social_category&gt;&lt;_subject_headings&gt;Adult; Aged; Anti-Ulcer Agents/*administration &amp;amp; dosage; Benzene Derivatives/*administration &amp;amp; dosage; Double-Blind Method; Esomeprazole/*administration &amp;amp; dosage; Esophagitis/*diagnosis/*drug therapy; Female; Humans; Imidazoles/*administration &amp;amp; dosage; Male; Middle Aged; Potassium; Proton Pump Inhibitors/*administration &amp;amp; dosage; Treatment Outcome; Wound Healing/drug effects/physiology; Young Adult&lt;/_subject_headings&gt;&lt;_tertiary_title&gt;Alimentary pharmacology &amp;amp; therapeutics&lt;/_tertiary_title&gt;&lt;_type_work&gt;Clinical Trial, Phase III; Comparative Study; Journal Article; Multicenter Study; Randomized Controlled Trial; Research Support, Non-U.S. Gov&amp;apos;t&lt;/_type_work&gt;&lt;_url&gt;http://www.ncbi.nlm.nih.gov/entrez/query.fcgi?cmd=Retrieve&amp;amp;db=pubmed&amp;amp;dopt=Abstract&amp;amp;list_uids=30843245&amp;amp;query_hl=1&lt;/_url&gt;&lt;_volume&gt;49&lt;/_volume&gt;&lt;/Details&gt;&lt;Extra&gt;&lt;DBUID&gt;{C3DDB144-B9A5-4BD3-B74E-FCFC25704025}&lt;/DBUID&gt;&lt;/Extra&gt;&lt;/Item&gt;&lt;/References&gt;&lt;/Group&gt;&lt;/Citation&gt;_x000a_"/>
    <w:docVar w:name="NE.Ref{89671CF7-5950-4300-8008-E5C5F38475BE}" w:val=" ADDIN NE.Ref.{89671CF7-5950-4300-8008-E5C5F38475BE}&lt;Citation&gt;&lt;Group&gt;&lt;References&gt;&lt;Item&gt;&lt;ID&gt;529&lt;/ID&gt;&lt;UID&gt;{CED05B87-C0EB-4018-B1CA-C9DC50564868}&lt;/UID&gt;&lt;Title&gt;Global Prevalence and Risk Factors of Gastro-oesophageal Reflux Disease (GORD):  Systematic Review with Meta-analysis&lt;/Title&gt;&lt;Template&gt;Journal Article&lt;/Template&gt;&lt;Star&gt;0&lt;/Star&gt;&lt;Tag&gt;0&lt;/Tag&gt;&lt;Author&gt;Nirwan, J S; Hasan, S S; Babar, Z U; Conway, B R; Ghori, M U&lt;/Author&gt;&lt;Year&gt;2020&lt;/Year&gt;&lt;Details&gt;&lt;_accessed&gt;65116713&lt;/_accessed&gt;&lt;_accession_num&gt;32242117&lt;/_accession_num&gt;&lt;_author_adr&gt;Department of Pharmacy, School of Applied Sciences, University of Huddersfield,  HD1 3DH, Huddersfield, UK.; Department of Pharmacy, School of Applied Sciences, University of Huddersfield,  HD1 3DH, Huddersfield, UK.; Department of Pharmacy, School of Applied Sciences, University of Huddersfield,  HD1 3DH, Huddersfield, UK.; Department of Pharmacy, School of Applied Sciences, University of Huddersfield,  HD1 3DH, Huddersfield, UK.; Department of Pharmacy, School of Applied Sciences, University of Huddersfield,  HD1 3DH, Huddersfield, UK. m.ghori@hud.ac.uk.&lt;/_author_adr&gt;&lt;_collection_scope&gt;SCIE&lt;/_collection_scope&gt;&lt;_created&gt;65116632&lt;/_created&gt;&lt;_custom1&gt;12&lt;/_custom1&gt;&lt;_date&gt;2020-04-02&lt;/_date&gt;&lt;_date_display&gt;2020 Apr 2&lt;/_date_display&gt;&lt;_db_updated&gt;PubMed&lt;/_db_updated&gt;&lt;_doi&gt;10.1038/s41598-020-62795-1&lt;/_doi&gt;&lt;_impact_factor&gt;   4.996&lt;/_impact_factor&gt;&lt;_isbn&gt;2045-2322 (Electronic); 2045-2322 (Linking)&lt;/_isbn&gt;&lt;_issue&gt;1&lt;/_issue&gt;&lt;_journal&gt;Sci Rep&lt;/_journal&gt;&lt;_language&gt;eng&lt;/_language&gt;&lt;_modified&gt;65116713&lt;/_modified&gt;&lt;_pages&gt;5814&lt;/_pages&gt;&lt;_social_category&gt;综合性期刊(3)&lt;/_social_category&gt;&lt;_subject_headings&gt;Caribbean Region/epidemiology; China/epidemiology; Gastroesophageal Reflux/*epidemiology; Global Health; Humans; North America/epidemiology; Prevalence; Risk Factors; Turkey/epidemiology&lt;/_subject_headings&gt;&lt;_tertiary_title&gt;Scientific reports&lt;/_tertiary_title&gt;&lt;_type_work&gt;Journal Article; Meta-Analysis; Research Support, Non-U.S. Gov&amp;apos;t; Systematic Review&lt;/_type_work&gt;&lt;_url&gt;http://www.ncbi.nlm.nih.gov/entrez/query.fcgi?cmd=Retrieve&amp;amp;db=pubmed&amp;amp;dopt=Abstract&amp;amp;list_uids=32242117&amp;amp;query_hl=1&lt;/_url&gt;&lt;_volume&gt;10&lt;/_volume&gt;&lt;/Details&gt;&lt;Extra&gt;&lt;DBUID&gt;{C3DDB144-B9A5-4BD3-B74E-FCFC25704025}&lt;/DBUID&gt;&lt;/Extra&gt;&lt;/Item&gt;&lt;/References&gt;&lt;/Group&gt;&lt;/Citation&gt;_x000a_"/>
    <w:docVar w:name="NE.Ref{93B44742-16B6-43CA-8B3A-C22EBE58D0F0}" w:val=" ADDIN NE.Ref.{93B44742-16B6-43CA-8B3A-C22EBE58D0F0}&lt;Citation&gt;&lt;Group&gt;&lt;References&gt;&lt;Item&gt;&lt;ID&gt;537&lt;/ID&gt;&lt;UID&gt;{428C18EC-EB6B-41D5-AE58-B9F681EEDBF7}&lt;/UID&gt;&lt;Title&gt;Randomised clinical trial: a dose-ranging study of vonoprazan, a novel  potassium-competitive acid blocker, vs. lansoprazole for the treatment of erosive  oesophagitis&lt;/Title&gt;&lt;Template&gt;Journal Article&lt;/Template&gt;&lt;Star&gt;0&lt;/Star&gt;&lt;Tag&gt;0&lt;/Tag&gt;&lt;Author&gt;Ashida, K; Sakurai, Y; Nishimura, A; Kudou, K; Hiramatsu, N; Umegaki, E; Iwakiri, K; Chiba, T&lt;/Author&gt;&lt;Year&gt;2015&lt;/Year&gt;&lt;Details&gt;&lt;_accessed&gt;65116714&lt;/_accessed&gt;&lt;_accession_num&gt;26201312&lt;/_accession_num&gt;&lt;_author_adr&gt;Rakuwakai Otowa Hospital, Kyoto, Japan.; Takeda Pharmaceutical Company Ltd., Osaka, Japan.; Takeda Pharmaceutical Company Ltd., Osaka, Japan.; Takeda Pharmaceutical Company Ltd., Osaka, Japan.; Osaka University Graduate School of Medicine, Osaka, Japan.; Kobe University Graduate School of Medicine, Kobe, Japan.; Nippon Medical School Graduate School of Medicine, Tokyo, Japan.; Graduate School of Medicine and Faculty of Medicine, Kyoto University, Kyoto,  Japan.&lt;/_author_adr&gt;&lt;_collection_scope&gt;SCIE&lt;/_collection_scope&gt;&lt;_created&gt;65116649&lt;/_created&gt;&lt;_custom1&gt;21&lt;/_custom1&gt;&lt;_date&gt;2015-09-01&lt;/_date&gt;&lt;_date_display&gt;2015 Sep&lt;/_date_display&gt;&lt;_db_updated&gt;PubMed&lt;/_db_updated&gt;&lt;_doi&gt;10.1111/apt.13331&lt;/_doi&gt;&lt;_impact_factor&gt;   9.524&lt;/_impact_factor&gt;&lt;_isbn&gt;1365-2036 (Electronic); 0269-2813 (Print); 0269-2813 (Linking)&lt;/_isbn&gt;&lt;_issue&gt;6&lt;/_issue&gt;&lt;_journal&gt;Aliment Pharmacol Ther&lt;/_journal&gt;&lt;_language&gt;eng&lt;/_language&gt;&lt;_modified&gt;65116714&lt;/_modified&gt;&lt;_ori_publication&gt;(c) 2015 The Authors. Alimentary Pharmacology &amp;amp; Therapeutics published by John _x000d__x000a_      Wiley &amp;amp; Sons Ltd.&lt;/_ori_publication&gt;&lt;_pages&gt;685-95&lt;/_pages&gt;&lt;_social_category&gt;医学(1)&lt;/_social_category&gt;&lt;_subject_headings&gt;Adult; Aged; Dose-Response Relationship, Drug; Double-Blind Method; Esophagitis/*drug therapy; Female; Gastrins/blood; Humans; Lansoprazole/*therapeutic use; Los Angeles; Male; Middle Aged; Proton Pump Inhibitors/*therapeutic use; Pyrroles/administration &amp;amp; dosage/*therapeutic use; Sulfonamides/administration &amp;amp; dosage/*therapeutic use&lt;/_subject_headings&gt;&lt;_tertiary_title&gt;Alimentary pharmacology &amp;amp; therapeutics&lt;/_tertiary_title&gt;&lt;_type_work&gt;Comparative Study; Journal Article; Multicenter Study; Randomized Controlled Trial; Research Support, Non-U.S. Gov&amp;apos;t&lt;/_type_work&gt;&lt;_url&gt;http://www.ncbi.nlm.nih.gov/entrez/query.fcgi?cmd=Retrieve&amp;amp;db=pubmed&amp;amp;dopt=Abstract&amp;amp;list_uids=26201312&amp;amp;query_hl=1&lt;/_url&gt;&lt;_volume&gt;42&lt;/_volume&gt;&lt;/Details&gt;&lt;Extra&gt;&lt;DBUID&gt;{C3DDB144-B9A5-4BD3-B74E-FCFC25704025}&lt;/DBUID&gt;&lt;/Extra&gt;&lt;/Item&gt;&lt;/References&gt;&lt;/Group&gt;&lt;/Citation&gt;_x000a_"/>
    <w:docVar w:name="NE.Ref{9A5732A2-78BB-423A-818F-C68B62088B16}" w:val=" ADDIN NE.Ref.{9A5732A2-78BB-423A-818F-C68B62088B16}&lt;Citation&gt;&lt;Group&gt;&lt;References&gt;&lt;Item&gt;&lt;ID&gt;517&lt;/ID&gt;&lt;UID&gt;{BB560DA6-8E39-49C8-A992-1D2DBA0C8E14}&lt;/UID&gt;&lt;Title&gt;Gastro-oesophageal reflux disease&lt;/Title&gt;&lt;Template&gt;Journal Article&lt;/Template&gt;&lt;Star&gt;0&lt;/Star&gt;&lt;Tag&gt;0&lt;/Tag&gt;&lt;Author&gt;Fass, R; Boeckxstaens, G E; El-Serag, H; Rosen, R; Sifrim, D; Vaezi, M F&lt;/Author&gt;&lt;Year&gt;2021&lt;/Year&gt;&lt;Details&gt;&lt;_accessed&gt;65116710&lt;/_accessed&gt;&lt;_accession_num&gt;34326345&lt;/_accession_num&gt;&lt;_author_adr&gt;The Esophageal and Swallowing Center, Division of Gastroenterology and  Hepatology, MetroHealth Medical System, Case Western Reserve University,  Cleveland, OH, USA. ronnie.fass@gmail.com.; Translational Research Center for Gastrointestinal Disorders (TARGID), University  of Leuven, Leuven, Belgium.; Department of Medicine, Baylor College of Medicine, Houston, TX, USA.; Division of Gastroenterology, Hepatology and Nutrition, Boston Children&amp;apos;s  Hospital, Harvard Medical School, Boston, MA, USA.; Wingate Institute of Neurogastroenterology, Royal London Hospital, Barts and The  London School of Medicine and Dentistry, Queen Mary University of London, London,  UK.; Division of Gastroenterology, Hepatology, and Nutrition, Vanderbilt University  Medical Center, Nashville, TN, USA.&lt;/_author_adr&gt;&lt;_collection_scope&gt;SCIE&lt;/_collection_scope&gt;&lt;_created&gt;65116595&lt;/_created&gt;&lt;_custom1&gt;1&lt;/_custom1&gt;&lt;_date&gt;2021-07-29&lt;/_date&gt;&lt;_date_display&gt;2021 Jul 29&lt;/_date_display&gt;&lt;_db_updated&gt;PubMed&lt;/_db_updated&gt;&lt;_doi&gt;10.1038/s41572-021-00287-w&lt;/_doi&gt;&lt;_impact_factor&gt;  65.038&lt;/_impact_factor&gt;&lt;_isbn&gt;2056-676X (Electronic); 2056-676X (Linking)&lt;/_isbn&gt;&lt;_issue&gt;1&lt;/_issue&gt;&lt;_journal&gt;Nat Rev Dis Primers&lt;/_journal&gt;&lt;_language&gt;eng&lt;/_language&gt;&lt;_modified&gt;65116710&lt;/_modified&gt;&lt;_ori_publication&gt;(c) 2021. Springer Nature Limited.&lt;/_ori_publication&gt;&lt;_pages&gt;55&lt;/_pages&gt;&lt;_social_category&gt;医学(1)&lt;/_social_category&gt;&lt;_subject_headings&gt;*Gastroesophageal Reflux/diagnosis/epidemiology; Heartburn; Humans; Proton Pump Inhibitors/therapeutic use; Stomach&lt;/_subject_headings&gt;&lt;_tertiary_title&gt;Nature reviews. Disease primers&lt;/_tertiary_title&gt;&lt;_type_work&gt;Journal Article; Review&lt;/_type_work&gt;&lt;_url&gt;http://www.ncbi.nlm.nih.gov/entrez/query.fcgi?cmd=Retrieve&amp;amp;db=pubmed&amp;amp;dopt=Abstract&amp;amp;list_uids=34326345&amp;amp;query_hl=1&lt;/_url&gt;&lt;_volume&gt;7&lt;/_volume&gt;&lt;/Details&gt;&lt;Extra&gt;&lt;DBUID&gt;{C3DDB144-B9A5-4BD3-B74E-FCFC25704025}&lt;/DBUID&gt;&lt;/Extra&gt;&lt;/Item&gt;&lt;/References&gt;&lt;/Group&gt;&lt;/Citation&gt;_x000a_"/>
    <w:docVar w:name="NE.Ref{A01E025E-10FF-4B82-BE89-6883639A8ED3}" w:val=" ADDIN NE.Ref.{A01E025E-10FF-4B82-BE89-6883639A8ED3}&lt;Citation&gt;&lt;Group&gt;&lt;References&gt;&lt;Item&gt;&lt;ID&gt;561&lt;/ID&gt;&lt;UID&gt;{98829423-C3F1-4CC1-8A49-91F6C1B204F8}&lt;/UID&gt;&lt;Title&gt;Long-Term Clinical Course after Successful Initial Treatment in Patients with  Mild Erosive Esophagitis: A Prospective Follow-Up Study&lt;/Title&gt;&lt;Template&gt;Journal Article&lt;/Template&gt;&lt;Star&gt;0&lt;/Star&gt;&lt;Tag&gt;0&lt;/Tag&gt;&lt;Author&gt;Okanobu, H; Kohno, T; Boda, K; Ochi, H; Furukawa, Y&lt;/Author&gt;&lt;Year&gt;2023&lt;/Year&gt;&lt;Details&gt;&lt;_accessed&gt;65116734&lt;/_accessed&gt;&lt;_accession_num&gt;36716726&lt;/_accession_num&gt;&lt;_author_adr&gt;Department of Gastroenterology, Hiroshima Red Cross Hospital &amp;amp; Atomic-bomb  Survivors Hospital, Hiroshima, Japan.; Department of Gastroenterology, Hiroshima Red Cross Hospital &amp;amp; Atomic-bomb  Survivors Hospital, Hiroshima, Japan.; Department of Gastroenterology, Hiroshima Red Cross Hospital &amp;amp; Atomic-bomb  Survivors Hospital, Hiroshima, Japan.; Department of Medical Checkup Center, Hiroshima Red Cross Hospital &amp;amp; Atomic-bomb  Survivors Hospital, Hiroshima, Japan.; Department of Gastroenterology, Hiroshima Red Cross Hospital &amp;amp; Atomic-bomb  Survivors Hospital, Hiroshima, Japan.&lt;/_author_adr&gt;&lt;_collection_scope&gt;SCIE&lt;/_collection_scope&gt;&lt;_created&gt;65116733&lt;/_created&gt;&lt;_custom1&gt;41&lt;/_custom1&gt;&lt;_date&gt;2023-01-20&lt;/_date&gt;&lt;_date_display&gt;2023&lt;/_date_display&gt;&lt;_db_updated&gt;PubMed&lt;/_db_updated&gt;&lt;_doi&gt;10.1159/000528690&lt;/_doi&gt;&lt;_impact_factor&gt;   3.672&lt;/_impact_factor&gt;&lt;_isbn&gt;1421-9867 (Electronic); 0012-2823 (Linking)&lt;/_isbn&gt;&lt;_issue&gt;4&lt;/_issue&gt;&lt;_journal&gt;Digestion&lt;/_journal&gt;&lt;_keywords&gt;Clinical course; GERD; Mild erosive esophagitis; Predictive factor; Vonoprazan&lt;/_keywords&gt;&lt;_language&gt;eng&lt;/_language&gt;&lt;_modified&gt;65116737&lt;/_modified&gt;&lt;_ori_publication&gt;(c) 2023 S. Karger AG, Basel.&lt;/_ori_publication&gt;&lt;_pages&gt;283-290&lt;/_pages&gt;&lt;_social_category&gt;医学(3)&lt;/_social_category&gt;&lt;_subject_headings&gt;Humans; Follow-Up Studies; Proton Pump Inhibitors/therapeutic use; *Hernia, Hiatal/complications; Prospective Studies; *Esophagitis; *Peptic Ulcer; Endoscopy, Gastrointestinal; Disease Progression; *Esophagitis, Peptic/drug therapy&lt;/_subject_headings&gt;&lt;_tertiary_title&gt;Digestion&lt;/_tertiary_title&gt;&lt;_type_work&gt;Journal Article&lt;/_type_work&gt;&lt;_url&gt;http://www.ncbi.nlm.nih.gov/entrez/query.fcgi?cmd=Retrieve&amp;amp;db=pubmed&amp;amp;dopt=Abstract&amp;amp;list_uids=36716726&amp;amp;query_hl=1&lt;/_url&gt;&lt;_volume&gt;104&lt;/_volume&gt;&lt;/Details&gt;&lt;Extra&gt;&lt;DBUID&gt;{C3DDB144-B9A5-4BD3-B74E-FCFC25704025}&lt;/DBUID&gt;&lt;/Extra&gt;&lt;/Item&gt;&lt;/References&gt;&lt;/Group&gt;&lt;/Citation&gt;_x000a_"/>
    <w:docVar w:name="NE.Ref{A0776BC8-AC30-459C-AA3F-AEE518B732DB}" w:val=" ADDIN NE.Ref.{A0776BC8-AC30-459C-AA3F-AEE518B732DB}&lt;Citation&gt;&lt;Group&gt;&lt;References&gt;&lt;Item&gt;&lt;ID&gt;552&lt;/ID&gt;&lt;UID&gt;{2931B7A7-C3E2-4239-80A9-D180E6A8DB8F}&lt;/UID&gt;&lt;Title&gt;Effects of Tegoprazan Versus Esomeprazole on Nighttime Heartburn and Sleep  Quality in Gastroesophageal Reflux Disease: A Multicenter Double-blind Randomized  Controlled Trial&lt;/Title&gt;&lt;Template&gt;Journal Article&lt;/Template&gt;&lt;Star&gt;1&lt;/Star&gt;&lt;Tag&gt;0&lt;/Tag&gt;&lt;Author&gt;Kim, J S; Seo, S I; Kang, S H; Lee, S K; Kim, A R; Park, H W; Kim, B T; Song, G S&lt;/Author&gt;&lt;Year&gt;2023&lt;/Year&gt;&lt;Details&gt;&lt;_accessed&gt;65116725&lt;/_accessed&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collection_scope&gt;SCIE&lt;/_collection_scope&gt;&lt;_created&gt;65116702&lt;/_created&gt;&lt;_custom1&gt;34&lt;/_custom1&gt;&lt;_date&gt;2023-01-30&lt;/_date&gt;&lt;_date_display&gt;2023 Jan 30&lt;/_date_display&gt;&lt;_db_updated&gt;PubMed&lt;/_db_updated&gt;&lt;_doi&gt;10.5056/jnm22104&lt;/_doi&gt;&lt;_impact_factor&gt;   4.725&lt;/_impact_factor&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modified&gt;65116725&lt;/_modified&gt;&lt;_pages&gt;58-64&lt;/_pages&gt;&lt;_social_category&gt;医学(2)&lt;/_social_category&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Details&gt;&lt;Extra/&gt;&lt;/Item&gt;&lt;/References&gt;&lt;/Group&gt;&lt;/Citation&gt;_x000a_"/>
    <w:docVar w:name="NE.Ref{A1E12B5C-D578-477F-81D5-221CDD8873D1}" w:val=" ADDIN NE.Ref.{A1E12B5C-D578-477F-81D5-221CDD8873D1}&lt;Citation&gt;&lt;Group&gt;&lt;References&gt;&lt;Item&gt;&lt;ID&gt;523&lt;/ID&gt;&lt;UID&gt;{E10AD4F5-B372-4836-8C38-3EBE3B40D4D2}&lt;/UID&gt;&lt;Title&gt;Mortality associated with Barrett&amp;apos;s esophagus and gastroesophageal reflux disease  diagnoses-a population-based cohort study&lt;/Title&gt;&lt;Template&gt;Journal Article&lt;/Template&gt;&lt;Star&gt;0&lt;/Star&gt;&lt;Tag&gt;0&lt;/Tag&gt;&lt;Author&gt;Solaymani-Dodaran, M; Logan, R F; West, J; Card, T&lt;/Author&gt;&lt;Year&gt;2005&lt;/Year&gt;&lt;Details&gt;&lt;_accessed&gt;65116712&lt;/_accessed&gt;&lt;_accession_num&gt;16393209&lt;/_accession_num&gt;&lt;_author_adr&gt;University of Nottingham, Division of Epidemiology and Public Health, Medical  School, Queen&amp;apos;s Medical Centre, Nottingham, UK.&lt;/_author_adr&gt;&lt;_collection_scope&gt;SCIE&lt;/_collection_scope&gt;&lt;_created&gt;65116612&lt;/_created&gt;&lt;_custom1&gt;7&lt;/_custom1&gt;&lt;_date&gt;2005-12-01&lt;/_date&gt;&lt;_date_display&gt;2005 Dec&lt;/_date_display&gt;&lt;_db_updated&gt;PubMed&lt;/_db_updated&gt;&lt;_doi&gt;10.1111/j.1572-0241.2005.00340.x&lt;/_doi&gt;&lt;_impact_factor&gt;  12.045&lt;/_impact_factor&gt;&lt;_isbn&gt;0002-9270 (Print); 0002-9270 (Linking)&lt;/_isbn&gt;&lt;_issue&gt;12&lt;/_issue&gt;&lt;_journal&gt;Am J Gastroenterol&lt;/_journal&gt;&lt;_language&gt;eng&lt;/_language&gt;&lt;_modified&gt;65116712&lt;/_modified&gt;&lt;_pages&gt;2616-21&lt;/_pages&gt;&lt;_social_category&gt;医学(1)&lt;/_social_category&gt;&lt;_subject_headings&gt;Adult; Age Factors; Aged; Barrett Esophagus/*mortality/*pathology/therapy; Case-Control Studies; Cause of Death; Cohort Studies; Esophageal Neoplasms/*mortality/pathology/therapy; Female; Gastroesophageal Reflux/*mortality/*pathology/therapy; Humans; Incidence; Male; Middle Aged; Multivariate Analysis; Precancerous Conditions/*pathology; Probability; Proportional Hazards Models; Prospective Studies; Reference Values; Risk Assessment; Severity of Illness Index; Sex Factors; Survival Analysis; United Kingdom&lt;/_subject_headings&gt;&lt;_tertiary_title&gt;The American journal of gastroenterology&lt;/_tertiary_title&gt;&lt;_type_work&gt;Comparative Study; Journal Article&lt;/_type_work&gt;&lt;_url&gt;http://www.ncbi.nlm.nih.gov/entrez/query.fcgi?cmd=Retrieve&amp;amp;db=pubmed&amp;amp;dopt=Abstract&amp;amp;list_uids=16393209&amp;amp;query_hl=1&lt;/_url&gt;&lt;_volume&gt;100&lt;/_volume&gt;&lt;/Details&gt;&lt;Extra&gt;&lt;DBUID&gt;{C3DDB144-B9A5-4BD3-B74E-FCFC25704025}&lt;/DBUID&gt;&lt;/Extra&gt;&lt;/Item&gt;&lt;/References&gt;&lt;/Group&gt;&lt;/Citation&gt;_x000a_"/>
    <w:docVar w:name="NE.Ref{A2A1D0DC-44B8-4BC6-B514-10F35BF01889}" w:val=" ADDIN NE.Ref.{A2A1D0DC-44B8-4BC6-B514-10F35BF01889}&lt;Citation&gt;&lt;Group&gt;&lt;References&gt;&lt;Item&gt;&lt;ID&gt;526&lt;/ID&gt;&lt;UID&gt;{05957236-D76D-44BE-9FBC-056E6240BE2B}&lt;/UID&gt;&lt;Title&gt;Burden of gastroesophageal reflux disease in Shanghai, China&lt;/Title&gt;&lt;Template&gt;Journal Article&lt;/Template&gt;&lt;Star&gt;0&lt;/Star&gt;&lt;Tag&gt;0&lt;/Tag&gt;&lt;Author&gt;Wang, R; Yan, X; Ma, X Q; Cao, Y; Wallander, M A; Johansson, S; He, J&lt;/Author&gt;&lt;Year&gt;2009&lt;/Year&gt;&lt;Details&gt;&lt;_accessed&gt;65116712&lt;/_accessed&gt;&lt;_accession_num&gt;18706874&lt;/_accession_num&gt;&lt;_author_adr&gt;Department of Health Statistics, Second Military Medical University, Shanghai,  China.&lt;/_author_adr&gt;&lt;_collection_scope&gt;SCIE&lt;/_collection_scope&gt;&lt;_created&gt;65116617&lt;/_created&gt;&lt;_custom1&gt;11&lt;/_custom1&gt;&lt;_date&gt;2009-02-01&lt;/_date&gt;&lt;_date_display&gt;2009 Feb&lt;/_date_display&gt;&lt;_db_updated&gt;PubMed&lt;/_db_updated&gt;&lt;_doi&gt;10.1016/j.dld.2008.06.014&lt;/_doi&gt;&lt;_impact_factor&gt;   5.165&lt;/_impact_factor&gt;&lt;_isbn&gt;1878-3562 (Electronic); 1590-8658 (Linking)&lt;/_isbn&gt;&lt;_issue&gt;2&lt;/_issue&gt;&lt;_journal&gt;Dig Liver Dis&lt;/_journal&gt;&lt;_language&gt;eng&lt;/_language&gt;&lt;_modified&gt;65116712&lt;/_modified&gt;&lt;_pages&gt;110-5&lt;/_pages&gt;&lt;_social_category&gt;医学(3)&lt;/_social_category&gt;&lt;_subject_headings&gt;Adolescent; Adult; Aged; China/epidemiology; Cluster Analysis; Cost of Illness; Female; Gastroesophageal Reflux/*epidemiology; Health Surveys; Humans; Male; Middle Aged; Pilot Projects; Quality of Life; Surveys and Questionnaires; Young Adult&lt;/_subject_headings&gt;&lt;_tertiary_title&gt;Digestive and liver disease : official journal of the Italian Society of _x000d__x000a_      Gastroenterology and the Italian Association for the Study of the Liver&lt;/_tertiary_title&gt;&lt;_type_work&gt;Journal Article; Randomized Controlled Trial; Research Support, Non-U.S. Gov&amp;apos;t&lt;/_type_work&gt;&lt;_url&gt;http://www.ncbi.nlm.nih.gov/entrez/query.fcgi?cmd=Retrieve&amp;amp;db=pubmed&amp;amp;dopt=Abstract&amp;amp;list_uids=18706874&amp;amp;query_hl=1&lt;/_url&gt;&lt;_volume&gt;41&lt;/_volume&gt;&lt;/Details&gt;&lt;Extra&gt;&lt;DBUID&gt;{C3DDB144-B9A5-4BD3-B74E-FCFC25704025}&lt;/DBUID&gt;&lt;/Extra&gt;&lt;/Item&gt;&lt;/References&gt;&lt;/Group&gt;&lt;/Citation&gt;_x000a_"/>
    <w:docVar w:name="NE.Ref{A5CEE737-4FE2-47F8-B48A-249A23BD26DE}" w:val=" ADDIN NE.Ref.{A5CEE737-4FE2-47F8-B48A-249A23BD26DE}&lt;Citation&gt;&lt;Group&gt;&lt;References&gt;&lt;Item&gt;&lt;ID&gt;518&lt;/ID&gt;&lt;UID&gt;{42D08DF3-1435-48DE-86A7-ED69488BFA3F}&lt;/UID&gt;&lt;Title&gt;Symptomatic gastroesophageal reflux as a risk factor for esophageal  adenocarcinoma&lt;/Title&gt;&lt;Template&gt;Journal Article&lt;/Template&gt;&lt;Star&gt;0&lt;/Star&gt;&lt;Tag&gt;0&lt;/Tag&gt;&lt;Author&gt;Lagergren, J; Bergstrom, R; Lindgren, A; Nyren, O&lt;/Author&gt;&lt;Year&gt;1999&lt;/Year&gt;&lt;Details&gt;&lt;_accessed&gt;65116710&lt;/_accessed&gt;&lt;_accession_num&gt;10080844&lt;/_accession_num&gt;&lt;_author_adr&gt;Department of Medical Epidemiology, Karolinska Institute, Stockholm, Sweden.  jesper.lagergren@mep.ki.se&lt;/_author_adr&gt;&lt;_collection_scope&gt;SCIE&lt;/_collection_scope&gt;&lt;_created&gt;65116601&lt;/_created&gt;&lt;_custom1&gt;2&lt;/_custom1&gt;&lt;_date&gt;1999-03-18&lt;/_date&gt;&lt;_date_display&gt;1999 Mar 18&lt;/_date_display&gt;&lt;_db_updated&gt;PubMed&lt;/_db_updated&gt;&lt;_doi&gt;10.1056/NEJM199903183401101&lt;/_doi&gt;&lt;_impact_factor&gt; 176.079&lt;/_impact_factor&gt;&lt;_isbn&gt;0028-4793 (Print); 0028-4793 (Linking)&lt;/_isbn&gt;&lt;_issue&gt;11&lt;/_issue&gt;&lt;_journal&gt;N Engl J Med&lt;/_journal&gt;&lt;_language&gt;eng&lt;/_language&gt;&lt;_modified&gt;65116710&lt;/_modified&gt;&lt;_pages&gt;825-31&lt;/_pages&gt;&lt;_social_category&gt;医学(1)&lt;/_social_category&gt;&lt;_subject_headings&gt;Adenocarcinoma/epidemiology/*etiology; Barrett Esophagus/complications; Carcinoma, Squamous Cell/epidemiology/etiology; Cardia; Case-Control Studies; Esophageal Neoplasms/epidemiology/*etiology; Female; Gastroesophageal Reflux/*complications; Heartburn/complications; Humans; Logistic Models; Male; Odds Ratio; Risk Factors; Stomach Neoplasms/epidemiology/etiology; Sweden/epidemiology&lt;/_subject_headings&gt;&lt;_tertiary_title&gt;The New England journal of medicine&lt;/_tertiary_title&gt;&lt;_type_work&gt;Journal Article; Research Support, Non-U.S. Gov&amp;apos;t; Research Support, U.S. Gov&amp;apos;t, P.H.S.&lt;/_type_work&gt;&lt;_url&gt;http://www.ncbi.nlm.nih.gov/entrez/query.fcgi?cmd=Retrieve&amp;amp;db=pubmed&amp;amp;dopt=Abstract&amp;amp;list_uids=10080844&amp;amp;query_hl=1&lt;/_url&gt;&lt;_volume&gt;340&lt;/_volume&gt;&lt;/Details&gt;&lt;Extra&gt;&lt;DBUID&gt;{C3DDB144-B9A5-4BD3-B74E-FCFC25704025}&lt;/DBUID&gt;&lt;/Extra&gt;&lt;/Item&gt;&lt;/References&gt;&lt;/Group&gt;&lt;/Citation&gt;_x000a_"/>
    <w:docVar w:name="NE.Ref{A6EDD6EC-0655-42E9-B96E-470A5F0F8F8D}" w:val=" ADDIN NE.Ref.{A6EDD6EC-0655-42E9-B96E-470A5F0F8F8D}&lt;Citation&gt;&lt;Group&gt;&lt;References&gt;&lt;Item&gt;&lt;ID&gt;540&lt;/ID&gt;&lt;UID&gt;{15F2D642-B68F-4254-BA29-A44F36F6F6F0}&lt;/UID&gt;&lt;Title&gt;Randomised phase 3 trial: tegoprazan, a novel potassium-competitive acid blocker,  vs. esomeprazole in patients with erosive oesophagitis&lt;/Title&gt;&lt;Template&gt;Journal Article&lt;/Template&gt;&lt;Star&gt;0&lt;/Star&gt;&lt;Tag&gt;0&lt;/Tag&gt;&lt;Author&gt;Lee, K J; Son, B K; Kim, G H; Jung, H K; Jung, H Y; Chung, I K; Sung, I K; Kim, J I; Kim, J H; Lee, J S; Kwon, J G; Park, J H; Huh, K C; Park, K S; Park, M I; Kim, N; Lee, O Y; Jee, S R; Lee, S K; Youn, S J; Kim, S K; Lee, S T; Hong, S J; Choi, S C; Kim, T N; Youn, Y H; Park, H J; Kang, M J; Park, C H; Kim, B T; Youn, S; Song, G S; Rhee, P L&lt;/Author&gt;&lt;Year&gt;2019&lt;/Year&gt;&lt;Details&gt;&lt;_accession_num&gt;30843245&lt;/_accession_num&gt;&lt;_author_adr&gt;Suwon, Korea.; Seoul, Korea.; Busan, Korea.; Seoul, Korea.; Seoul, Korea.; Cheonan, Korea.; Seoul, Korea.; Seoul, Korea.; Anyang, Korea.; Seoul, Korea.; Daegu, Korea.; Seoul, Korea.; Daejeon, Korea.; Daegu, Korea.; Busan, Korea.; Seongnam, Korea.; Seoul, Korea.; Busan, Korea.; Seoul, Korea.; Cheongju, Korea.; Daegu, Korea.; Jeonju, Korea.; Bucheon, Korea.; Iksan, Korea.; Daegu, Korea.; Seoul, Korea.; Seoul, Korea.; Seoul, Korea.; Seoul, Korea.; Seoul, Korea.; Seoul, Korea.; Seoul, Korea.; Seoul, Korea.&lt;/_author_adr&gt;&lt;_date_display&gt;2019 Apr&lt;/_date_display&gt;&lt;_date&gt;2019-04-01&lt;/_date&gt;&lt;_doi&gt;10.1111/apt.15185&lt;/_doi&gt;&lt;_isbn&gt;1365-2036 (Electronic); 0269-2813 (Print); 0269-2813 (Linking)&lt;/_isbn&gt;&lt;_issue&gt;7&lt;/_issue&gt;&lt;_journal&gt;Aliment Pharmacol Ther&lt;/_journal&gt;&lt;_language&gt;eng&lt;/_language&gt;&lt;_ori_publication&gt;(c) 2019 The Authors. Alimentary Pharmacology &amp;amp; Therapeutics Published by John _x000d__x000a_      Wiley &amp;amp; Sons Ltd.&lt;/_ori_publication&gt;&lt;_pages&gt;864-872&lt;/_pages&gt;&lt;_subject_headings&gt;Adult; Aged; Anti-Ulcer Agents/*administration &amp;amp; dosage; Benzene Derivatives/*administration &amp;amp; dosage; Double-Blind Method; Esomeprazole/*administration &amp;amp; dosage; Esophagitis/*diagnosis/*drug therapy; Female; Humans; Imidazoles/*administration &amp;amp; dosage; Male; Middle Aged; Potassium; Proton Pump Inhibitors/*administration &amp;amp; dosage; Treatment Outcome; Wound Healing/drug effects/physiology; Young Adult&lt;/_subject_headings&gt;&lt;_tertiary_title&gt;Alimentary pharmacology &amp;amp; therapeutics&lt;/_tertiary_title&gt;&lt;_type_work&gt;Clinical Trial, Phase III; Comparative Study; Journal Article; Multicenter Study; Randomized Controlled Trial; Research Support, Non-U.S. Gov&amp;apos;t&lt;/_type_work&gt;&lt;_url&gt;http://www.ncbi.nlm.nih.gov/entrez/query.fcgi?cmd=Retrieve&amp;amp;db=pubmed&amp;amp;dopt=Abstract&amp;amp;list_uids=30843245&amp;amp;query_hl=1&lt;/_url&gt;&lt;_volume&gt;49&lt;/_volume&gt;&lt;_created&gt;65116666&lt;/_created&gt;&lt;_modified&gt;65116666&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Group&gt;&lt;References&gt;&lt;Item&gt;&lt;ID&gt;551&lt;/ID&gt;&lt;UID&gt;{2FD86CDF-A2D9-4766-9164-4DB1FF8D39FB}&lt;/UID&gt;&lt;Title&gt;Randomised clinical trial: tegoprazan, a novel potassium-competitive acid  blocker, or lansoprazole in the treatment of gastric ulcer&lt;/Title&gt;&lt;Template&gt;Journal Article&lt;/Template&gt;&lt;Star&gt;0&lt;/Star&gt;&lt;Tag&gt;0&lt;/Tag&gt;&lt;Author&gt;Cho, Y K; Choi, M G; Choi, S C; Lee, K M; Kim, T O; Park, S H; Moon, J S; Lim, Y J; Kang, D H; Cheon, G J; Baik, G H; Kim, K O; Cho, K B; Jang, J S; Park, J J; Son, B K; Jung, H K; Kim, B W; Kim, S K; Lee, S T; Cha, J M; Kim, A R; Kim, E J; Park, H W; Song, G S&lt;/Author&gt;&lt;Year&gt;2020&lt;/Year&gt;&lt;Details&gt;&lt;_accession_num&gt;32701188&lt;/_accession_num&gt;&lt;_author_adr&gt;Seoul, Korea.; Seoul, Korea.; Iksan, Korea.; Suwon, Korea.; Busan, Korea.; Seoul, Korea.; Seoul, Korea.; Goyang, Korea.; Yangsan, Korea.; Gangneung, Korea.; Chuncheon, Korea.; Incheon, Korea.; Daegu, Korea.; Busan, Korea.; Seoul, Korea.; Seoul, Korea.; Seoul, Korea.; Incheon, Korea.; Daegu, Korea.; Jeonju, Korea.; Seoul, Korea.; Seoul, Korea.; Seoul, Korea.; Seoul, Korea.; Seoul, Korea.&lt;/_author_adr&gt;&lt;_date_display&gt;2020 Sep&lt;/_date_display&gt;&lt;_date&gt;2020-09-01&lt;/_date&gt;&lt;_doi&gt;10.1111/apt.15865&lt;/_doi&gt;&lt;_isbn&gt;1365-2036 (Electronic); 0269-2813 (Print); 0269-2813 (Linking)&lt;/_isbn&gt;&lt;_issue&gt;5&lt;/_issue&gt;&lt;_journal&gt;Aliment Pharmacol Ther&lt;/_journal&gt;&lt;_language&gt;eng&lt;/_language&gt;&lt;_ori_publication&gt;(c) 2020 The Authors. Alimentary Pharmacology &amp;amp; Therapeutics published by John _x000d__x000a_      Wiley &amp;amp; Sons Ltd.&lt;/_ori_publication&gt;&lt;_pages&gt;789-797&lt;/_pages&gt;&lt;_subject_headings&gt;Adult; Aged; Anti-Ulcer Agents/administration &amp;amp; dosage/adverse effects; Benzene Derivatives/*administration &amp;amp; dosage/adverse effects; Dose-Response Relationship, Drug; Double-Blind Method; Drug Administration Schedule; Female; Humans; Imidazoles/*administration &amp;amp; dosage/adverse effects; Lansoprazole/*administration &amp;amp; dosage/adverse effects; Male; Middle Aged; Potassium/metabolism; Proton Pump Inhibitors/administration &amp;amp; dosage/adverse effects; Republic of Korea; Stomach Ulcer/*drug therapy; Treatment Outcome; Wound Healing/drug effects&lt;/_subject_headings&gt;&lt;_tertiary_title&gt;Alimentary pharmacology &amp;amp; therapeutics&lt;/_tertiary_title&gt;&lt;_type_work&gt;Clinical Trial, Phase III; Journal Article; Multicenter Study; Randomized Controlled Trial; Research Support, Non-U.S. Gov&amp;apos;t&lt;/_type_work&gt;&lt;_url&gt;http://www.ncbi.nlm.nih.gov/entrez/query.fcgi?cmd=Retrieve&amp;amp;db=pubmed&amp;amp;dopt=Abstract&amp;amp;list_uids=32701188&amp;amp;query_hl=1&lt;/_url&gt;&lt;_volume&gt;52&lt;/_volume&gt;&lt;_created&gt;65116699&lt;/_created&gt;&lt;_modified&gt;65116700&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Group&gt;&lt;References&gt;&lt;Item&gt;&lt;ID&gt;552&lt;/ID&gt;&lt;UID&gt;{2931B7A7-C3E2-4239-80A9-D180E6A8DB8F}&lt;/UID&gt;&lt;Title&gt;Effects of Tegoprazan Versus Esomeprazole on Nighttime Heartburn and Sleep  Quality in Gastroesophageal Reflux Disease: A Multicenter Double-blind Randomized  Controlled Trial&lt;/Title&gt;&lt;Template&gt;Journal Article&lt;/Template&gt;&lt;Star&gt;0&lt;/Star&gt;&lt;Tag&gt;0&lt;/Tag&gt;&lt;Author&gt;Kim, J S; Seo, S I; Kang, S H; Lee, S K; Kim, A R; Park, H W; Kim, B T; Song, G S&lt;/Author&gt;&lt;Year&gt;2023&lt;/Year&gt;&lt;Details&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date_display&gt;2023 Jan 30&lt;/_date_display&gt;&lt;_date&gt;2023-01-30&lt;/_date&gt;&lt;_doi&gt;10.5056/jnm22104&lt;/_doi&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pages&gt;58-64&lt;/_pages&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_created&gt;65116702&lt;/_created&gt;&lt;_modified&gt;65116704&lt;/_modified&gt;&lt;_db_updated&gt;PubMed&lt;/_db_updated&gt;&lt;_impact_factor&gt;   4.725&lt;/_impact_factor&gt;&lt;_social_category&gt;医学(2)&lt;/_social_category&gt;&lt;_collection_scope&gt;SCIE&lt;/_collection_scope&gt;&lt;/Details&gt;&lt;Extra&gt;&lt;DBUID&gt;{C3DDB144-B9A5-4BD3-B74E-FCFC25704025}&lt;/DBUID&gt;&lt;/Extra&gt;&lt;/Item&gt;&lt;/References&gt;&lt;/Group&gt;&lt;Group&gt;&lt;References&gt;&lt;Item&gt;&lt;ID&gt;555&lt;/ID&gt;&lt;UID&gt;{46F103B0-AC9A-40B4-B013-A3F992F512C1}&lt;/UID&gt;&lt;Title&gt;Randomised clinical trial: comparison of tegoprazan and lansoprazole as  maintenance therapy for healed mild erosive oesophagitis&lt;/Title&gt;&lt;Template&gt;Journal Article&lt;/Template&gt;&lt;Star&gt;0&lt;/Star&gt;&lt;Tag&gt;0&lt;/Tag&gt;&lt;Author&gt;Cho, Y K; Kim, J H; Kim, H S; Kim, T O; Oh, J H; Choi, S C; Moon, J S; Lee, S K; Jung, S W; Kim, S S; Jung, H K; Lee, S P; Cheon, G J; Park, M I; Jung, H Y; Ko, K H; Sung, I K; Lee, S H; Lee, J Y; Lee, S T; Rhee, P L; Kim, N; Hong, S J; Kim, H J; Kim, G H; Lee, K J; Kim, S K; Shin, W G; Lee, O Y&lt;/Author&gt;&lt;Year&gt;2023&lt;/Year&gt;&lt;Details&gt;&lt;_accession_num&gt;36314172&lt;/_accession_num&gt;&lt;_author_adr&gt;Catholic Photomedicine Research Institute, Seoul St. Mary&amp;apos;s Hospital, College of  Medicine, The Catholic University of Korea, Seoul, South Korea.; Department of Internal Medicine, Dongguk University Ilsan Hospital, Dongguk  University College of Medicine, Goyang, South Korea.; Department of Internal Medicine, Yonsei University Wonju College of Medicine,  Wonju Christian Hospital, Wonju, South Korea.; Department of Internal Medicine, Inje University Haeundae Paik Hospital, Busan,  South Korea.; Department of Internal Medicine, Eunpyeong St. Mary&amp;apos;s Hospital, College of  Medicine, The Catholic University of Korea, Seoul, South Korea.; Department of Internal Medicine, Wonkwang University Hospital, Iksan, South  Korea.; Department of Internal Medicine, Inje University, Seoul Paik Hospital, Seoul,  South Korea.; Department of Internal Medicine, Yonsei University College of Medicine, Severance  Hospital, Seoul, South Korea.; Department of Internal Medicine, Korea University College of Medicine, Seoul,  South Korea.; Department of Internal Medicine, Uijeongbu St. Mary&amp;apos;s Hospital, College of  Medicine, The Catholic University of Korea, Uijeongbu, South Korea.; Department of Internal Medicine, College of Medicine, Ewha Womans University,  Seoul, South Korea.; Department of Internal Medicine, Hallym University Dongtan Sacred Heart Hospital,  Hwaseong, South Korea.; Department of Internal Medicine, GangNeung Asan Hospital, College of Medicine,  Ulsan University, Gangneung, South Korea.; Department of Internal Medicine, Kosin University College of Medicine, Busan,  South Korea.; Department of Gastroenterology, Asan Medical Center, University of Ulsan, Seoul,  South Korea.; Digestive Disease Center, CHA Bundang Medical Center, CHA University, Seongnam,  South Korea.; Department of Internal Medicine, Konkuk University Medical Center, Seoul, South  Korea.; Department of Internal Medicine, Yeungnam University College of Medicine, Daegu,  South Korea.; Department of Internal Medicine, Keimyung University School of Medicine, Daegu,  South Korea.; Department of Internal Medicine, Jeonbuk National University Hospital, Jeonju,  South Korea.; Department of Medicine, Samsung Medical Center, Sungkyunkwan University, Seoul,  South Korea.; Department of Internal Medicine, Seoul National University Bundang Hospital,  Seongnam and Seoul National University College of Medicine, Seoul, South Korea.; Department of Internal Medicine, Soonchunhyang University College of Medicine,  Bucheon, South Korea.; Department of Internal Medicine, Gyeongsang National University Changwon  Hospital, Changwon, South Korea.; Department of Internal Medicine, Pusan National University College of Medicine  and Biomedical Research Institute, Pusan National University Hospital, Busan,  South Korea.; Department of Gastroenterology, Ajou University Hospital, Ajou University School  of Medicine, Suwon, South Korea.; Department of Internal Medicine, Kyungpook National University Hospital, Daegu,  South Korea.; Department of Internal Medicine, Hallym University College of Medicine/Institute  for Liver and Digestive Diseases, Chuncheon, South Korea.; Department of Internal Medicine, Hanyang University College of Medicine, Seoul,  South Korea.&lt;/_author_adr&gt;&lt;_date_display&gt;2023 Jan&lt;/_date_display&gt;&lt;_date&gt;2023-01-01&lt;/_date&gt;&lt;_doi&gt;10.1111/apt.17255&lt;/_doi&gt;&lt;_isbn&gt;1365-2036 (Electronic); 0269-2813 (Print); 0269-2813 (Linking)&lt;/_isbn&gt;&lt;_issue&gt;1&lt;/_issue&gt;&lt;_journal&gt;Aliment Pharmacol Ther&lt;/_journal&gt;&lt;_language&gt;eng&lt;/_language&gt;&lt;_ori_publication&gt;(c) 2022 The Authors. Alimentary Pharmacology &amp;amp; Therapeutics published by John _x000d__x000a_      Wiley &amp;amp; Sons Ltd.&lt;/_ori_publication&gt;&lt;_pages&gt;72-80&lt;/_pages&gt;&lt;_subject_headings&gt;Humans; Lansoprazole/therapeutic use; *Gastrins&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6314172&amp;amp;query_hl=1&lt;/_url&gt;&lt;_volume&gt;57&lt;/_volume&gt;&lt;_created&gt;65116703&lt;/_created&gt;&lt;_modified&gt;65116704&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Group&gt;&lt;References&gt;&lt;Item&gt;&lt;ID&gt;546&lt;/ID&gt;&lt;UID&gt;{F243687C-F840-44F8-8F6C-5598AD6182E2}&lt;/UID&gt;&lt;Title&gt;Direct Comparison of the Efficacy and Safety of Vonoprazan Versus Proton-Pump  Inhibitors for Gastroesophageal Reflux Disease: A Systematic Review and  Meta-Analysis&lt;/Title&gt;&lt;Template&gt;Journal Article&lt;/Template&gt;&lt;Star&gt;0&lt;/Star&gt;&lt;Tag&gt;0&lt;/Tag&gt;&lt;Author&gt;Cheng, Y; Liu, J; Tan, X; Dai, Y; Xie, C; Li, X; Lu, Q; Kou, F; Jiang, H; Li, J&lt;/Author&gt;&lt;Year&gt;2021&lt;/Year&gt;&lt;Details&gt;&lt;_accession_num&gt;32095968&lt;/_accession_num&gt;&lt;_author_adr&gt;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Department of Pharmacotherapy and Oriental Medicine, School of Pharmacy, Hyogo  University of Health Sciences, Hyogo, Japan.; School of Life Science, Beijing University of Chinese Medicine, Beijing, 100029,  China.; Gastroenterology Department, Dongfang Hospital, Beijing University of Chinese  Medicine, No. 6, 1st Section, Fangxingyuan, Fangzhuang, Beijing, 100078,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astroenterology Department, Dongfang Hospital, Beijing University of Chinese  Medicine, No. 6, 1st Section, Fangxingyuan, Fangzhuang, Beijing, 100078, China.  lijunxiang1226@163.com.&lt;/_author_adr&gt;&lt;_date_display&gt;2021 Jan&lt;/_date_display&gt;&lt;_date&gt;2021-01-01&lt;/_date&gt;&lt;_doi&gt;10.1007/s10620-020-06141-5&lt;/_doi&gt;&lt;_isbn&gt;1573-2568 (Electronic); 0163-2116 (Linking)&lt;/_isbn&gt;&lt;_issue&gt;1&lt;/_issue&gt;&lt;_journal&gt;Dig Dis Sci&lt;/_journal&gt;&lt;_keywords&gt;Gastroesophageal reflux disease; Meta-analysis; Proton-pump inhibitors; Vonoprazan&lt;/_keywords&gt;&lt;_language&gt;eng&lt;/_language&gt;&lt;_pages&gt;19-28&lt;/_pages&gt;&lt;_subject_headings&gt;Gastroesophageal Reflux/complications/*diagnosis/*drug therapy; Heartburn/diagnosis/drug therapy/etiology; Humans; Proton Pump Inhibitors/adverse effects/*therapeutic use; Pyrroles/adverse effects/*therapeutic use; Randomized Controlled Trials as Topic/methods; Sulfonamides/adverse effects/*therapeutic use; Treatment Outcome&lt;/_subject_headings&gt;&lt;_tertiary_title&gt;Digestive diseases and sciences&lt;/_tertiary_title&gt;&lt;_type_work&gt;Comparative Study; Journal Article; Meta-Analysis; Research Support, Non-U.S. Gov&amp;apos;t; Systematic Review&lt;/_type_work&gt;&lt;_url&gt;http://www.ncbi.nlm.nih.gov/entrez/query.fcgi?cmd=Retrieve&amp;amp;db=pubmed&amp;amp;dopt=Abstract&amp;amp;list_uids=32095968&amp;amp;query_hl=1&lt;/_url&gt;&lt;_volume&gt;66&lt;/_volume&gt;&lt;_created&gt;65116685&lt;/_created&gt;&lt;_modified&gt;65116715&lt;/_modified&gt;&lt;_db_updated&gt;PubMed&lt;/_db_updated&gt;&lt;_impact_factor&gt;   3.487&lt;/_impact_factor&gt;&lt;_social_category&gt;医学(3)&lt;/_social_category&gt;&lt;_collection_scope&gt;SCIE&lt;/_collection_scope&gt;&lt;_accessed&gt;65116715&lt;/_accessed&gt;&lt;_custom1&gt;30&lt;/_custom1&gt;&lt;/Details&gt;&lt;Extra&gt;&lt;DBUID&gt;{C3DDB144-B9A5-4BD3-B74E-FCFC25704025}&lt;/DBUID&gt;&lt;/Extra&gt;&lt;/Item&gt;&lt;/References&gt;&lt;/Group&gt;&lt;Group&gt;&lt;References&gt;&lt;Item&gt;&lt;ID&gt;547&lt;/ID&gt;&lt;UID&gt;{792F9769-C06B-4137-8144-4239A23C2B00}&lt;/UID&gt;&lt;Title&gt;Incidence and type of adverse events in patients taking vonoprazan: A systematic  review and meta-analysis&lt;/Title&gt;&lt;Template&gt;Journal Article&lt;/Template&gt;&lt;Star&gt;0&lt;/Star&gt;&lt;Tag&gt;0&lt;/Tag&gt;&lt;Author&gt;Xu, W; Bai, Z; Shang, Y; Wang, J; Wong, Y; Qi, X&lt;/Author&gt;&lt;Year&gt;2023&lt;/Year&gt;&lt;Details&gt;&lt;_accession_num&gt;37113190&lt;/_accession_num&gt;&lt;_author_adr&gt;Department of Gastroenterology, General Hospital of Northern Theater Command,  Shenyang, China.; Department of Life Sciences and Biopharmaceutics, Shenyang Pharmaceutical  University, Shenyang, China.; Department of Gastroenterology, General Hospital of Northern Theater Command,  Shenyang, China.; Department of Life Sciences and Biopharmaceutics, Shenyang Pharmaceutical  University, Shenyang, China.; Department of Gastroenterology, General Hospital of Northern Theater Command,  Shenyang, China.; Department of Life Sciences and Biopharmaceutics, Shenyang Pharmaceutical  University, Shenyang, China.; Department of Gastroenterology, The 960th Hospital of the PLA, Jinan, China.; Department of Gastroenterology and Hepatology, Changi General Hospital,  Singapore, Singapore.; Department of Gastroenterology, General Hospital of Northern Theater Command, No.  83 Wenhua Road, Shenyang, Liaoning 110840, China.&lt;/_author_adr&gt;&lt;_date_display&gt;2023&lt;/_date_display&gt;&lt;_date&gt;2023-01-20&lt;/_date&gt;&lt;_doi&gt;10.1177/17562848231167858&lt;/_doi&gt;&lt;_isbn&gt;1756-283X (Print); 1756-2848 (Electronic); 1756-283X (Linking)&lt;/_isbn&gt;&lt;_journal&gt;Therap Adv Gastroenterol&lt;/_journal&gt;&lt;_keywords&gt;adverse event; gastric acid; proton pump inhibitor; safety; vonoprazan&lt;/_keywords&gt;&lt;_language&gt;eng&lt;/_language&gt;&lt;_ori_publication&gt;(c) The Author(s), 2023.&lt;/_ori_publication&gt;&lt;_pages&gt;17562848231167858&lt;/_pages&gt;&lt;_tertiary_title&gt;Therapeutic advances in gastroenterology&lt;/_tertiary_title&gt;&lt;_type_work&gt;Journal Article&lt;/_type_work&gt;&lt;_url&gt;http://www.ncbi.nlm.nih.gov/entrez/query.fcgi?cmd=Retrieve&amp;amp;db=pubmed&amp;amp;dopt=Abstract&amp;amp;list_uids=37113190&amp;amp;query_hl=1&lt;/_url&gt;&lt;_volume&gt;16&lt;/_volume&gt;&lt;_created&gt;65116688&lt;/_created&gt;&lt;_modified&gt;65116716&lt;/_modified&gt;&lt;_db_updated&gt;PubMed&lt;/_db_updated&gt;&lt;_impact_factor&gt;   4.802&lt;/_impact_factor&gt;&lt;_social_category&gt;医学(3)&lt;/_social_category&gt;&lt;_collection_scope&gt;SCIE&lt;/_collection_scope&gt;&lt;_accessed&gt;65116715&lt;/_accessed&gt;&lt;_custom1&gt;31&lt;/_custom1&gt;&lt;/Details&gt;&lt;Extra&gt;&lt;DBUID&gt;{C3DDB144-B9A5-4BD3-B74E-FCFC25704025}&lt;/DBUID&gt;&lt;/Extra&gt;&lt;/Item&gt;&lt;/References&gt;&lt;/Group&gt;&lt;Group&gt;&lt;References&gt;&lt;Item&gt;&lt;ID&gt;548&lt;/ID&gt;&lt;UID&gt;{AAF1BF8E-BFC9-4424-94FD-3620F1E7780B}&lt;/UID&gt;&lt;Title&gt;Adverse events of vonoprazan in the treatments of acid-related diseases: a  systematic review and meta-analysis&lt;/Title&gt;&lt;Template&gt;Journal Article&lt;/Template&gt;&lt;Star&gt;0&lt;/Star&gt;&lt;Tag&gt;0&lt;/Tag&gt;&lt;Author&gt;Gong, H; Han, D; Liu, S; Liu, C; Zhu, X; Chen, D&lt;/Author&gt;&lt;Year&gt;2023&lt;/Year&gt;&lt;Details&gt;&lt;_accession_num&gt;36353962&lt;/_accession_num&gt;&lt;_author_adr&gt;Gastroenterology, Affiliated Hospital of Nanjing University of Chinese Medicine.; Respiratory and Critical Medicine, Affiliated Hospital of Nanjing University of  Chinese Medicine.; Laboratory of Neural Regeneration and Repair, Advanced Innovation Center for  Human Brain Protection, Capital Medical University.; Gastroenterology, Anhui Medical University, .; Nephrology, The Second Affiliated Hospital of Nanjing University of Chinese  Medicine.; Gastroenterology, Affiliated Hospital of Nanjing University of Chinese Medicine,  China.&lt;/_author_adr&gt;&lt;_date_display&gt;2023 Jun&lt;/_date_display&gt;&lt;_date&gt;2023-06-01&lt;/_date&gt;&lt;_doi&gt;10.17235/reed.2022.9228/2022&lt;/_doi&gt;&lt;_isbn&gt;1130-0108 (Print); 1130-0108 (Linking)&lt;/_isbn&gt;&lt;_issue&gt;6&lt;/_issue&gt;&lt;_journal&gt;Rev Esp Enferm Dig&lt;/_journal&gt;&lt;_language&gt;eng&lt;/_language&gt;&lt;_pages&gt;294-300&lt;/_pages&gt;&lt;_subject_headings&gt;Humans; *Proton Pump Inhibitors/adverse effects; *Constipation/drug therapy; Sulfonamides/adverse effects; Pyrroles/adverse effects; Diarrhea/chemically induced&lt;/_subject_headings&gt;&lt;_tertiary_title&gt;Revista espanola de enfermedades digestivas&lt;/_tertiary_title&gt;&lt;_type_work&gt;Journal Article; Meta-Analysis; Systematic Review&lt;/_type_work&gt;&lt;_url&gt;http://www.ncbi.nlm.nih.gov/entrez/query.fcgi?cmd=Retrieve&amp;amp;db=pubmed&amp;amp;dopt=Abstract&amp;amp;list_uids=36353962&amp;amp;query_hl=1&lt;/_url&gt;&lt;_volume&gt;115&lt;/_volume&gt;&lt;_created&gt;65116691&lt;/_created&gt;&lt;_modified&gt;65116716&lt;/_modified&gt;&lt;_db_updated&gt;PubMed&lt;/_db_updated&gt;&lt;_impact_factor&gt;   2.389&lt;/_impact_factor&gt;&lt;_social_category&gt;医学(4)&lt;/_social_category&gt;&lt;_collection_scope&gt;SCIE&lt;/_collection_scope&gt;&lt;_accessed&gt;65116716&lt;/_accessed&gt;&lt;_custom1&gt;32&lt;/_custom1&gt;&lt;/Details&gt;&lt;Extra&gt;&lt;DBUID&gt;{C3DDB144-B9A5-4BD3-B74E-FCFC25704025}&lt;/DBUID&gt;&lt;/Extra&gt;&lt;/Item&gt;&lt;/References&gt;&lt;/Group&gt;&lt;/Citation&gt;_x000a_"/>
    <w:docVar w:name="NE.Ref{A8C16A51-3AD3-4EAA-A775-C6AAB5715390}" w:val=" ADDIN NE.Ref.{A8C16A51-3AD3-4EAA-A775-C6AAB5715390}&lt;Citation&gt;&lt;Group&gt;&lt;References&gt;&lt;Item&gt;&lt;ID&gt;569&lt;/ID&gt;&lt;UID&gt;{F8F5B796-763D-45DB-8742-60309FE9D15E}&lt;/UID&gt;&lt;Title&gt;Cost-effectiveness analysis of vonoprazan versus proton pump inhibitors in the  treatment of reflux esophagitis in China&lt;/Title&gt;&lt;Template&gt;Journal Article&lt;/Template&gt;&lt;Star&gt;0&lt;/Star&gt;&lt;Tag&gt;0&lt;/Tag&gt;&lt;Author&gt;Wang, Z; Sun, R; Sheng, Y; Qu, S; Dong, L; Wu, B&lt;/Author&gt;&lt;Year&gt;2022&lt;/Year&gt;&lt;Details&gt;&lt;_accession_num&gt;35571388&lt;/_accession_num&gt;&lt;_author_adr&gt;Department of Gastroenterology, Ren Ji Hospital, School of Medicine, Shanghai  Jiaotong University, Shanghai, China.; Real-World Solutions, IQVIA, Beijing, China.; Medical Affairs, Takeda (China) International Trading Company, Beijing, China.; Real-World Solutions, IQVIA, Beijing, China.; Medical Affairs, Takeda (China) International Trading Company, Beijing, China.; Medical Decision and Economic Group, Department of Pharmacy, Ren Ji Hospital,  South Campus, School of Medicine, Shanghai Jiaotong University, Shanghai, China.&lt;/_author_adr&gt;&lt;_date_display&gt;2022 Apr&lt;/_date_display&gt;&lt;_date&gt;2022-04-01&lt;/_date&gt;&lt;_doi&gt;10.21037/atm-22-1722&lt;/_doi&gt;&lt;_isbn&gt;2305-5839 (Print); 2305-5847 (Electronic); 2305-5839 (Linking)&lt;/_isbn&gt;&lt;_issue&gt;8&lt;/_issue&gt;&lt;_journal&gt;Ann Transl Med&lt;/_journal&gt;&lt;_keywords&gt;China; cost-effectiveness; proton pump inhibitors (PPIs); reflux esophagitis (RE); vonoprazan (VPZ)&lt;/_keywords&gt;&lt;_language&gt;eng&lt;/_language&gt;&lt;_ori_publication&gt;2022 Annals of Translational Medicine. All rights reserved.&lt;/_ori_publication&gt;&lt;_pages&gt;480&lt;/_pages&gt;&lt;_tertiary_title&gt;Annals of translational medicine&lt;/_tertiary_title&gt;&lt;_type_work&gt;Journal Article&lt;/_type_work&gt;&lt;_url&gt;http://www.ncbi.nlm.nih.gov/entrez/query.fcgi?cmd=Retrieve&amp;amp;db=pubmed&amp;amp;dopt=Abstract&amp;amp;list_uids=35571388&amp;amp;query_hl=1&lt;/_url&gt;&lt;_volume&gt;10&lt;/_volume&gt;&lt;_created&gt;65120984&lt;/_created&gt;&lt;_modified&gt;65120985&lt;/_modified&gt;&lt;_db_updated&gt;PubMed&lt;/_db_updated&gt;&lt;_impact_factor&gt;   3.616&lt;/_impact_factor&gt;&lt;_social_category&gt;医学(4)&lt;/_social_category&gt;&lt;_collection_scope&gt;SCIE&lt;/_collection_scope&gt;&lt;_accessed&gt;65120985&lt;/_accessed&gt;&lt;_custom1&gt;46&lt;/_custom1&gt;&lt;/Details&gt;&lt;Extra&gt;&lt;DBUID&gt;{C3DDB144-B9A5-4BD3-B74E-FCFC25704025}&lt;/DBUID&gt;&lt;/Extra&gt;&lt;/Item&gt;&lt;/References&gt;&lt;/Group&gt;&lt;/Citation&gt;_x000a_"/>
    <w:docVar w:name="NE.Ref{AAD84258-EC87-4228-95DA-DA082C4FB9E5}" w:val=" ADDIN NE.Ref.{AAD84258-EC87-4228-95DA-DA082C4FB9E5}&lt;Citation&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AB7B164A-26E3-4522-98BE-9C69FCB18C51}" w:val=" ADDIN NE.Ref.{AB7B164A-26E3-4522-98BE-9C69FCB18C51}&lt;Citation&gt;&lt;Group&gt;&lt;References&gt;&lt;Item&gt;&lt;ID&gt;524&lt;/ID&gt;&lt;UID&gt;{C9383FF7-A86D-48A1-B694-2F89B59527B3}&lt;/UID&gt;&lt;Title&gt;Systematic review: does gastro-oesophageal reflux disease progress?&lt;/Title&gt;&lt;Template&gt;Journal Article&lt;/Template&gt;&lt;Star&gt;0&lt;/Star&gt;&lt;Tag&gt;0&lt;/Tag&gt;&lt;Author&gt;Fullard, M; Kang, J Y; Neild, P; Poullis, A; Maxwell, J D&lt;/Author&gt;&lt;Year&gt;2006&lt;/Year&gt;&lt;Details&gt;&lt;_accessed&gt;65116712&lt;/_accessed&gt;&lt;_accession_num&gt;16803601&lt;/_accession_num&gt;&lt;_author_adr&gt;Department of Gastroenterology, St George&amp;apos;s Hospital, London, UK.&lt;/_author_adr&gt;&lt;_collection_scope&gt;SCIE&lt;/_collection_scope&gt;&lt;_created&gt;65116614&lt;/_created&gt;&lt;_custom1&gt;9&lt;/_custom1&gt;&lt;_date&gt;2006-07-01&lt;/_date&gt;&lt;_date_display&gt;2006 Jul 1&lt;/_date_display&gt;&lt;_db_updated&gt;PubMed&lt;/_db_updated&gt;&lt;_doi&gt;10.1111/j.1365-2036.2006.02963.x&lt;/_doi&gt;&lt;_impact_factor&gt;   9.524&lt;/_impact_factor&gt;&lt;_isbn&gt;0269-2813 (Print); 0269-2813 (Linking)&lt;/_isbn&gt;&lt;_issue&gt;1&lt;/_issue&gt;&lt;_journal&gt;Aliment Pharmacol Ther&lt;/_journal&gt;&lt;_language&gt;eng&lt;/_language&gt;&lt;_modified&gt;65116712&lt;/_modified&gt;&lt;_pages&gt;33-45&lt;/_pages&gt;&lt;_social_category&gt;医学(1)&lt;/_social_category&gt;&lt;_subject_headings&gt;Disease Progression; Endoscopy, Gastrointestinal/methods; Esophagitis/etiology/therapy; *Gastroesophageal Reflux/diagnosis/etiology/therapy; Humans&lt;/_subject_headings&gt;&lt;_tertiary_title&gt;Alimentary pharmacology &amp;amp; therapeutics&lt;/_tertiary_title&gt;&lt;_type_work&gt;Journal Article; Review; Systematic Review&lt;/_type_work&gt;&lt;_url&gt;http://www.ncbi.nlm.nih.gov/entrez/query.fcgi?cmd=Retrieve&amp;amp;db=pubmed&amp;amp;dopt=Abstract&amp;amp;list_uids=16803601&amp;amp;query_hl=1&lt;/_url&gt;&lt;_volume&gt;24&lt;/_volume&gt;&lt;/Details&gt;&lt;Extra&gt;&lt;DBUID&gt;{C3DDB144-B9A5-4BD3-B74E-FCFC25704025}&lt;/DBUID&gt;&lt;/Extra&gt;&lt;/Item&gt;&lt;/References&gt;&lt;/Group&gt;&lt;/Citation&gt;_x000a_"/>
    <w:docVar w:name="NE.Ref{B6F63E51-005C-41E9-BE83-8B48FA25F8A0}" w:val=" ADDIN NE.Ref.{B6F63E51-005C-41E9-BE83-8B48FA25F8A0}&lt;Citation&gt;&lt;Group&gt;&lt;References&gt;&lt;Item&gt;&lt;ID&gt;561&lt;/ID&gt;&lt;UID&gt;{98829423-C3F1-4CC1-8A49-91F6C1B204F8}&lt;/UID&gt;&lt;Title&gt;Long-Term Clinical Course after Successful Initial Treatment in Patients with  Mild Erosive Esophagitis: A Prospective Follow-Up Study&lt;/Title&gt;&lt;Template&gt;Journal Article&lt;/Template&gt;&lt;Star&gt;0&lt;/Star&gt;&lt;Tag&gt;0&lt;/Tag&gt;&lt;Author&gt;Okanobu, H; Kohno, T; Boda, K; Ochi, H; Furukawa, Y&lt;/Author&gt;&lt;Year&gt;2023&lt;/Year&gt;&lt;Details&gt;&lt;_accessed&gt;65120970&lt;/_accessed&gt;&lt;_accession_num&gt;36716726&lt;/_accession_num&gt;&lt;_author_adr&gt;Department of Gastroenterology, Hiroshima Red Cross Hospital &amp;amp; Atomic-bomb  Survivors Hospital, Hiroshima, Japan.; Department of Gastroenterology, Hiroshima Red Cross Hospital &amp;amp; Atomic-bomb  Survivors Hospital, Hiroshima, Japan.; Department of Gastroenterology, Hiroshima Red Cross Hospital &amp;amp; Atomic-bomb  Survivors Hospital, Hiroshima, Japan.; Department of Medical Checkup Center, Hiroshima Red Cross Hospital &amp;amp; Atomic-bomb  Survivors Hospital, Hiroshima, Japan.; Department of Gastroenterology, Hiroshima Red Cross Hospital &amp;amp; Atomic-bomb  Survivors Hospital, Hiroshima, Japan.&lt;/_author_adr&gt;&lt;_collection_scope&gt;SCIE&lt;/_collection_scope&gt;&lt;_created&gt;65116733&lt;/_created&gt;&lt;_date&gt;2023-01-20&lt;/_date&gt;&lt;_date_display&gt;2023&lt;/_date_display&gt;&lt;_db_updated&gt;PubMed&lt;/_db_updated&gt;&lt;_doi&gt;10.1159/000528690&lt;/_doi&gt;&lt;_impact_factor&gt;   3.672&lt;/_impact_factor&gt;&lt;_isbn&gt;1421-9867 (Electronic); 0012-2823 (Linking)&lt;/_isbn&gt;&lt;_issue&gt;4&lt;/_issue&gt;&lt;_journal&gt;Digestion&lt;/_journal&gt;&lt;_keywords&gt;Clinical course; GERD; Mild erosive esophagitis; Predictive factor; Vonoprazan&lt;/_keywords&gt;&lt;_language&gt;eng&lt;/_language&gt;&lt;_modified&gt;65120970&lt;/_modified&gt;&lt;_ori_publication&gt;(c) 2023 S. Karger AG, Basel.&lt;/_ori_publication&gt;&lt;_pages&gt;283-290&lt;/_pages&gt;&lt;_social_category&gt;医学(3)&lt;/_social_category&gt;&lt;_subject_headings&gt;Humans; Follow-Up Studies; Proton Pump Inhibitors/therapeutic use; *Hernia, Hiatal/complications; Prospective Studies; *Esophagitis; *Peptic Ulcer; Endoscopy, Gastrointestinal; Disease Progression; *Esophagitis, Peptic/drug therapy&lt;/_subject_headings&gt;&lt;_tertiary_title&gt;Digestion&lt;/_tertiary_title&gt;&lt;_type_work&gt;Journal Article&lt;/_type_work&gt;&lt;_url&gt;http://www.ncbi.nlm.nih.gov/entrez/query.fcgi?cmd=Retrieve&amp;amp;db=pubmed&amp;amp;dopt=Abstract&amp;amp;list_uids=36716726&amp;amp;query_hl=1&lt;/_url&gt;&lt;_volume&gt;104&lt;/_volume&gt;&lt;_custom1&gt;43&lt;/_custom1&gt;&lt;/Details&gt;&lt;Extra&gt;&lt;DBUID&gt;{C3DDB144-B9A5-4BD3-B74E-FCFC25704025}&lt;/DBUID&gt;&lt;/Extra&gt;&lt;/Item&gt;&lt;/References&gt;&lt;/Group&gt;&lt;/Citation&gt;_x000a_"/>
    <w:docVar w:name="NE.Ref{BFEA13BE-2220-46DB-A64D-15BE6EDE5364}" w:val=" ADDIN NE.Ref.{BFEA13BE-2220-46DB-A64D-15BE6EDE5364}&lt;Citation&gt;&lt;Group&gt;&lt;References&gt;&lt;Item&gt;&lt;ID&gt;564&lt;/ID&gt;&lt;UID&gt;{3FCAD8A9-1BC7-45DE-BCA0-4D7C2B2E6CC8}&lt;/UID&gt;&lt;Title&gt;Efficacy of long-term maintenance therapy with 10-mg vonoprazan for proton pump  inhibitor-resistant reflux esophagitis&lt;/Title&gt;&lt;Template&gt;Journal Article&lt;/Template&gt;&lt;Star&gt;0&lt;/Star&gt;&lt;Tag&gt;0&lt;/Tag&gt;&lt;Author&gt;Tanabe, T; Hoshino, S; Kawami, N; Hoshikawa, Y; Hanada, Y; Takenouchi, N; Goto, O; Kaise, M; Iwakiri, K&lt;/Author&gt;&lt;Year&gt;2019&lt;/Year&gt;&lt;Details&gt;&lt;_accession_num&gt;31119492&lt;/_accession_num&gt;&lt;_author_adr&gt;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Department of Gastroenterology, Nippon Medical School, Graduate School of  Medicine, 1-1-5, Sendagi, Bunkyo-ku, Tokyo, 113-8603, Japan. k-iwa@nms.ac.jp.&lt;/_author_adr&gt;&lt;_date_display&gt;2019 Oct&lt;/_date_display&gt;&lt;_date&gt;2019-10-01&lt;/_date&gt;&lt;_doi&gt;10.1007/s10388-019-00676-x&lt;/_doi&gt;&lt;_isbn&gt;1612-9067 (Electronic); 1612-9059 (Linking)&lt;/_isbn&gt;&lt;_issue&gt;4&lt;/_issue&gt;&lt;_journal&gt;Esophagus&lt;/_journal&gt;&lt;_keywords&gt;Maintenance therapy; PPI-resistant reflux esophagitis; Vonoprazan&lt;/_keywords&gt;&lt;_language&gt;eng&lt;/_language&gt;&lt;_pages&gt;377-381&lt;/_pages&gt;&lt;_subject_headings&gt;Aged; Drug Resistance; Endoscopy, Gastrointestinal; Esophagitis, Peptic/diagnostic imaging/*drug therapy; Female; Gastric Mucosa/diagnostic imaging/metabolism; Gastrins/metabolism; Humans; Maintenance Chemotherapy; Male; Middle Aged; Proton Pump Inhibitors/administration &amp;amp; dosage/*therapeutic use; Pyrroles/administration &amp;amp; dosage/*therapeutic use; Recurrence; Sulfonamides/administration &amp;amp; dosage/*therapeutic use; Symptom Assessment; Time Factors&lt;/_subject_headings&gt;&lt;_tertiary_title&gt;Esophagus : official journal of the Japan Esophageal Society&lt;/_tertiary_title&gt;&lt;_type_work&gt;Journal Article&lt;/_type_work&gt;&lt;_url&gt;http://www.ncbi.nlm.nih.gov/entrez/query.fcgi?cmd=Retrieve&amp;amp;db=pubmed&amp;amp;dopt=Abstract&amp;amp;list_uids=31119492&amp;amp;query_hl=1&lt;/_url&gt;&lt;_volume&gt;16&lt;/_volume&gt;&lt;_created&gt;65120968&lt;/_created&gt;&lt;_modified&gt;65120968&lt;/_modified&gt;&lt;_db_updated&gt;PubMed&lt;/_db_updated&gt;&lt;_impact_factor&gt;   3.671&lt;/_impact_factor&gt;&lt;_social_category&gt;医学(3)&lt;/_social_category&gt;&lt;_collection_scope&gt;SCIE&lt;/_collection_scope&gt;&lt;/Details&gt;&lt;Extra&gt;&lt;DBUID&gt;{C3DDB144-B9A5-4BD3-B74E-FCFC25704025}&lt;/DBUID&gt;&lt;/Extra&gt;&lt;/Item&gt;&lt;/References&gt;&lt;/Group&gt;&lt;/Citation&gt;_x000a_"/>
    <w:docVar w:name="NE.Ref{C4D3D417-69F8-4E2F-BB00-4820D07ACEB3}" w:val=" ADDIN NE.Ref.{C4D3D417-69F8-4E2F-BB00-4820D07ACEB3}&lt;Citation&gt;&lt;Group&gt;&lt;References&gt;&lt;Item&gt;&lt;ID&gt;544&lt;/ID&gt;&lt;UID&gt;{00EF528D-0F67-4B88-AAEA-3A89F50DF46F}&lt;/UID&gt;&lt;Title&gt;Night-time gastric acid suppression by tegoprazan compared to vonoprazan or  esomeprazole&lt;/Title&gt;&lt;Template&gt;Journal Article&lt;/Template&gt;&lt;Star&gt;0&lt;/Star&gt;&lt;Tag&gt;0&lt;/Tag&gt;&lt;Author&gt;Yang, E; Kim, S; Kim, B; Kim, B; Kim, Y; Park, S S; Song, G S; Yu, K S; Jang, I J; Lee, S&lt;/Author&gt;&lt;Year&gt;2022&lt;/Year&gt;&lt;Details&gt;&lt;_accessed&gt;65116715&lt;/_accessed&gt;&lt;_accession_num&gt;35146797&lt;/_accession_num&gt;&lt;_author_adr&gt;Department of Clinical Pharmacology and Therapeutics, Seoul National University  College of Medicine and Hospital, Seoul, Republic of Korea.; Division of Clinical Development, HK inno. N Corp., Seoul, Republic of Korea.; Division of Clinical Development, HK inno. N Corp., Seoul, Republic of Korea.; Department of Laboratory Medicine, Seoul National University College of Medicine  and Hospital, Seoul, Republic of Korea.; Department of Laboratory Medicine, Seoul National University College of Medicine  and Hospital, Seoul, Republic of Korea.; Department of Laboratory Medicine, Seoul National University College of Medicine  and Hospital, Seoul, Republic of Korea.; Division of Clinical Development, HK inno. N Corp., Seoul, Republic of Korea.; Department of Clinical Pharmacology and Therapeutics, Seoul National University  College of Medicine and Hospital, Seoul, Republic of Korea.; Department of Clinical Pharmacology and Therapeutics, Seoul National University  College of Medicine and Hospital, Seoul, Republic of Korea.; Department of Clinical Pharmacology and Therapeutics, Seoul National University  College of Medicine and Hospital, Seoul, Republic of Korea.&lt;/_author_adr&gt;&lt;_collection_scope&gt;SCIE&lt;/_collection_scope&gt;&lt;_created&gt;65116671&lt;/_created&gt;&lt;_custom1&gt;28&lt;/_custom1&gt;&lt;_date&gt;2022-07-01&lt;/_date&gt;&lt;_date_display&gt;2022 Jul&lt;/_date_display&gt;&lt;_db_updated&gt;PubMed&lt;/_db_updated&gt;&lt;_doi&gt;10.1111/bcp.15268&lt;/_doi&gt;&lt;_impact_factor&gt;   3.716&lt;/_impact_factor&gt;&lt;_isbn&gt;1365-2125 (Electronic); 0306-5251 (Print); 0306-5251 (Linking)&lt;/_isbn&gt;&lt;_issue&gt;7&lt;/_issue&gt;&lt;_journal&gt;Br J Clin Pharmacol&lt;/_journal&gt;&lt;_keywords&gt;CYP2C19 genetic polymorphisms; gastroesophageal reflux disease; nocturnal acid breakthrough; potassium-competitive acid blocker; proton-pump inhibitor&lt;/_keywords&gt;&lt;_language&gt;eng&lt;/_language&gt;&lt;_modified&gt;65116715&lt;/_modified&gt;&lt;_ori_publication&gt;(c) 2022 The Authors. British Journal of Clinical Pharmacology published by John _x000d__x000a_      Wiley &amp;amp; Sons Ltd on behalf of British Pharmacological Society.&lt;/_ori_publication&gt;&lt;_pages&gt;3288-3296&lt;/_pages&gt;&lt;_social_category&gt;医学(2)&lt;/_social_category&gt;&lt;_subject_headings&gt;Benzene Derivatives; Cross-Over Studies; Cytochrome P-450 CYP2C19/genetics; *Esomeprazole/pharmacology; *Gastric Acid; Humans; Hydrogen-Ion Concentration; Imidazoles; Proton Pump Inhibitors/pharmacology; Pyrroles; Sulfonamides&lt;/_subject_headings&gt;&lt;_tertiary_title&gt;British journal of clinical pharmacology&lt;/_tertiary_title&gt;&lt;_type_work&gt;Journal Article; Randomized Controlled Trial; Research Support, Non-U.S. Gov&amp;apos;t&lt;/_type_work&gt;&lt;_url&gt;http://www.ncbi.nlm.nih.gov/entrez/query.fcgi?cmd=Retrieve&amp;amp;db=pubmed&amp;amp;dopt=Abstract&amp;amp;list_uids=35146797&amp;amp;query_hl=1&lt;/_url&gt;&lt;_volume&gt;88&lt;/_volume&gt;&lt;/Details&gt;&lt;Extra&gt;&lt;DBUID&gt;{C3DDB144-B9A5-4BD3-B74E-FCFC25704025}&lt;/DBUID&gt;&lt;/Extra&gt;&lt;/Item&gt;&lt;/References&gt;&lt;/Group&gt;&lt;Group&gt;&lt;References&gt;&lt;Item&gt;&lt;ID&gt;566&lt;/ID&gt;&lt;UID&gt;{F742E692-7A05-481D-AAFC-D466C1A554DD}&lt;/UID&gt;&lt;Title&gt;Potent acid inhibition by vonoprazan in comparison with esomeprazole, with  reference to CYP2C19 genotype&lt;/Title&gt;&lt;Template&gt;Journal Article&lt;/Template&gt;&lt;Star&gt;0&lt;/Star&gt;&lt;Tag&gt;5&lt;/Tag&gt;&lt;Author&gt;Kagami, T; Sahara, S; Ichikawa, H; Uotani, T; Yamade, M; Sugimoto, M; Hamaya, Y; Iwaizumi, M; Osawa, S; Sugimoto, K; Miyajima, H; Furuta, T&lt;/Author&gt;&lt;Year&gt;2016&lt;/Year&gt;&lt;Details&gt;&lt;_accession_num&gt;26991399&lt;/_accession_num&gt;&lt;_author_adr&gt;First Department of Medicine, Hamamatsu University School of Medicine, Hamamatsu,  Japan.; First Department of Medicine, Hamamatsu University School of Medicine, Hamamatsu,  Japan.; First Department of Medicine, Hamamatsu University School of Medicine, Hamamatsu,  Japan.; First Department of Medicine, Hamamatsu University School of Medicine, Hamamatsu,  Japan.; First Department of Medicine, Hamamatsu University School of Medicine, Hamamatsu,  Japan.; First Department of Medicine, Hamamatsu University School of Medicine, Hamamatsu,  Japan.; Department of Clinical Oncology, Hamamatsu University School of Medicine,  Hamamatsu, Japan.; First Department of Medicine, Hamamatsu University School of Medicine, Hamamatsu,  Japan.; Department of Endoscopic and Photodynamic Medicine, Hamamatsu University School  of Medicine, Hamamatsu, Japan.; First Department of Medicine, Hamamatsu University School of Medicine, Hamamatsu,  Japan.; First Department of Medicine, Hamamatsu University School of Medicine, Hamamatsu,  Japan.; Center for Clinical Research, Hamamatsu University School of Medicine, Hamamatsu,  Japan.&lt;/_author_adr&gt;&lt;_date_display&gt;2016 May&lt;/_date_display&gt;&lt;_date&gt;2016-05-01&lt;/_date&gt;&lt;_doi&gt;10.1111/apt.13588&lt;/_doi&gt;&lt;_isbn&gt;1365-2036 (Electronic); 0269-2813 (Linking)&lt;/_isbn&gt;&lt;_issue&gt;10&lt;/_issue&gt;&lt;_journal&gt;Aliment Pharmacol Ther&lt;/_journal&gt;&lt;_language&gt;eng&lt;/_language&gt;&lt;_ori_publication&gt;(c) 2016 John Wiley &amp;amp; Sons Ltd.&lt;/_ori_publication&gt;&lt;_pages&gt;1048-59&lt;/_pages&gt;&lt;_subject_headings&gt;Adult; Cross-Over Studies; Cytochrome P-450 CYP2C19/*genetics; Dose-Response Relationship, Drug; Drug Administration Schedule; Esomeprazole/administration &amp;amp; dosage/pharmacokinetics/*pharmacology; Female; Gastric Acid/*metabolism; Genotype; Humans; Hydrogen-Ion Concentration; Japan; Male; Proton Pump Inhibitors/administration &amp;amp; dosage/pharmacokinetics/*pharmacology; Pyrroles/administration &amp;amp; dosage/pharmacokinetics/*pharmacology; Sulfonamides/administration &amp;amp; dosage/pharmacokinetics/*pharmacology&lt;/_subject_headings&gt;&lt;_tertiary_title&gt;Alimentary pharmacology &amp;amp; therapeutics&lt;/_tertiary_title&gt;&lt;_type_work&gt;Comparative Study; Journal Article; Randomized Controlled Trial; Research Support, Non-U.S. Gov&amp;apos;t&lt;/_type_work&gt;&lt;_url&gt;http://www.ncbi.nlm.nih.gov/entrez/query.fcgi?cmd=Retrieve&amp;amp;db=pubmed&amp;amp;dopt=Abstract&amp;amp;list_uids=26991399&amp;amp;query_hl=1&lt;/_url&gt;&lt;_volume&gt;43&lt;/_volume&gt;&lt;_created&gt;65120978&lt;/_created&gt;&lt;_modified&gt;65120979&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Citation&gt;_x000a_"/>
    <w:docVar w:name="NE.Ref{C706F9CD-5A15-4C32-819E-B441269BF49D}" w:val=" ADDIN NE.Ref.{C706F9CD-5A15-4C32-819E-B441269BF49D}&lt;Citation&gt;&lt;Group&gt;&lt;References&gt;&lt;Item&gt;&lt;ID&gt;519&lt;/ID&gt;&lt;UID&gt;{7BBC2EF9-1FF7-4818-8B36-DC3EAEBDB653}&lt;/UID&gt;&lt;Title&gt;AGA Clinical Practice Update on the Personalized Approach to the Evaluation and  Management of GERD: Expert Review&lt;/Title&gt;&lt;Template&gt;Journal Article&lt;/Template&gt;&lt;Star&gt;0&lt;/Star&gt;&lt;Tag&gt;0&lt;/Tag&gt;&lt;Author&gt;Yadlapati, R; Gyawali, C P; Pandolfino, J E&lt;/Author&gt;&lt;Year&gt;2022&lt;/Year&gt;&lt;Details&gt;&lt;_accessed&gt;65116711&lt;/_accessed&gt;&lt;_accession_num&gt;35123084&lt;/_accession_num&gt;&lt;_author_adr&gt;Division of Gastroenterology, University of California San Diego School of  Medicine, La Jolla, California.; Division of Gastroenterology, Washington University School of Medicine, St.  Louis, Missouri. Electronic address: cprakash@wustl.edu.; Division of Gastroenterology, Northwestern University Feinberg School of  Medicine, Chicago, Illinois.&lt;/_author_adr&gt;&lt;_collection_scope&gt;SCIE&lt;/_collection_scope&gt;&lt;_created&gt;65116604&lt;/_created&gt;&lt;_custom1&gt;3&lt;/_custom1&gt;&lt;_date&gt;2022-05-01&lt;/_date&gt;&lt;_date_display&gt;2022 May&lt;/_date_display&gt;&lt;_db_updated&gt;PubMed&lt;/_db_updated&gt;&lt;_doi&gt;10.1016/j.cgh.2022.01.025&lt;/_doi&gt;&lt;_impact_factor&gt;  13.576&lt;/_impact_factor&gt;&lt;_isbn&gt;1542-7714 (Electronic); 1542-3565 (Print); 1542-3565 (Linking)&lt;/_isbn&gt;&lt;_issue&gt;5&lt;/_issue&gt;&lt;_journal&gt;Clin Gastroenterol Hepatol&lt;/_journal&gt;&lt;_keywords&gt;Ambulatory Reflux Monitoring; Gastroesophageal Reflux Disease; Proton Pump Inhibitors&lt;/_keywords&gt;&lt;_language&gt;eng&lt;/_language&gt;&lt;_modified&gt;65116711&lt;/_modified&gt;&lt;_ori_publication&gt;Copyright (c) 2022 AGA Institute. Published by Elsevier Inc. All rights reserved.&lt;/_ori_publication&gt;&lt;_pages&gt;984-994.e1&lt;/_pages&gt;&lt;_social_category&gt;医学(1)&lt;/_social_category&gt;&lt;_subject_headings&gt;*Barrett Esophagus/diagnosis; Chest Pain/complications/drug therapy; *Gastroesophageal Reflux/complications/diagnosis/therapy; Heartburn/diagnosis/drug therapy/etiology; Humans; Proton Pump Inhibitors/therapeutic use&lt;/_subject_headings&gt;&lt;_tertiary_title&gt;Clinical gastroenterology and hepatology : the official clinical practice journal _x000d__x000a_      of the American Gastroenterological Association&lt;/_tertiary_title&gt;&lt;_type_work&gt;Practice Guideline; Research Support, N.I.H., Extramural; Review&lt;/_type_work&gt;&lt;_url&gt;http://www.ncbi.nlm.nih.gov/entrez/query.fcgi?cmd=Retrieve&amp;amp;db=pubmed&amp;amp;dopt=Abstract&amp;amp;list_uids=35123084&amp;amp;query_hl=1&lt;/_url&gt;&lt;_volume&gt;20&lt;/_volume&gt;&lt;/Details&gt;&lt;Extra&gt;&lt;DBUID&gt;{C3DDB144-B9A5-4BD3-B74E-FCFC25704025}&lt;/DBUID&gt;&lt;/Extra&gt;&lt;/Item&gt;&lt;/References&gt;&lt;/Group&gt;&lt;Group&gt;&lt;References&gt;&lt;Item&gt;&lt;ID&gt;520&lt;/ID&gt;&lt;UID&gt;{4DC36D14-3F1D-438A-866F-2510F9D7C950}&lt;/UID&gt;&lt;Title&gt;Evidence-based clinical practice guidelines for gastroesophageal reflux disease  2021&lt;/Title&gt;&lt;Template&gt;Journal Article&lt;/Template&gt;&lt;Star&gt;0&lt;/Star&gt;&lt;Tag&gt;0&lt;/Tag&gt;&lt;Author&gt;Iwakiri, K; Fujiwara, Y; Manabe, N; Ihara, E; Kuribayashi, S; Akiyama, J; Kondo, T; Yamashita, H; Ishimura, N; Kitasako, Y; Iijima, K; Koike, T; Omura, N; Nomura, T; Kawamura, O; Ohara, S; Ozawa, S; Kinoshita, Y; Mochida, S; Enomoto, N; Shimosegawa, T; Koike, K&lt;/Author&gt;&lt;Year&gt;2022&lt;/Year&gt;&lt;Details&gt;&lt;_accessed&gt;65116711&lt;/_accessed&gt;&lt;_accession_num&gt;35226174&lt;/_accession_num&gt;&lt;_author_adr&gt;Guidelines Committee for Creating and Evaluating the &amp;quot;Evidence-Based Clinical  Practice Guidelines for Gastroesophageal Reflux Disease&amp;quot;, The Japanese Society of  Gastroenterology, 6F Shimbashi i-MARK Building, 2-6-2 Shimbashi, Minato-ku,  Tokyo, 105-0004, Japan. k-iwa@nms.ac.jp.; Department of Gastroenterology, Nippon Medical School Graduate School of  Medicine, 1-1-5 Sendagi, Bunkyo-ku, Tokyo, 113-8603, Japan. k-iwa@nms.ac.jp.;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 Guidelines Committee for Creating and Evaluating the &amp;quot;Evidence-Based Clinical  Practice Guidelines for Gastroesophageal Reflux Disease&amp;quot;, The Japanese Society of  Gastroenterology, 6F Shimbashi i-MARK Building, 2-6-2 Shimbashi, Minato-ku,  Tokyo, 105-0004, Japan.&lt;/_author_adr&gt;&lt;_collection_scope&gt;SCIE&lt;/_collection_scope&gt;&lt;_created&gt;65116606&lt;/_created&gt;&lt;_custom1&gt;4&lt;/_custom1&gt;&lt;_date&gt;2022-04-01&lt;/_date&gt;&lt;_date_display&gt;2022 Apr&lt;/_date_display&gt;&lt;_db_updated&gt;PubMed&lt;/_db_updated&gt;&lt;_doi&gt;10.1007/s00535-022-01861-z&lt;/_doi&gt;&lt;_impact_factor&gt;   6.772&lt;/_impact_factor&gt;&lt;_isbn&gt;1435-5922 (Electronic); 0944-1174 (Print); 0944-1174 (Linking)&lt;/_isbn&gt;&lt;_issue&gt;4&lt;/_issue&gt;&lt;_journal&gt;J Gastroenterol&lt;/_journal&gt;&lt;_keywords&gt;Algorithm; Gastroesophageal reflux disease (GERD); Guidelines; Heartburn; Japanese traditional medicine; Non-erosive reflux disease; Potassium-competitive acid blocker (P-CAB); Prokinetic drug; Proton pump inhibitor; Reflux esophagitis; Vonoprazan&lt;/_keywords&gt;&lt;_language&gt;eng&lt;/_language&gt;&lt;_modified&gt;65116711&lt;/_modified&gt;&lt;_ori_publication&gt;(c) 2022. The Author(s).&lt;/_ori_publication&gt;&lt;_pages&gt;267-285&lt;/_pages&gt;&lt;_social_category&gt;医学(1)&lt;/_social_category&gt;&lt;_subject_headings&gt;*Esophagitis, Peptic/diagnosis/drug therapy; Evidence-Based Practice; *Gastroenterology; *Gastroesophageal Reflux/diagnosis/drug therapy; Humans; Proton Pump Inhibitors/therapeutic use&lt;/_subject_headings&gt;&lt;_tertiary_title&gt;Journal of gastroenterology&lt;/_tertiary_title&gt;&lt;_type_work&gt;Journal Article; Research Support, Non-U.S. Gov&amp;apos;t; Review&lt;/_type_work&gt;&lt;_url&gt;http://www.ncbi.nlm.nih.gov/entrez/query.fcgi?cmd=Retrieve&amp;amp;db=pubmed&amp;amp;dopt=Abstract&amp;amp;list_uids=35226174&amp;amp;query_hl=1&lt;/_url&gt;&lt;_volume&gt;57&lt;/_volume&gt;&lt;/Details&gt;&lt;Extra&gt;&lt;DBUID&gt;{C3DDB144-B9A5-4BD3-B74E-FCFC25704025}&lt;/DBUID&gt;&lt;/Extra&gt;&lt;/Item&gt;&lt;/References&gt;&lt;/Group&gt;&lt;Group&gt;&lt;References&gt;&lt;Item&gt;&lt;ID&gt;521&lt;/ID&gt;&lt;UID&gt;{FD4777C6-0B99-4F71-B442-C9BDEA2E6C68}&lt;/UID&gt;&lt;Title&gt;ESNM/ANMS consensus paper: Diagnosis and management of refractory  gastro-esophageal reflux disease&lt;/Title&gt;&lt;Template&gt;Journal Article&lt;/Template&gt;&lt;Star&gt;0&lt;/Star&gt;&lt;Tag&gt;0&lt;/Tag&gt;&lt;Author&gt;Zerbib, F; Bredenoord, A J; Fass, R; Kahrilas, P J; Roman, S; Savarino, E; Sifrim, D; Vaezi, M; Yadlapati, R; Gyawali, C P&lt;/Author&gt;&lt;Year&gt;2021&lt;/Year&gt;&lt;Details&gt;&lt;_accessed&gt;65116711&lt;/_accessed&gt;&lt;_accession_num&gt;33368919&lt;/_accession_num&gt;&lt;_author_adr&gt;CHU de Bordeaux, Centre Medico-chirurgical Magellan, Hopital Haut-Leveque,  Gastroenterology Department, Universite de Bordeaux, INSERM CIC 1401, Bordeaux,  France.; Department of Gastroenterology, AMC Amsterdam, Amsterdam, The Netherlands.; Digestive Health Center, MetroHealth System, Cleveland, OH, USA.; Division of Gastroenterology and Hepatology, Northwestern University, Chicago,  IL, USA.; Hospices Civils de Lyon, Hopital E Herriot, Digestive Physiology, Universite de  Lyon, Inserm U1032, LabTAU, Lyon, France.; Division of Gastroenterology, Department of Surgical, Oncological and  Gastroenterological Sciences, University Hospital of Padua, Padua, Italy.; Barts and The London School of Medicine and Dentistry, Queen Mary University of  London, London, UK.; Division of Gastroenterology, Vanderbilt University, Nashville, TN, USA.; Division of Gastroenterology, University of California San Diego School of  Medicine, La Jolla, CA, USA.; Division of Gastroenterology, Washington University School of Medicine, St.  Louis, MO, USA.&lt;/_author_adr&gt;&lt;_collection_scope&gt;SCIE&lt;/_collection_scope&gt;&lt;_created&gt;65116608&lt;/_created&gt;&lt;_custom1&gt;5&lt;/_custom1&gt;&lt;_date&gt;2021-04-01&lt;/_date&gt;&lt;_date_display&gt;2021 Apr&lt;/_date_display&gt;&lt;_db_updated&gt;PubMed&lt;/_db_updated&gt;&lt;_doi&gt;10.1111/nmo.14075&lt;/_doi&gt;&lt;_impact_factor&gt;   3.960&lt;/_impact_factor&gt;&lt;_isbn&gt;1365-2982 (Electronic); 1350-1925 (Linking)&lt;/_isbn&gt;&lt;_issue&gt;4&lt;/_issue&gt;&lt;_journal&gt;Neurogastroenterol Motil&lt;/_journal&gt;&lt;_keywords&gt;Barrett&amp;apos;s esophagus; esophagitis; gastroesophageal reflux; laparoscopic fundoplication; pH-impedance monitoring; peptic stricture; proton pump inhibitor&lt;/_keywords&gt;&lt;_language&gt;eng&lt;/_language&gt;&lt;_modified&gt;65116711&lt;/_modified&gt;&lt;_ori_publication&gt;(c) 2020 John Wiley &amp;amp; Sons Ltd.&lt;/_ori_publication&gt;&lt;_pages&gt;e14075&lt;/_pages&gt;&lt;_social_category&gt;医学(3)&lt;/_social_category&gt;&lt;_subject_headings&gt;*Consensus; *Disease Management; Eructation/diagnosis/physiopathology/therapy; Esophageal pH Monitoring/methods/standards; Gastroesophageal Reflux/*diagnosis/physiopathology/*therapy; Humans; Manometry/methods/standards; Proton Pump Inhibitors/therapeutic use; *Risk Reduction Behavior&lt;/_subject_headings&gt;&lt;_tertiary_title&gt;Neurogastroenterology and motility&lt;/_tertiary_title&gt;&lt;_type_work&gt;Journal Article; Review&lt;/_type_work&gt;&lt;_url&gt;http://www.ncbi.nlm.nih.gov/entrez/query.fcgi?cmd=Retrieve&amp;amp;db=pubmed&amp;amp;dopt=Abstract&amp;amp;list_uids=33368919&amp;amp;query_hl=1&lt;/_url&gt;&lt;_volume&gt;33&lt;/_volume&gt;&lt;/Details&gt;&lt;Extra&gt;&lt;DBUID&gt;{C3DDB144-B9A5-4BD3-B74E-FCFC25704025}&lt;/DBUID&gt;&lt;/Extra&gt;&lt;/Item&gt;&lt;/References&gt;&lt;/Group&gt;&lt;/Citation&gt;_x000a_"/>
    <w:docVar w:name="NE.Ref{C73389B2-FCBD-4C25-9817-12C87388B103}" w:val=" ADDIN NE.Ref.{C73389B2-FCBD-4C25-9817-12C87388B103}&lt;Citation&gt;&lt;Group&gt;&lt;References&gt;&lt;Item&gt;&lt;ID&gt;524&lt;/ID&gt;&lt;UID&gt;{C9383FF7-A86D-48A1-B694-2F89B59527B3}&lt;/UID&gt;&lt;Title&gt;Systematic review: does gastro-oesophageal reflux disease progress?&lt;/Title&gt;&lt;Template&gt;Journal Article&lt;/Template&gt;&lt;Star&gt;0&lt;/Star&gt;&lt;Tag&gt;0&lt;/Tag&gt;&lt;Author&gt;Fullard, M; Kang, J Y; Neild, P; Poullis, A; Maxwell, J D&lt;/Author&gt;&lt;Year&gt;2006&lt;/Year&gt;&lt;Details&gt;&lt;_accessed&gt;65116712&lt;/_accessed&gt;&lt;_accession_num&gt;16803601&lt;/_accession_num&gt;&lt;_author_adr&gt;Department of Gastroenterology, St George&amp;apos;s Hospital, London, UK.&lt;/_author_adr&gt;&lt;_collection_scope&gt;SCIE&lt;/_collection_scope&gt;&lt;_created&gt;65116614&lt;/_created&gt;&lt;_custom1&gt;9&lt;/_custom1&gt;&lt;_date&gt;2006-07-01&lt;/_date&gt;&lt;_date_display&gt;2006 Jul 1&lt;/_date_display&gt;&lt;_db_updated&gt;PubMed&lt;/_db_updated&gt;&lt;_doi&gt;10.1111/j.1365-2036.2006.02963.x&lt;/_doi&gt;&lt;_impact_factor&gt;   9.524&lt;/_impact_factor&gt;&lt;_isbn&gt;0269-2813 (Print); 0269-2813 (Linking)&lt;/_isbn&gt;&lt;_issue&gt;1&lt;/_issue&gt;&lt;_journal&gt;Aliment Pharmacol Ther&lt;/_journal&gt;&lt;_language&gt;eng&lt;/_language&gt;&lt;_modified&gt;65116712&lt;/_modified&gt;&lt;_pages&gt;33-45&lt;/_pages&gt;&lt;_social_category&gt;医学(1)&lt;/_social_category&gt;&lt;_subject_headings&gt;Disease Progression; Endoscopy, Gastrointestinal/methods; Esophagitis/etiology/therapy; *Gastroesophageal Reflux/diagnosis/etiology/therapy; Humans&lt;/_subject_headings&gt;&lt;_tertiary_title&gt;Alimentary pharmacology &amp;amp; therapeutics&lt;/_tertiary_title&gt;&lt;_type_work&gt;Journal Article; Review; Systematic Review&lt;/_type_work&gt;&lt;_url&gt;http://www.ncbi.nlm.nih.gov/entrez/query.fcgi?cmd=Retrieve&amp;amp;db=pubmed&amp;amp;dopt=Abstract&amp;amp;list_uids=16803601&amp;amp;query_hl=1&lt;/_url&gt;&lt;_volume&gt;24&lt;/_volume&gt;&lt;/Details&gt;&lt;Extra&gt;&lt;DBUID&gt;{C3DDB144-B9A5-4BD3-B74E-FCFC25704025}&lt;/DBUID&gt;&lt;/Extra&gt;&lt;/Item&gt;&lt;/References&gt;&lt;/Group&gt;&lt;Group&gt;&lt;References&gt;&lt;Item&gt;&lt;ID&gt;525&lt;/ID&gt;&lt;UID&gt;{58F05553-9C01-423D-A8FC-069CCF13A029}&lt;/UID&gt;&lt;Title&gt;Evolution of gastro-oesophageal reflux disease over 5 years under routine medical  care--the ProGERD study&lt;/Title&gt;&lt;Template&gt;Journal Article&lt;/Template&gt;&lt;Star&gt;0&lt;/Star&gt;&lt;Tag&gt;0&lt;/Tag&gt;&lt;Author&gt;Malfertheiner, P; Nocon, M; Vieth, M; Stolte, M; Jaspersen, D; Koelz, H R; Labenz, J; Leodolter, A; Lind, T; Richter, K; Willich, S N&lt;/Author&gt;&lt;Year&gt;2012&lt;/Year&gt;&lt;Details&gt;&lt;_accessed&gt;65116712&lt;/_accessed&gt;&lt;_accession_num&gt;22070159&lt;/_accession_num&gt;&lt;_author_adr&gt;Department of Gastroenterology, Hepatology and Infectious Diseases,  Otto-von-Guericke University, Magdeburg, Germany. peter.malfertheiner@med.ovgu.de&lt;/_author_adr&gt;&lt;_collection_scope&gt;SCIE&lt;/_collection_scope&gt;&lt;_created&gt;65116615&lt;/_created&gt;&lt;_custom1&gt;10&lt;/_custom1&gt;&lt;_date&gt;2012-01-01&lt;/_date&gt;&lt;_date_display&gt;2012 Jan&lt;/_date_display&gt;&lt;_db_updated&gt;PubMed&lt;/_db_updated&gt;&lt;_doi&gt;10.1111/j.1365-2036.2011.04901.x&lt;/_doi&gt;&lt;_impact_factor&gt;   9.524&lt;/_impact_factor&gt;&lt;_isbn&gt;1365-2036 (Electronic); 0269-2813 (Linking)&lt;/_isbn&gt;&lt;_issue&gt;1&lt;/_issue&gt;&lt;_journal&gt;Aliment Pharmacol Ther&lt;/_journal&gt;&lt;_language&gt;eng&lt;/_language&gt;&lt;_modified&gt;65116712&lt;/_modified&gt;&lt;_ori_publication&gt;(c) 2011 Blackwell Publishing Ltd.&lt;/_ori_publication&gt;&lt;_pages&gt;154-64&lt;/_pages&gt;&lt;_social_category&gt;医学(1)&lt;/_social_category&gt;&lt;_subject_headings&gt;Adult; Aged; Antacids/*therapeutic use; Anti-Ulcer Agents/*therapeutic use; Cohort Studies; Disease Progression; Endoscopy, Gastrointestinal; Esomeprazole/*therapeutic use; Female; Gastroesophageal Reflux/diagnosis/*drug therapy/*physiopathology; Humans; Male; Middle Aged; Prospective Studies; Severity of Illness Index; Time Factors&lt;/_subject_headings&gt;&lt;_tertiary_title&gt;Alimentary pharmacology &amp;amp; therapeutics&lt;/_tertiary_title&gt;&lt;_type_work&gt;Journal Article; Multicenter Study; Research Support, Non-U.S. Gov&amp;apos;t&lt;/_type_work&gt;&lt;_url&gt;http://www.ncbi.nlm.nih.gov/entrez/query.fcgi?cmd=Retrieve&amp;amp;db=pubmed&amp;amp;dopt=Abstract&amp;amp;list_uids=22070159&amp;amp;query_hl=1&lt;/_url&gt;&lt;_volume&gt;35&lt;/_volume&gt;&lt;/Details&gt;&lt;Extra&gt;&lt;DBUID&gt;{C3DDB144-B9A5-4BD3-B74E-FCFC25704025}&lt;/DBUID&gt;&lt;/Extra&gt;&lt;/Item&gt;&lt;/References&gt;&lt;/Group&gt;&lt;/Citation&gt;_x000a_"/>
    <w:docVar w:name="NE.Ref{CAC357BB-EEB2-41CE-91B3-8B04EA18567E}" w:val=" ADDIN NE.Ref.{CAC357BB-EEB2-41CE-91B3-8B04EA18567E}&lt;Citation&gt;&lt;Group&gt;&lt;References&gt;&lt;Item&gt;&lt;ID&gt;546&lt;/ID&gt;&lt;UID&gt;{F243687C-F840-44F8-8F6C-5598AD6182E2}&lt;/UID&gt;&lt;Title&gt;Direct Comparison of the Efficacy and Safety of Vonoprazan Versus Proton-Pump  Inhibitors for Gastroesophageal Reflux Disease: A Systematic Review and  Meta-Analysis&lt;/Title&gt;&lt;Template&gt;Journal Article&lt;/Template&gt;&lt;Star&gt;0&lt;/Star&gt;&lt;Tag&gt;0&lt;/Tag&gt;&lt;Author&gt;Cheng, Y; Liu, J; Tan, X; Dai, Y; Xie, C; Li, X; Lu, Q; Kou, F; Jiang, H; Li, J&lt;/Author&gt;&lt;Year&gt;2021&lt;/Year&gt;&lt;Details&gt;&lt;_accessed&gt;65116715&lt;/_accessed&gt;&lt;_accession_num&gt;32095968&lt;/_accession_num&gt;&lt;_author_adr&gt;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Department of Pharmacotherapy and Oriental Medicine, School of Pharmacy, Hyogo  University of Health Sciences, Hyogo, Japan.; School of Life Science, Beijing University of Chinese Medicine, Beijing, 100029,  China.; Gastroenterology Department, Dongfang Hospital, Beijing University of Chinese  Medicine, No. 6, 1st Section, Fangxingyuan, Fangzhuang, Beijing, 100078,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raduate School of Beijing University of Chinese Medicine, Beijing, China.; Gastroenterology Department, Dongfang Hospital, Beijing University of Chinese  Medicine, No. 6, 1st Section, Fangxingyuan, Fangzhuang, Beijing, 100078, China.; Gastroenterology Department, Dongfang Hospital, Beijing University of Chinese  Medicine, No. 6, 1st Section, Fangxingyuan, Fangzhuang, Beijing, 100078, China.  lijunxiang1226@163.com.&lt;/_author_adr&gt;&lt;_collection_scope&gt;SCIE&lt;/_collection_scope&gt;&lt;_created&gt;65116685&lt;/_created&gt;&lt;_custom1&gt;30&lt;/_custom1&gt;&lt;_date&gt;2021-01-01&lt;/_date&gt;&lt;_date_display&gt;2021 Jan&lt;/_date_display&gt;&lt;_db_updated&gt;PubMed&lt;/_db_updated&gt;&lt;_doi&gt;10.1007/s10620-020-06141-5&lt;/_doi&gt;&lt;_impact_factor&gt;   3.487&lt;/_impact_factor&gt;&lt;_isbn&gt;1573-2568 (Electronic); 0163-2116 (Linking)&lt;/_isbn&gt;&lt;_issue&gt;1&lt;/_issue&gt;&lt;_journal&gt;Dig Dis Sci&lt;/_journal&gt;&lt;_keywords&gt;Gastroesophageal reflux disease; Meta-analysis; Proton-pump inhibitors; Vonoprazan&lt;/_keywords&gt;&lt;_language&gt;eng&lt;/_language&gt;&lt;_modified&gt;65116715&lt;/_modified&gt;&lt;_pages&gt;19-28&lt;/_pages&gt;&lt;_social_category&gt;医学(3)&lt;/_social_category&gt;&lt;_subject_headings&gt;Gastroesophageal Reflux/complications/*diagnosis/*drug therapy; Heartburn/diagnosis/drug therapy/etiology; Humans; Proton Pump Inhibitors/adverse effects/*therapeutic use; Pyrroles/adverse effects/*therapeutic use; Randomized Controlled Trials as Topic/methods; Sulfonamides/adverse effects/*therapeutic use; Treatment Outcome&lt;/_subject_headings&gt;&lt;_tertiary_title&gt;Digestive diseases and sciences&lt;/_tertiary_title&gt;&lt;_type_work&gt;Comparative Study; Journal Article; Meta-Analysis; Research Support, Non-U.S. Gov&amp;apos;t; Systematic Review&lt;/_type_work&gt;&lt;_url&gt;http://www.ncbi.nlm.nih.gov/entrez/query.fcgi?cmd=Retrieve&amp;amp;db=pubmed&amp;amp;dopt=Abstract&amp;amp;list_uids=32095968&amp;amp;query_hl=1&lt;/_url&gt;&lt;_volume&gt;66&lt;/_volume&gt;&lt;/Details&gt;&lt;Extra&gt;&lt;DBUID&gt;{C3DDB144-B9A5-4BD3-B74E-FCFC25704025}&lt;/DBUID&gt;&lt;/Extra&gt;&lt;/Item&gt;&lt;/References&gt;&lt;/Group&gt;&lt;Group&gt;&lt;References&gt;&lt;Item&gt;&lt;ID&gt;547&lt;/ID&gt;&lt;UID&gt;{792F9769-C06B-4137-8144-4239A23C2B00}&lt;/UID&gt;&lt;Title&gt;Incidence and type of adverse events in patients taking vonoprazan: A systematic  review and meta-analysis&lt;/Title&gt;&lt;Template&gt;Journal Article&lt;/Template&gt;&lt;Star&gt;0&lt;/Star&gt;&lt;Tag&gt;0&lt;/Tag&gt;&lt;Author&gt;Xu, W; Bai, Z; Shang, Y; Wang, J; Wong, Y; Qi, X&lt;/Author&gt;&lt;Year&gt;2023&lt;/Year&gt;&lt;Details&gt;&lt;_accessed&gt;65116715&lt;/_accessed&gt;&lt;_accession_num&gt;37113190&lt;/_accession_num&gt;&lt;_author_adr&gt;Department of Gastroenterology, General Hospital of Northern Theater Command,  Shenyang, China.; Department of Life Sciences and Biopharmaceutics, Shenyang Pharmaceutical  University, Shenyang, China.; Department of Gastroenterology, General Hospital of Northern Theater Command,  Shenyang, China.; Department of Life Sciences and Biopharmaceutics, Shenyang Pharmaceutical  University, Shenyang, China.; Department of Gastroenterology, General Hospital of Northern Theater Command,  Shenyang, China.; Department of Life Sciences and Biopharmaceutics, Shenyang Pharmaceutical  University, Shenyang, China.; Department of Gastroenterology, The 960th Hospital of the PLA, Jinan, China.; Department of Gastroenterology and Hepatology, Changi General Hospital,  Singapore, Singapore.; Department of Gastroenterology, General Hospital of Northern Theater Command, No.  83 Wenhua Road, Shenyang, Liaoning 110840, China.&lt;/_author_adr&gt;&lt;_collection_scope&gt;SCIE&lt;/_collection_scope&gt;&lt;_created&gt;65116688&lt;/_created&gt;&lt;_custom1&gt;31&lt;/_custom1&gt;&lt;_date&gt;2023-01-20&lt;/_date&gt;&lt;_date_display&gt;2023&lt;/_date_display&gt;&lt;_db_updated&gt;PubMed&lt;/_db_updated&gt;&lt;_doi&gt;10.1177/17562848231167858&lt;/_doi&gt;&lt;_impact_factor&gt;   4.802&lt;/_impact_factor&gt;&lt;_isbn&gt;1756-283X (Print); 1756-2848 (Electronic); 1756-283X (Linking)&lt;/_isbn&gt;&lt;_journal&gt;Therap Adv Gastroenterol&lt;/_journal&gt;&lt;_keywords&gt;adverse event; gastric acid; proton pump inhibitor; safety; vonoprazan&lt;/_keywords&gt;&lt;_language&gt;eng&lt;/_language&gt;&lt;_modified&gt;65116716&lt;/_modified&gt;&lt;_ori_publication&gt;(c) The Author(s), 2023.&lt;/_ori_publication&gt;&lt;_pages&gt;17562848231167858&lt;/_pages&gt;&lt;_social_category&gt;医学(3)&lt;/_social_category&gt;&lt;_tertiary_title&gt;Therapeutic advances in gastroenterology&lt;/_tertiary_title&gt;&lt;_type_work&gt;Journal Article&lt;/_type_work&gt;&lt;_url&gt;http://www.ncbi.nlm.nih.gov/entrez/query.fcgi?cmd=Retrieve&amp;amp;db=pubmed&amp;amp;dopt=Abstract&amp;amp;list_uids=37113190&amp;amp;query_hl=1&lt;/_url&gt;&lt;_volume&gt;16&lt;/_volume&gt;&lt;/Details&gt;&lt;Extra&gt;&lt;DBUID&gt;{C3DDB144-B9A5-4BD3-B74E-FCFC25704025}&lt;/DBUID&gt;&lt;/Extra&gt;&lt;/Item&gt;&lt;/References&gt;&lt;/Group&gt;&lt;Group&gt;&lt;References&gt;&lt;Item&gt;&lt;ID&gt;548&lt;/ID&gt;&lt;UID&gt;{AAF1BF8E-BFC9-4424-94FD-3620F1E7780B}&lt;/UID&gt;&lt;Title&gt;Adverse events of vonoprazan in the treatments of acid-related diseases: a  systematic review and meta-analysis&lt;/Title&gt;&lt;Template&gt;Journal Article&lt;/Template&gt;&lt;Star&gt;0&lt;/Star&gt;&lt;Tag&gt;0&lt;/Tag&gt;&lt;Author&gt;Gong, H; Han, D; Liu, S; Liu, C; Zhu, X; Chen, D&lt;/Author&gt;&lt;Year&gt;2023&lt;/Year&gt;&lt;Details&gt;&lt;_accessed&gt;65116716&lt;/_accessed&gt;&lt;_accession_num&gt;36353962&lt;/_accession_num&gt;&lt;_author_adr&gt;Gastroenterology, Affiliated Hospital of Nanjing University of Chinese Medicine.; Respiratory and Critical Medicine, Affiliated Hospital of Nanjing University of  Chinese Medicine.; Laboratory of Neural Regeneration and Repair, Advanced Innovation Center for  Human Brain Protection, Capital Medical University.; Gastroenterology, Anhui Medical University, .; Nephrology, The Second Affiliated Hospital of Nanjing University of Chinese  Medicine.; Gastroenterology, Affiliated Hospital of Nanjing University of Chinese Medicine,  China.&lt;/_author_adr&gt;&lt;_collection_scope&gt;SCIE&lt;/_collection_scope&gt;&lt;_created&gt;65116691&lt;/_created&gt;&lt;_custom1&gt;32&lt;/_custom1&gt;&lt;_date&gt;2023-06-01&lt;/_date&gt;&lt;_date_display&gt;2023 Jun&lt;/_date_display&gt;&lt;_db_updated&gt;PubMed&lt;/_db_updated&gt;&lt;_doi&gt;10.17235/reed.2022.9228/2022&lt;/_doi&gt;&lt;_impact_factor&gt;   2.389&lt;/_impact_factor&gt;&lt;_isbn&gt;1130-0108 (Print); 1130-0108 (Linking)&lt;/_isbn&gt;&lt;_issue&gt;6&lt;/_issue&gt;&lt;_journal&gt;Rev Esp Enferm Dig&lt;/_journal&gt;&lt;_language&gt;eng&lt;/_language&gt;&lt;_modified&gt;65116716&lt;/_modified&gt;&lt;_pages&gt;294-300&lt;/_pages&gt;&lt;_social_category&gt;医学(4)&lt;/_social_category&gt;&lt;_subject_headings&gt;Humans; *Proton Pump Inhibitors/adverse effects; *Constipation/drug therapy; Sulfonamides/adverse effects; Pyrroles/adverse effects; Diarrhea/chemically induced&lt;/_subject_headings&gt;&lt;_tertiary_title&gt;Revista espanola de enfermedades digestivas&lt;/_tertiary_title&gt;&lt;_type_work&gt;Journal Article; Meta-Analysis; Systematic Review&lt;/_type_work&gt;&lt;_url&gt;http://www.ncbi.nlm.nih.gov/entrez/query.fcgi?cmd=Retrieve&amp;amp;db=pubmed&amp;amp;dopt=Abstract&amp;amp;list_uids=36353962&amp;amp;query_hl=1&lt;/_url&gt;&lt;_volume&gt;115&lt;/_volume&gt;&lt;/Details&gt;&lt;Extra&gt;&lt;DBUID&gt;{C3DDB144-B9A5-4BD3-B74E-FCFC25704025}&lt;/DBUID&gt;&lt;/Extra&gt;&lt;/Item&gt;&lt;/References&gt;&lt;/Group&gt;&lt;/Citation&gt;_x000a_"/>
    <w:docVar w:name="NE.Ref{CFAAA494-8ADF-4D2A-A15C-171C5DF3A823}" w:val=" ADDIN NE.Ref.{CFAAA494-8ADF-4D2A-A15C-171C5DF3A823}&lt;Citation&gt;&lt;Group&gt;&lt;References&gt;&lt;Item&gt;&lt;ID&gt;560&lt;/ID&gt;&lt;UID&gt;{FC77AD77-8A8A-4922-9178-33A174EA035D}&lt;/UID&gt;&lt;Title&gt;Effects of Tegoprazan Versus Esomeprazole on Nighttime Heartburn and Sleep  Quality in Gastroesophageal Reflux Disease: A Multicenter Double-blind Randomized  Controlled Trial&lt;/Title&gt;&lt;Template&gt;Journal Article&lt;/Template&gt;&lt;Star&gt;0&lt;/Star&gt;&lt;Tag&gt;0&lt;/Tag&gt;&lt;Author&gt;Kim, J S; Seo, S I; Kang, S H; Lee, S K; Kim, A R; Park, H W; Kim, B T; Song, G S&lt;/Author&gt;&lt;Year&gt;2023&lt;/Year&gt;&lt;Details&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date_display&gt;2023 Jan 30&lt;/_date_display&gt;&lt;_date&gt;2023-01-30&lt;/_date&gt;&lt;_doi&gt;10.5056/jnm22104&lt;/_doi&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pages&gt;58-64&lt;/_pages&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_created&gt;65116731&lt;/_created&gt;&lt;_modified&gt;65116731&lt;/_modified&gt;&lt;_db_updated&gt;PubMed&lt;/_db_updated&gt;&lt;_impact_factor&gt;   4.725&lt;/_impact_factor&gt;&lt;_social_category&gt;医学(2)&lt;/_social_category&gt;&lt;_collection_scope&gt;SCIE&lt;/_collection_scope&gt;&lt;_accessed&gt;65116731&lt;/_accessed&gt;&lt;_custom1&gt;40&lt;/_custom1&gt;&lt;/Details&gt;&lt;Extra&gt;&lt;DBUID&gt;{C3DDB144-B9A5-4BD3-B74E-FCFC25704025}&lt;/DBUID&gt;&lt;/Extra&gt;&lt;/Item&gt;&lt;/References&gt;&lt;/Group&gt;&lt;/Citation&gt;_x000a_"/>
    <w:docVar w:name="NE.Ref{D1CAE11B-376C-4F1B-8DD1-1FE33CA417B3}" w:val=" ADDIN NE.Ref.{D1CAE11B-376C-4F1B-8DD1-1FE33CA417B3}&lt;Citation&gt;&lt;Group&gt;&lt;References&gt;&lt;Item&gt;&lt;ID&gt;556&lt;/ID&gt;&lt;UID&gt;{83C5E3BB-AB1B-41A3-B8F1-0225AA671846}&lt;/UID&gt;&lt;Title&gt;Randomized clinical trial: A double-blind, proof-of-concept, phase 2 study  evaluating the efficacy and safety of vonoprazan 20 or 40 mg versus esomeprazole  40 mg in patients with symptomatic gastro-esophageal reflux disease and partial  response to a healing dose of a proton-pump inhibitor&lt;/Title&gt;&lt;Template&gt;Journal Article&lt;/Template&gt;&lt;Star&gt;0&lt;/Star&gt;&lt;Tag&gt;0&lt;/Tag&gt;&lt;Author&gt;Tack, J; Vladimirov, B; Horny, I; Chong, C F; Eisner, J; Czerniak, R; Takanami, Y&lt;/Author&gt;&lt;Year&gt;2023&lt;/Year&gt;&lt;Details&gt;&lt;_accessed&gt;65116727&lt;/_accessed&gt;&lt;_accession_num&gt;36178335&lt;/_accession_num&gt;&lt;_author_adr&gt;Department of Gastroenterology, University Hospitals Leuven, Leuven, Belgium.; Department of Gastroenterology, University Hospital &amp;quot;Queen Giovanna- ISUL&amp;quot;,  Medical University of Sofia, Sofia, Bulgaria.; Department of Gastroenterology and Internal medicine, Strakonice Hospital, Czech  Republic.; Currently Hoffmann-La Roche, Formerly Takeda Development Center Asia, Basel,  Switzerland.; Formerly Takeda Pharmaceuticals International Co., Takeda Pharmaceuticals  International Co., Cambridge, USA.; Takeda Pharmaceuticals International Co., Cambridge, Massachusetts, USA.; Takeda Pharmaceuticals International Co., Cambridge, Massachusetts, USA.&lt;/_author_adr&gt;&lt;_collection_scope&gt;SCIE&lt;/_collection_scope&gt;&lt;_created&gt;65116727&lt;/_created&gt;&lt;_custom1&gt;36&lt;/_custom1&gt;&lt;_date&gt;2023-01-01&lt;/_date&gt;&lt;_date_display&gt;2023 Jan&lt;/_date_display&gt;&lt;_db_updated&gt;PubMed&lt;/_db_updated&gt;&lt;_doi&gt;10.1111/nmo.14468&lt;/_doi&gt;&lt;_impact_factor&gt;   3.960&lt;/_impact_factor&gt;&lt;_isbn&gt;1365-2982 (Electronic); 1350-1925 (Linking)&lt;/_isbn&gt;&lt;_issue&gt;1&lt;/_issue&gt;&lt;_journal&gt;Neurogastroenterol Motil&lt;/_journal&gt;&lt;_keywords&gt;GERD or GORD; acidity (esophageal); compliance/adherence; functional GI diseases&lt;/_keywords&gt;&lt;_language&gt;eng&lt;/_language&gt;&lt;_modified&gt;65116732&lt;/_modified&gt;&lt;_ori_publication&gt;(c) 2022 John Wiley &amp;amp; Sons Ltd.&lt;/_ori_publication&gt;&lt;_pages&gt;e14468&lt;/_pages&gt;&lt;_social_category&gt;医学(3)&lt;/_social_category&gt;&lt;_subject_headings&gt;Humans; Female; Middle Aged; *Esomeprazole/therapeutic use; Proton Pump Inhibitors/therapeutic use; Treatment Outcome; *Gastroesophageal Reflux/drug therapy/diagnosis; Double-Blind Method; Heartburn/drug therapy&lt;/_subject_headings&gt;&lt;_tertiary_title&gt;Neurogastroenterology and motility&lt;/_tertiary_title&gt;&lt;_type_work&gt;Clinical Trial, Phase II; Journal Article; Randomized Controlled Trial; Research Support, Non-U.S. Gov&amp;apos;t&lt;/_type_work&gt;&lt;_url&gt;http://www.ncbi.nlm.nih.gov/entrez/query.fcgi?cmd=Retrieve&amp;amp;db=pubmed&amp;amp;dopt=Abstract&amp;amp;list_uids=36178335&amp;amp;query_hl=1&lt;/_url&gt;&lt;_volume&gt;35&lt;/_volume&gt;&lt;/Details&gt;&lt;Extra&gt;&lt;DBUID&gt;{C3DDB144-B9A5-4BD3-B74E-FCFC25704025}&lt;/DBUID&gt;&lt;/Extra&gt;&lt;/Item&gt;&lt;/References&gt;&lt;/Group&gt;&lt;/Citation&gt;_x000a_"/>
    <w:docVar w:name="NE.Ref{D51AF342-353F-4D64-BDBE-0C15198E0362}" w:val=" ADDIN NE.Ref.{D51AF342-353F-4D64-BDBE-0C15198E0362}&lt;Citation&gt;&lt;Group&gt;&lt;References&gt;&lt;Item&gt;&lt;ID&gt;529&lt;/ID&gt;&lt;UID&gt;{CED05B87-C0EB-4018-B1CA-C9DC50564868}&lt;/UID&gt;&lt;Title&gt;Global Prevalence and Risk Factors of Gastro-oesophageal Reflux Disease (GORD):  Systematic Review with Meta-analysis&lt;/Title&gt;&lt;Template&gt;Journal Article&lt;/Template&gt;&lt;Star&gt;0&lt;/Star&gt;&lt;Tag&gt;0&lt;/Tag&gt;&lt;Author&gt;Nirwan, J S; Hasan, S S; Babar, Z U; Conway, B R; Ghori, M U&lt;/Author&gt;&lt;Year&gt;2020&lt;/Year&gt;&lt;Details&gt;&lt;_accession_num&gt;32242117&lt;/_accession_num&gt;&lt;_author_adr&gt;Department of Pharmacy, School of Applied Sciences, University of Huddersfield,  HD1 3DH, Huddersfield, UK.; Department of Pharmacy, School of Applied Sciences, University of Huddersfield,  HD1 3DH, Huddersfield, UK.; Department of Pharmacy, School of Applied Sciences, University of Huddersfield,  HD1 3DH, Huddersfield, UK.; Department of Pharmacy, School of Applied Sciences, University of Huddersfield,  HD1 3DH, Huddersfield, UK.; Department of Pharmacy, School of Applied Sciences, University of Huddersfield,  HD1 3DH, Huddersfield, UK. m.ghori@hud.ac.uk.&lt;/_author_adr&gt;&lt;_date_display&gt;2020 Apr 2&lt;/_date_display&gt;&lt;_date&gt;2020-04-02&lt;/_date&gt;&lt;_doi&gt;10.1038/s41598-020-62795-1&lt;/_doi&gt;&lt;_isbn&gt;2045-2322 (Electronic); 2045-2322 (Linking)&lt;/_isbn&gt;&lt;_issue&gt;1&lt;/_issue&gt;&lt;_journal&gt;Sci Rep&lt;/_journal&gt;&lt;_language&gt;eng&lt;/_language&gt;&lt;_pages&gt;5814&lt;/_pages&gt;&lt;_subject_headings&gt;Caribbean Region/epidemiology; China/epidemiology; Gastroesophageal Reflux/*epidemiology; Global Health; Humans; North America/epidemiology; Prevalence; Risk Factors; Turkey/epidemiology&lt;/_subject_headings&gt;&lt;_tertiary_title&gt;Scientific reports&lt;/_tertiary_title&gt;&lt;_type_work&gt;Journal Article; Meta-Analysis; Research Support, Non-U.S. Gov&amp;apos;t; Systematic Review&lt;/_type_work&gt;&lt;_url&gt;http://www.ncbi.nlm.nih.gov/entrez/query.fcgi?cmd=Retrieve&amp;amp;db=pubmed&amp;amp;dopt=Abstract&amp;amp;list_uids=32242117&amp;amp;query_hl=1&lt;/_url&gt;&lt;_volume&gt;10&lt;/_volume&gt;&lt;_created&gt;65116632&lt;/_created&gt;&lt;_modified&gt;65116632&lt;/_modified&gt;&lt;_db_updated&gt;PubMed&lt;/_db_updated&gt;&lt;_impact_factor&gt;   4.996&lt;/_impact_factor&gt;&lt;_social_category&gt;综合性期刊(3)&lt;/_social_category&gt;&lt;_collection_scope&gt;SCIE&lt;/_collection_scope&gt;&lt;/Details&gt;&lt;Extra&gt;&lt;DBUID&gt;{C3DDB144-B9A5-4BD3-B74E-FCFC25704025}&lt;/DBUID&gt;&lt;/Extra&gt;&lt;/Item&gt;&lt;/References&gt;&lt;/Group&gt;&lt;/Citation&gt;_x000a_"/>
    <w:docVar w:name="NE.Ref{D619937A-158F-48A0-B99A-833E787794C7}" w:val=" ADDIN NE.Ref.{D619937A-158F-48A0-B99A-833E787794C7}&lt;Citation&gt;&lt;Group&gt;&lt;References&gt;&lt;Item&gt;&lt;ID&gt;568&lt;/ID&gt;&lt;UID&gt;{45C013F5-4190-474D-9260-4B9CEEB92A89}&lt;/UID&gt;&lt;Title&gt;The role of vonoprazan in patients with erosive esophagitis&lt;/Title&gt;&lt;Template&gt;Journal Article&lt;/Template&gt;&lt;Star&gt;0&lt;/Star&gt;&lt;Tag&gt;0&lt;/Tag&gt;&lt;Author&gt;Zhang, M; Xiao, Y; Chen, M&lt;/Author&gt;&lt;Year&gt;2022&lt;/Year&gt;&lt;Details&gt;&lt;_accession_num&gt;36117573&lt;/_accession_num&gt;&lt;_author_adr&gt;Department of Gastroenterology, The First Affiliated Hospital of Sun Yat-sen  University, Guangzhou, Guangdong Province, China.; Department of Gastroenterology, The First Affiliated Hospital of Sun Yat-sen  University, Guangzhou, Guangdong Province, China.; Department of Gastroenterology, The First Affiliated Hospital of Sun Yat-sen  University, 58 Zhongshan II Road, Guangzhou, Guangdong Province 510080, China.&lt;/_author_adr&gt;&lt;_date_display&gt;2022&lt;/_date_display&gt;&lt;_date&gt;2022-01-20&lt;/_date&gt;&lt;_doi&gt;10.1177/17562848221122623&lt;/_doi&gt;&lt;_isbn&gt;1756-283X (Print); 1756-2848 (Electronic); 1756-283X (Linking)&lt;/_isbn&gt;&lt;_journal&gt;Therap Adv Gastroenterol&lt;/_journal&gt;&lt;_keywords&gt;erosive esophagitis; potassium-competitive acid blocker; proton pump inhibitor; vonoprazan&lt;/_keywords&gt;&lt;_language&gt;eng&lt;/_language&gt;&lt;_ori_publication&gt;(c) The Author(s), 2022.&lt;/_ori_publication&gt;&lt;_pages&gt;17562848221122623&lt;/_pages&gt;&lt;_tertiary_title&gt;Therapeutic advances in gastroenterology&lt;/_tertiary_title&gt;&lt;_type_work&gt;Journal Article; Review&lt;/_type_work&gt;&lt;_url&gt;http://www.ncbi.nlm.nih.gov/entrez/query.fcgi?cmd=Retrieve&amp;amp;db=pubmed&amp;amp;dopt=Abstract&amp;amp;list_uids=36117573&amp;amp;query_hl=1&lt;/_url&gt;&lt;_volume&gt;15&lt;/_volume&gt;&lt;_created&gt;65120981&lt;/_created&gt;&lt;_modified&gt;65120982&lt;/_modified&gt;&lt;_db_updated&gt;PubMed&lt;/_db_updated&gt;&lt;_impact_factor&gt;   4.802&lt;/_impact_factor&gt;&lt;_social_category&gt;医学(3)&lt;/_social_category&gt;&lt;_collection_scope&gt;SCIE&lt;/_collection_scope&gt;&lt;_accessed&gt;65120982&lt;/_accessed&gt;&lt;_custom1&gt;45&lt;/_custom1&gt;&lt;/Details&gt;&lt;Extra&gt;&lt;DBUID&gt;{C3DDB144-B9A5-4BD3-B74E-FCFC25704025}&lt;/DBUID&gt;&lt;/Extra&gt;&lt;/Item&gt;&lt;/References&gt;&lt;/Group&gt;&lt;/Citation&gt;_x000a_"/>
    <w:docVar w:name="NE.Ref{D65E0983-40D9-4FF0-B5DA-A6EC22A3B0F6}" w:val=" ADDIN NE.Ref.{D65E0983-40D9-4FF0-B5DA-A6EC22A3B0F6}&lt;Citation&gt;&lt;Group&gt;&lt;References&gt;&lt;Item&gt;&lt;ID&gt;531&lt;/ID&gt;&lt;UID&gt;{D3993B8B-47D0-4009-8AA8-2985A636F4A8}&lt;/UID&gt;&lt;Title&gt;Gastro-oesophageal reflux disease in primary care: an international study of  different treatment strategies with omeprazole. International GORD Study Group&lt;/Title&gt;&lt;Template&gt;Journal Article&lt;/Template&gt;&lt;Star&gt;0&lt;/Star&gt;&lt;Tag&gt;0&lt;/Tag&gt;&lt;Author&gt;Carlsson, R; Dent, J; Watts, R; Riley, S; Sheikh, R; Hatlebakk, J; Haug, K; de Groot, G; van Oudvorst, A; Dalvag, A; Junghard, O; Wiklund, I&lt;/Author&gt;&lt;Year&gt;1998&lt;/Year&gt;&lt;Details&gt;&lt;_accessed&gt;65116713&lt;/_accessed&gt;&lt;_accession_num&gt;9581986&lt;/_accession_num&gt;&lt;_author_adr&gt;Department of Surgery, Sahlgren&amp;apos;s University Hospital, Gothenburg, Sweden.&lt;/_author_adr&gt;&lt;_collection_scope&gt;SCIE&lt;/_collection_scope&gt;&lt;_created&gt;65116641&lt;/_created&gt;&lt;_custom1&gt;15&lt;/_custom1&gt;&lt;_date&gt;1998-02-01&lt;/_date&gt;&lt;_date_display&gt;1998 Feb&lt;/_date_display&gt;&lt;_db_updated&gt;PubMed&lt;/_db_updated&gt;&lt;_impact_factor&gt;   2.586&lt;/_impact_factor&gt;&lt;_isbn&gt;0954-691X (Print); 0954-691X (Linking)&lt;/_isbn&gt;&lt;_issue&gt;2&lt;/_issue&gt;&lt;_journal&gt;Eur J Gastroenterol Hepatol&lt;/_journal&gt;&lt;_language&gt;eng&lt;/_language&gt;&lt;_modified&gt;65116713&lt;/_modified&gt;&lt;_pages&gt;119-24&lt;/_pages&gt;&lt;_social_category&gt;医学(4)&lt;/_social_category&gt;&lt;_subject_headings&gt;Adolescent; Adult; Aged; Aged, 80 and over; Double-Blind Method; Endoscopy; Esophagitis/drug therapy; Female; Follow-Up Studies; Gastroesophageal Reflux/*drug therapy; Humans; Male; Middle Aged; Omeprazole/administration &amp;amp; dosage/*therapeutic use; Quality of Life; Treatment Outcome&lt;/_subject_headings&gt;&lt;_tertiary_title&gt;European journal of gastroenterology &amp;amp; hepatology&lt;/_tertiary_title&gt;&lt;_type_work&gt;Clinical Trial; Journal Article; Randomized Controlled Trial; Research Support, Non-U.S. Gov&amp;apos;t&lt;/_type_work&gt;&lt;_url&gt;http://www.ncbi.nlm.nih.gov/entrez/query.fcgi?cmd=Retrieve&amp;amp;db=pubmed&amp;amp;dopt=Abstract&amp;amp;list_uids=9581986&amp;amp;query_hl=1&lt;/_url&gt;&lt;_volume&gt;10&lt;/_volume&gt;&lt;/Details&gt;&lt;Extra&gt;&lt;DBUID&gt;{C3DDB144-B9A5-4BD3-B74E-FCFC25704025}&lt;/DBUID&gt;&lt;/Extra&gt;&lt;/Item&gt;&lt;/References&gt;&lt;/Group&gt;&lt;Group&gt;&lt;References&gt;&lt;Item&gt;&lt;ID&gt;532&lt;/ID&gt;&lt;UID&gt;{A44BEA77-DACD-46AA-B0F0-D64314E46056}&lt;/UID&gt;&lt;Title&gt;Management of heartburn not responding to proton pump inhibitors&lt;/Title&gt;&lt;Template&gt;Journal Article&lt;/Template&gt;&lt;Star&gt;0&lt;/Star&gt;&lt;Tag&gt;0&lt;/Tag&gt;&lt;Author&gt;Fass, R; Sifrim, D&lt;/Author&gt;&lt;Year&gt;2009&lt;/Year&gt;&lt;Details&gt;&lt;_accessed&gt;65116713&lt;/_accessed&gt;&lt;_accession_num&gt;19136523&lt;/_accession_num&gt;&lt;_author_adr&gt;The Neuroenteric Clinical Research Group, Southern Arizona VA Health Care System,  Tucson, Arizona 85723-0001, USA. Ronnie.Fass@va.gov&lt;/_author_adr&gt;&lt;_collection_scope&gt;SCIE&lt;/_collection_scope&gt;&lt;_created&gt;65116641&lt;/_created&gt;&lt;_custom1&gt;16&lt;/_custom1&gt;&lt;_date&gt;2009-02-01&lt;/_date&gt;&lt;_date_display&gt;2009 Feb&lt;/_date_display&gt;&lt;_db_updated&gt;PubMed&lt;/_db_updated&gt;&lt;_doi&gt;10.1136/gut.2007.145581&lt;/_doi&gt;&lt;_impact_factor&gt;  31.793&lt;/_impact_factor&gt;&lt;_isbn&gt;1468-3288 (Electronic); 0017-5749 (Linking)&lt;/_isbn&gt;&lt;_issue&gt;2&lt;/_issue&gt;&lt;_journal&gt;Gut&lt;/_journal&gt;&lt;_language&gt;eng&lt;/_language&gt;&lt;_modified&gt;65116714&lt;/_modified&gt;&lt;_pages&gt;295-309&lt;/_pages&gt;&lt;_social_category&gt;医学(1)&lt;/_social_category&gt;&lt;_subject_headings&gt;Biopsy; Drug Administration Schedule; Esophageal pH Monitoring; Esophagoscopy; Esophagus/drug effects; Gastroesophageal Reflux/diagnosis/*drug therapy; Heartburn/*therapy; Humans; Patient Compliance; Proton Pump Inhibitors/therapeutic use; Treatment Failure&lt;/_subject_headings&gt;&lt;_tertiary_title&gt;Gut&lt;/_tertiary_title&gt;&lt;_type_work&gt;Journal Article; Review&lt;/_type_work&gt;&lt;_url&gt;http://www.ncbi.nlm.nih.gov/entrez/query.fcgi?cmd=Retrieve&amp;amp;db=pubmed&amp;amp;dopt=Abstract&amp;amp;list_uids=19136523&amp;amp;query_hl=1&lt;/_url&gt;&lt;_volume&gt;58&lt;/_volume&gt;&lt;/Details&gt;&lt;Extra&gt;&lt;DBUID&gt;{C3DDB144-B9A5-4BD3-B74E-FCFC25704025}&lt;/DBUID&gt;&lt;/Extra&gt;&lt;/Item&gt;&lt;/References&gt;&lt;/Group&gt;&lt;Group&gt;&lt;References&gt;&lt;Item&gt;&lt;ID&gt;533&lt;/ID&gt;&lt;UID&gt;{B6A7D410-9EA9-4F26-9633-50EACB22A601}&lt;/UID&gt;&lt;Title&gt;Management of gastroesophageal reflux disease that does not respond well to  proton pump inhibitors&lt;/Title&gt;&lt;Template&gt;Journal Article&lt;/Template&gt;&lt;Star&gt;0&lt;/Star&gt;&lt;Tag&gt;0&lt;/Tag&gt;&lt;Author&gt;Hershcovici, T; Fass, R&lt;/Author&gt;&lt;Year&gt;2010&lt;/Year&gt;&lt;Details&gt;&lt;_accessed&gt;65116714&lt;/_accessed&gt;&lt;_accession_num&gt;20571388&lt;/_accession_num&gt;&lt;_author_adr&gt;Southern Arizona VA Healthcare System and University of Arizona, Tucson, Arizona  85723-0001, USA.&lt;/_author_adr&gt;&lt;_collection_scope&gt;SCIE&lt;/_collection_scope&gt;&lt;_created&gt;65116641&lt;/_created&gt;&lt;_custom1&gt;17&lt;/_custom1&gt;&lt;_date&gt;2010-07-01&lt;/_date&gt;&lt;_date_display&gt;2010 Jul&lt;/_date_display&gt;&lt;_db_updated&gt;PubMed&lt;/_db_updated&gt;&lt;_doi&gt;10.1097/MOG.0b013e32833ae2be&lt;/_doi&gt;&lt;_impact_factor&gt;   2.741&lt;/_impact_factor&gt;&lt;_isbn&gt;1531-7056 (Electronic); 0267-1379 (Linking)&lt;/_isbn&gt;&lt;_issue&gt;4&lt;/_issue&gt;&lt;_journal&gt;Curr Opin Gastroenterol&lt;/_journal&gt;&lt;_language&gt;eng&lt;/_language&gt;&lt;_modified&gt;65116714&lt;/_modified&gt;&lt;_pages&gt;367-78&lt;/_pages&gt;&lt;_social_category&gt;医学(3)&lt;/_social_category&gt;&lt;_subject_headings&gt;Esophageal pH Monitoring; Esophagoscopy; Gastroesophageal Reflux/*drug therapy/physiopathology; Humans; Proton Pump Inhibitors/*therapeutic use; Risk Factors; Treatment Failure&lt;/_subject_headings&gt;&lt;_tertiary_title&gt;Current opinion in gastroenterology&lt;/_tertiary_title&gt;&lt;_type_work&gt;Journal Article; Review&lt;/_type_work&gt;&lt;_url&gt;http://www.ncbi.nlm.nih.gov/entrez/query.fcgi?cmd=Retrieve&amp;amp;db=pubmed&amp;amp;dopt=Abstract&amp;amp;list_uids=20571388&amp;amp;query_hl=1&lt;/_url&gt;&lt;_volume&gt;26&lt;/_volume&gt;&lt;/Details&gt;&lt;Extra&gt;&lt;DBUID&gt;{C3DDB144-B9A5-4BD3-B74E-FCFC25704025}&lt;/DBUID&gt;&lt;/Extra&gt;&lt;/Item&gt;&lt;/References&gt;&lt;/Group&gt;&lt;Group&gt;&lt;References&gt;&lt;Item&gt;&lt;ID&gt;534&lt;/ID&gt;&lt;UID&gt;{31EBF099-78ED-49DF-9B65-20B21B2CED1E}&lt;/UID&gt;&lt;Title&gt;Step-down from multiple- to single-dose proton pump inhibitors (PPIs): a  prospective study of patients with heartburn or acid regurgitation completely  relieved with PPIs&lt;/Title&gt;&lt;Template&gt;Journal Article&lt;/Template&gt;&lt;Star&gt;0&lt;/Star&gt;&lt;Tag&gt;0&lt;/Tag&gt;&lt;Author&gt;Inadomi, J M; McIntyre, L; Bernard, L; Fendrick, A M&lt;/Author&gt;&lt;Year&gt;2003&lt;/Year&gt;&lt;Details&gt;&lt;_accessed&gt;65116714&lt;/_accessed&gt;&lt;_accession_num&gt;14499769&lt;/_accession_num&gt;&lt;_author_adr&gt;Department of Veterans Affairs Center for Practice Management and Outcomes  Research, Ann Arbor, Michigan, USA.&lt;/_author_adr&gt;&lt;_collection_scope&gt;SCIE&lt;/_collection_scope&gt;&lt;_created&gt;65116642&lt;/_created&gt;&lt;_custom1&gt;18&lt;/_custom1&gt;&lt;_date&gt;2003-09-01&lt;/_date&gt;&lt;_date_display&gt;2003 Sep&lt;/_date_display&gt;&lt;_db_updated&gt;PubMed&lt;/_db_updated&gt;&lt;_doi&gt;10.1111/j.1572-0241.2003.07665.x&lt;/_doi&gt;&lt;_impact_factor&gt;  12.045&lt;/_impact_factor&gt;&lt;_isbn&gt;0002-9270 (Print); 0002-9270 (Linking)&lt;/_isbn&gt;&lt;_issue&gt;9&lt;/_issue&gt;&lt;_journal&gt;Am J Gastroenterol&lt;/_journal&gt;&lt;_language&gt;eng&lt;/_language&gt;&lt;_modified&gt;65116714&lt;/_modified&gt;&lt;_pages&gt;1940-4&lt;/_pages&gt;&lt;_social_category&gt;医学(1)&lt;/_social_category&gt;&lt;_subject_headings&gt;2-Pyridinylmethylsulfinylbenzimidazoles; Adult; Aged; Aged, 80 and over; Cohort Studies; Dose-Response Relationship, Drug; Drug Administration Schedule; Female; Follow-Up Studies; Gastroesophageal Reflux/diagnosis/*drug therapy; Heartburn/diagnosis/*drug therapy; Humans; Lansoprazole; Logistic Models; Male; Middle Aged; Multivariate Analysis; Omeprazole/administration &amp;amp; dosage/analogs &amp;amp; derivatives; Patient Satisfaction; Probability; Prospective Studies; *Proton Pump Inhibitors; Proton Pumps/*therapeutic use; *Quality of Life; Risk Assessment; Severity of Illness Index; Treatment Outcome&lt;/_subject_headings&gt;&lt;_tertiary_title&gt;The American journal of gastroenterology&lt;/_tertiary_title&gt;&lt;_type_work&gt;Clinical Trial; Comparative Study; Journal Article; Research Support, Non-U.S. Gov&amp;apos;t; Research Support, U.S. Gov&amp;apos;t, Non-P.H.S.&lt;/_type_work&gt;&lt;_url&gt;http://www.ncbi.nlm.nih.gov/entrez/query.fcgi?cmd=Retrieve&amp;amp;db=pubmed&amp;amp;dopt=Abstract&amp;amp;list_uids=14499769&amp;amp;query_hl=1&lt;/_url&gt;&lt;_volume&gt;98&lt;/_volume&gt;&lt;/Details&gt;&lt;Extra&gt;&lt;DBUID&gt;{C3DDB144-B9A5-4BD3-B74E-FCFC25704025}&lt;/DBUID&gt;&lt;/Extra&gt;&lt;/Item&gt;&lt;/References&gt;&lt;/Group&gt;&lt;/Citation&gt;_x000a_"/>
    <w:docVar w:name="NE.Ref{DA19E510-5558-473C-BCFC-FD0C0CDA0282}" w:val=" ADDIN NE.Ref.{DA19E510-5558-473C-BCFC-FD0C0CDA0282}&lt;Citation&gt;&lt;Group&gt;&lt;References&gt;&lt;Item&gt;&lt;ID&gt;569&lt;/ID&gt;&lt;UID&gt;{F8F5B796-763D-45DB-8742-60309FE9D15E}&lt;/UID&gt;&lt;Title&gt;Cost-effectiveness analysis of vonoprazan versus proton pump inhibitors in the  treatment of reflux esophagitis in China&lt;/Title&gt;&lt;Template&gt;Journal Article&lt;/Template&gt;&lt;Star&gt;0&lt;/Star&gt;&lt;Tag&gt;0&lt;/Tag&gt;&lt;Author&gt;Wang, Z; Sun, R; Sheng, Y; Qu, S; Dong, L; Wu, B&lt;/Author&gt;&lt;Year&gt;2022&lt;/Year&gt;&lt;Details&gt;&lt;_accession_num&gt;35571388&lt;/_accession_num&gt;&lt;_author_adr&gt;Department of Gastroenterology, Ren Ji Hospital, School of Medicine, Shanghai  Jiaotong University, Shanghai, China.; Real-World Solutions, IQVIA, Beijing, China.; Medical Affairs, Takeda (China) International Trading Company, Beijing, China.; Real-World Solutions, IQVIA, Beijing, China.; Medical Affairs, Takeda (China) International Trading Company, Beijing, China.; Medical Decision and Economic Group, Department of Pharmacy, Ren Ji Hospital,  South Campus, School of Medicine, Shanghai Jiaotong University, Shanghai, China.&lt;/_author_adr&gt;&lt;_date_display&gt;2022 Apr&lt;/_date_display&gt;&lt;_date&gt;2022-04-01&lt;/_date&gt;&lt;_doi&gt;10.21037/atm-22-1722&lt;/_doi&gt;&lt;_isbn&gt;2305-5839 (Print); 2305-5847 (Electronic); 2305-5839 (Linking)&lt;/_isbn&gt;&lt;_issue&gt;8&lt;/_issue&gt;&lt;_journal&gt;Ann Transl Med&lt;/_journal&gt;&lt;_keywords&gt;China; cost-effectiveness; proton pump inhibitors (PPIs); reflux esophagitis (RE); vonoprazan (VPZ)&lt;/_keywords&gt;&lt;_language&gt;eng&lt;/_language&gt;&lt;_ori_publication&gt;2022 Annals of Translational Medicine. All rights reserved.&lt;/_ori_publication&gt;&lt;_pages&gt;480&lt;/_pages&gt;&lt;_tertiary_title&gt;Annals of translational medicine&lt;/_tertiary_title&gt;&lt;_type_work&gt;Journal Article&lt;/_type_work&gt;&lt;_url&gt;http://www.ncbi.nlm.nih.gov/entrez/query.fcgi?cmd=Retrieve&amp;amp;db=pubmed&amp;amp;dopt=Abstract&amp;amp;list_uids=35571388&amp;amp;query_hl=1&lt;/_url&gt;&lt;_volume&gt;10&lt;/_volume&gt;&lt;_created&gt;65120984&lt;/_created&gt;&lt;_modified&gt;65120985&lt;/_modified&gt;&lt;_db_updated&gt;PubMed&lt;/_db_updated&gt;&lt;_impact_factor&gt;   3.616&lt;/_impact_factor&gt;&lt;_social_category&gt;医学(4)&lt;/_social_category&gt;&lt;_collection_scope&gt;SCIE&lt;/_collection_scope&gt;&lt;_accessed&gt;65120985&lt;/_accessed&gt;&lt;_custom1&gt;46&lt;/_custom1&gt;&lt;/Details&gt;&lt;Extra&gt;&lt;DBUID&gt;{C3DDB144-B9A5-4BD3-B74E-FCFC25704025}&lt;/DBUID&gt;&lt;/Extra&gt;&lt;/Item&gt;&lt;/References&gt;&lt;/Group&gt;&lt;/Citation&gt;_x000a_"/>
    <w:docVar w:name="NE.Ref{E40F7E68-217B-4A68-9EEA-42D5A4F1C1B5}" w:val=" ADDIN NE.Ref.{E40F7E68-217B-4A68-9EEA-42D5A4F1C1B5}&lt;Citation&gt;&lt;Group&gt;&lt;References&gt;&lt;Item&gt;&lt;ID&gt;565&lt;/ID&gt;&lt;UID&gt;{EC28146D-CC5E-4585-B0D0-114BE7AA5250}&lt;/UID&gt;&lt;Title&gt;Maintenance for healed erosive esophagitis: Phase III comparison of vonoprazan  with lansoprazole&lt;/Title&gt;&lt;Template&gt;Journal Article&lt;/Template&gt;&lt;Star&gt;0&lt;/Star&gt;&lt;Tag&gt;0&lt;/Tag&gt;&lt;Author&gt;Ashida, K; Iwakiri, K; Hiramatsu, N; Sakurai, Y; Hori, T; Kudou, K; Nishimura, A; Umegaki, E&lt;/Author&gt;&lt;Year&gt;2018&lt;/Year&gt;&lt;Details&gt;&lt;_accession_num&gt;29662293&lt;/_accession_num&gt;&lt;_author_adr&gt;Department of Gastroenterology, Rakuwakai Otowa Hospital, Kyoto 607-8062, Japan.  rakuwadr1185@rakuwadr.com.; Department of Gastroenterology, Nippon Medical School Graduate School of  Medicine, Tokyo 113-8603, Japan.; Department of Gastroenterology and Hepatology, Osaka Rosai Hospital, Sakai, Osaka  591-8025, Japan.; Takeda Pharmaceutical Company Limited, Osaka 540-8645, Japan.; Takeda Pharmaceutical Company Limited, Osaka 540-8645, Japan.; Takeda Pharmaceutical Company Limited, Osaka 540-8645, Japan.; Takeda Pharmaceutical Company Limited, Osaka 540-8645, Japan.; Department of Gastroenterology, Kobe University Graduate School of Medicine,  Kobe, Hyogo 650-0017, Japan.&lt;/_author_adr&gt;&lt;_date_display&gt;2018 Apr 14&lt;/_date_display&gt;&lt;_date&gt;2018-04-14&lt;/_date&gt;&lt;_doi&gt;10.3748/wjg.v24.i14.1550&lt;/_doi&gt;&lt;_isbn&gt;2219-2840 (Electronic); 1007-9327 (Print); 1007-9327 (Linking)&lt;/_isbn&gt;&lt;_issue&gt;14&lt;/_issue&gt;&lt;_journal&gt;World J Gastroenterol&lt;/_journal&gt;&lt;_keywords&gt;Erosive esophagitis; Gastroesophageal reflux disease; Lansoprazole; Maintenance therapy; Potassium-competitive acid blockers; Vonoprazan&lt;/_keywords&gt;&lt;_language&gt;eng&lt;/_language&gt;&lt;_pages&gt;1550-1561&lt;/_pages&gt;&lt;_subject_headings&gt;Adult; Aged; Biopsy; Double-Blind Method; Esophagitis, Peptic/complications/diagnostic imaging/*drug therapy/pathology; Esophagoscopy; Esophagus/diagnostic imaging/pathology; Female; Gastric Mucosa/pathology; Gastroesophageal Reflux/drug therapy/epidemiology/etiology; Heartburn/drug therapy/epidemiology/etiology; Humans; Incidence; Lansoprazole/*therapeutic use; Male; Middle Aged; Proton Pump Inhibitors/*therapeutic use; Pyrroles/*therapeutic use; Recurrence; Sulfonamides/*therapeutic use; Treatment Outcome&lt;/_subject_headings&gt;&lt;_tertiary_title&gt;World journal of gastroenterology&lt;/_tertiary_title&gt;&lt;_type_work&gt;Clinical Trial, Phase III; Equivalence Trial; Journal Article; Randomized Controlled Trial&lt;/_type_work&gt;&lt;_url&gt;http://www.ncbi.nlm.nih.gov/entrez/query.fcgi?cmd=Retrieve&amp;amp;db=pubmed&amp;amp;dopt=Abstract&amp;amp;list_uids=29662293&amp;amp;query_hl=1&lt;/_url&gt;&lt;_volume&gt;24&lt;/_volume&gt;&lt;_created&gt;65120968&lt;/_created&gt;&lt;_modified&gt;65120969&lt;/_modified&gt;&lt;_db_updated&gt;PubMed&lt;/_db_updated&gt;&lt;_impact_factor&gt;   5.374&lt;/_impact_factor&gt;&lt;_social_category&gt;医学(3)&lt;/_social_category&gt;&lt;_collection_scope&gt;SCIE&lt;/_collection_scope&gt;&lt;/Details&gt;&lt;Extra&gt;&lt;DBUID&gt;{C3DDB144-B9A5-4BD3-B74E-FCFC25704025}&lt;/DBUID&gt;&lt;/Extra&gt;&lt;/Item&gt;&lt;/References&gt;&lt;/Group&gt;&lt;/Citation&gt;_x000a_"/>
    <w:docVar w:name="NE.Ref{EF0365D8-F452-4FEE-B0CD-B4525CC7DB39}" w:val=" ADDIN NE.Ref.{EF0365D8-F452-4FEE-B0CD-B4525CC7DB39}&lt;Citation&gt;&lt;Group&gt;&lt;References&gt;&lt;Item&gt;&lt;ID&gt;555&lt;/ID&gt;&lt;UID&gt;{46F103B0-AC9A-40B4-B013-A3F992F512C1}&lt;/UID&gt;&lt;Title&gt;Randomised clinical trial: comparison of tegoprazan and lansoprazole as  maintenance therapy for healed mild erosive oesophagitis&lt;/Title&gt;&lt;Template&gt;Journal Article&lt;/Template&gt;&lt;Star&gt;0&lt;/Star&gt;&lt;Tag&gt;0&lt;/Tag&gt;&lt;Author&gt;Cho, Y K; Kim, J H; Kim, H S; Kim, T O; Oh, J H; Choi, S C; Moon, J S; Lee, S K; Jung, S W; Kim, S S; Jung, H K; Lee, S P; Cheon, G J; Park, M I; Jung, H Y; Ko, K H; Sung, I K; Lee, S H; Lee, J Y; Lee, S T; Rhee, P L; Kim, N; Hong, S J; Kim, H J; Kim, G H; Lee, K J; Kim, S K; Shin, W G; Lee, O Y&lt;/Author&gt;&lt;Year&gt;2023&lt;/Year&gt;&lt;Details&gt;&lt;_accessed&gt;65116725&lt;/_accessed&gt;&lt;_accession_num&gt;36314172&lt;/_accession_num&gt;&lt;_author_adr&gt;Catholic Photomedicine Research Institute, Seoul St. Mary&amp;apos;s Hospital, College of  Medicine, The Catholic University of Korea, Seoul, South Korea.; Department of Internal Medicine, Dongguk University Ilsan Hospital, Dongguk  University College of Medicine, Goyang, South Korea.; Department of Internal Medicine, Yonsei University Wonju College of Medicine,  Wonju Christian Hospital, Wonju, South Korea.; Department of Internal Medicine, Inje University Haeundae Paik Hospital, Busan,  South Korea.; Department of Internal Medicine, Eunpyeong St. Mary&amp;apos;s Hospital, College of  Medicine, The Catholic University of Korea, Seoul, South Korea.; Department of Internal Medicine, Wonkwang University Hospital, Iksan, South  Korea.; Department of Internal Medicine, Inje University, Seoul Paik Hospital, Seoul,  South Korea.; Department of Internal Medicine, Yonsei University College of Medicine, Severance  Hospital, Seoul, South Korea.; Department of Internal Medicine, Korea University College of Medicine, Seoul,  South Korea.; Department of Internal Medicine, Uijeongbu St. Mary&amp;apos;s Hospital, College of  Medicine, The Catholic University of Korea, Uijeongbu, South Korea.; Department of Internal Medicine, College of Medicine, Ewha Womans University,  Seoul, South Korea.; Department of Internal Medicine, Hallym University Dongtan Sacred Heart Hospital,  Hwaseong, South Korea.; Department of Internal Medicine, GangNeung Asan Hospital, College of Medicine,  Ulsan University, Gangneung, South Korea.; Department of Internal Medicine, Kosin University College of Medicine, Busan,  South Korea.; Department of Gastroenterology, Asan Medical Center, University of Ulsan, Seoul,  South Korea.; Digestive Disease Center, CHA Bundang Medical Center, CHA University, Seongnam,  South Korea.; Department of Internal Medicine, Konkuk University Medical Center, Seoul, South  Korea.; Department of Internal Medicine, Yeungnam University College of Medicine, Daegu,  South Korea.; Department of Internal Medicine, Keimyung University School of Medicine, Daegu,  South Korea.; Department of Internal Medicine, Jeonbuk National University Hospital, Jeonju,  South Korea.; Department of Medicine, Samsung Medical Center, Sungkyunkwan University, Seoul,  South Korea.; Department of Internal Medicine, Seoul National University Bundang Hospital,  Seongnam and Seoul National University College of Medicine, Seoul, South Korea.; Department of Internal Medicine, Soonchunhyang University College of Medicine,  Bucheon, South Korea.; Department of Internal Medicine, Gyeongsang National University Changwon  Hospital, Changwon, South Korea.; Department of Internal Medicine, Pusan National University College of Medicine  and Biomedical Research Institute, Pusan National University Hospital, Busan,  South Korea.; Department of Gastroenterology, Ajou University Hospital, Ajou University School  of Medicine, Suwon, South Korea.; Department of Internal Medicine, Kyungpook National University Hospital, Daegu,  South Korea.; Department of Internal Medicine, Hallym University College of Medicine/Institute  for Liver and Digestive Diseases, Chuncheon, South Korea.; Department of Internal Medicine, Hanyang University College of Medicine, Seoul,  South Korea.&lt;/_author_adr&gt;&lt;_collection_scope&gt;SCIE&lt;/_collection_scope&gt;&lt;_created&gt;65116703&lt;/_created&gt;&lt;_custom1&gt;35&lt;/_custom1&gt;&lt;_date&gt;2023-01-01&lt;/_date&gt;&lt;_date_display&gt;2023 Jan&lt;/_date_display&gt;&lt;_db_updated&gt;PubMed&lt;/_db_updated&gt;&lt;_doi&gt;10.1111/apt.17255&lt;/_doi&gt;&lt;_impact_factor&gt;   9.524&lt;/_impact_factor&gt;&lt;_isbn&gt;1365-2036 (Electronic); 0269-2813 (Print); 0269-2813 (Linking)&lt;/_isbn&gt;&lt;_issue&gt;1&lt;/_issue&gt;&lt;_journal&gt;Aliment Pharmacol Ther&lt;/_journal&gt;&lt;_language&gt;eng&lt;/_language&gt;&lt;_modified&gt;65116725&lt;/_modified&gt;&lt;_ori_publication&gt;(c) 2022 The Authors. Alimentary Pharmacology &amp;amp; Therapeutics published by John _x000d__x000a_      Wiley &amp;amp; Sons Ltd.&lt;/_ori_publication&gt;&lt;_pages&gt;72-80&lt;/_pages&gt;&lt;_social_category&gt;医学(1)&lt;/_social_category&gt;&lt;_subject_headings&gt;Humans; Lansoprazole/therapeutic use; *Gastrins&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6314172&amp;amp;query_hl=1&lt;/_url&gt;&lt;_volume&gt;57&lt;/_volume&gt;&lt;/Details&gt;&lt;Extra&gt;&lt;DBUID&gt;{C3DDB144-B9A5-4BD3-B74E-FCFC25704025}&lt;/DBUID&gt;&lt;/Extra&gt;&lt;/Item&gt;&lt;/References&gt;&lt;/Group&gt;&lt;/Citation&gt;_x000a_"/>
    <w:docVar w:name="NE.Ref{F0F92A33-8697-49FF-B892-C008DC77C719}" w:val=" ADDIN NE.Ref.{F0F92A33-8697-49FF-B892-C008DC77C719}&lt;Citation&gt;&lt;Group&gt;&lt;References&gt;&lt;Item&gt;&lt;ID&gt;562&lt;/ID&gt;&lt;UID&gt;{6484AB4B-F0E3-4C9D-8946-4FAE1F350996}&lt;/UID&gt;&lt;Title&gt;Efficacy of On-Demand Therapy Using 20-mg Vonoprazan for Mild Reflux Esophagitis&lt;/Title&gt;&lt;Template&gt;Journal Article&lt;/Template&gt;&lt;Star&gt;0&lt;/Star&gt;&lt;Tag&gt;0&lt;/Tag&gt;&lt;Author&gt;Umezawa, M; Kawami, N; Hoshino, S; Hoshikawa, Y; Koizumi, E; Takenouchi, N; Hanada, Y; Kaise, M; Iwakiri, K&lt;/Author&gt;&lt;Year&gt;2018&lt;/Year&gt;&lt;Details&gt;&lt;_accessed&gt;65116737&lt;/_accessed&gt;&lt;_accession_num&gt;29514137&lt;/_accession_num&gt;&lt;_collection_scope&gt;SCIE&lt;/_collection_scope&gt;&lt;_created&gt;65116735&lt;/_created&gt;&lt;_custom1&gt;42&lt;/_custom1&gt;&lt;_date&gt;2018-01-20&lt;/_date&gt;&lt;_date_display&gt;2018&lt;/_date_display&gt;&lt;_db_updated&gt;PubMed&lt;/_db_updated&gt;&lt;_doi&gt;10.1159/000485795&lt;/_doi&gt;&lt;_impact_factor&gt;   3.672&lt;/_impact_factor&gt;&lt;_isbn&gt;1421-9867 (Electronic); 0012-2823 (Linking)&lt;/_isbn&gt;&lt;_issue&gt;4&lt;/_issue&gt;&lt;_journal&gt;Digestion&lt;/_journal&gt;&lt;_keywords&gt;Maintenance therapy; Mild reflux esophagitis; On-demand therapy; Vonoprazan&lt;/_keywords&gt;&lt;_language&gt;eng&lt;/_language&gt;&lt;_modified&gt;65116737&lt;/_modified&gt;&lt;_ori_publication&gt;(c) 2018 S. Karger AG, Basel.&lt;/_ori_publication&gt;&lt;_pages&gt;309-315&lt;/_pages&gt;&lt;_social_category&gt;医学(3)&lt;/_social_category&gt;&lt;_subject_headings&gt;Aged; Esophagitis, Peptic/blood/*drug therapy; Fasting; Female; Gastrins/blood; Humans; Japan; Maintenance Chemotherapy/*methods/standards; Male; Middle Aged; Patient Satisfaction; Practice Guidelines as Topic; Prospective Studies; Proton Pump Inhibitors/therapeutic use; Pyrroles/*therapeutic use; Recurrence; Severity of Illness Index; Sulfonamides/*therapeutic use; Treatment Outcome&lt;/_subject_headings&gt;&lt;_tertiary_title&gt;Digestion&lt;/_tertiary_title&gt;&lt;_type_work&gt;Clinical Trial; Journal Article&lt;/_type_work&gt;&lt;_url&gt;http://www.ncbi.nlm.nih.gov/entrez/query.fcgi?cmd=Retrieve&amp;amp;db=pubmed&amp;amp;dopt=Abstract&amp;amp;list_uids=29514137&amp;amp;query_hl=1&lt;/_url&gt;&lt;_volume&gt;97&lt;/_volume&gt;&lt;/Details&gt;&lt;Extra&gt;&lt;DBUID&gt;{C3DDB144-B9A5-4BD3-B74E-FCFC25704025}&lt;/DBUID&gt;&lt;/Extra&gt;&lt;/Item&gt;&lt;/References&gt;&lt;/Group&gt;&lt;/Citation&gt;_x000a_"/>
    <w:docVar w:name="NE.Ref{F77F3E12-BAD8-4154-B6D6-37D125D9D4AB}" w:val=" ADDIN NE.Ref.{F77F3E12-BAD8-4154-B6D6-37D125D9D4AB}&lt;Citation&gt;&lt;Group&gt;&lt;References&gt;&lt;Item&gt;&lt;ID&gt;555&lt;/ID&gt;&lt;UID&gt;{46F103B0-AC9A-40B4-B013-A3F992F512C1}&lt;/UID&gt;&lt;Title&gt;Randomised clinical trial: comparison of tegoprazan and lansoprazole as  maintenance therapy for healed mild erosive oesophagitis&lt;/Title&gt;&lt;Template&gt;Journal Article&lt;/Template&gt;&lt;Star&gt;0&lt;/Star&gt;&lt;Tag&gt;0&lt;/Tag&gt;&lt;Author&gt;Cho, Y K; Kim, J H; Kim, H S; Kim, T O; Oh, J H; Choi, S C; Moon, J S; Lee, S K; Jung, S W; Kim, S S; Jung, H K; Lee, S P; Cheon, G J; Park, M I; Jung, H Y; Ko, K H; Sung, I K; Lee, S H; Lee, J Y; Lee, S T; Rhee, P L; Kim, N; Hong, S J; Kim, H J; Kim, G H; Lee, K J; Kim, S K; Shin, W G; Lee, O Y&lt;/Author&gt;&lt;Year&gt;2023&lt;/Year&gt;&lt;Details&gt;&lt;_accessed&gt;65116725&lt;/_accessed&gt;&lt;_accession_num&gt;36314172&lt;/_accession_num&gt;&lt;_author_adr&gt;Catholic Photomedicine Research Institute, Seoul St. Mary&amp;apos;s Hospital, College of  Medicine, The Catholic University of Korea, Seoul, South Korea.; Department of Internal Medicine, Dongguk University Ilsan Hospital, Dongguk  University College of Medicine, Goyang, South Korea.; Department of Internal Medicine, Yonsei University Wonju College of Medicine,  Wonju Christian Hospital, Wonju, South Korea.; Department of Internal Medicine, Inje University Haeundae Paik Hospital, Busan,  South Korea.; Department of Internal Medicine, Eunpyeong St. Mary&amp;apos;s Hospital, College of  Medicine, The Catholic University of Korea, Seoul, South Korea.; Department of Internal Medicine, Wonkwang University Hospital, Iksan, South  Korea.; Department of Internal Medicine, Inje University, Seoul Paik Hospital, Seoul,  South Korea.; Department of Internal Medicine, Yonsei University College of Medicine, Severance  Hospital, Seoul, South Korea.; Department of Internal Medicine, Korea University College of Medicine, Seoul,  South Korea.; Department of Internal Medicine, Uijeongbu St. Mary&amp;apos;s Hospital, College of  Medicine, The Catholic University of Korea, Uijeongbu, South Korea.; Department of Internal Medicine, College of Medicine, Ewha Womans University,  Seoul, South Korea.; Department of Internal Medicine, Hallym University Dongtan Sacred Heart Hospital,  Hwaseong, South Korea.; Department of Internal Medicine, GangNeung Asan Hospital, College of Medicine,  Ulsan University, Gangneung, South Korea.; Department of Internal Medicine, Kosin University College of Medicine, Busan,  South Korea.; Department of Gastroenterology, Asan Medical Center, University of Ulsan, Seoul,  South Korea.; Digestive Disease Center, CHA Bundang Medical Center, CHA University, Seongnam,  South Korea.; Department of Internal Medicine, Konkuk University Medical Center, Seoul, South  Korea.; Department of Internal Medicine, Yeungnam University College of Medicine, Daegu,  South Korea.; Department of Internal Medicine, Keimyung University School of Medicine, Daegu,  South Korea.; Department of Internal Medicine, Jeonbuk National University Hospital, Jeonju,  South Korea.; Department of Medicine, Samsung Medical Center, Sungkyunkwan University, Seoul,  South Korea.; Department of Internal Medicine, Seoul National University Bundang Hospital,  Seongnam and Seoul National University College of Medicine, Seoul, South Korea.; Department of Internal Medicine, Soonchunhyang University College of Medicine,  Bucheon, South Korea.; Department of Internal Medicine, Gyeongsang National University Changwon  Hospital, Changwon, South Korea.; Department of Internal Medicine, Pusan National University College of Medicine  and Biomedical Research Institute, Pusan National University Hospital, Busan,  South Korea.; Department of Gastroenterology, Ajou University Hospital, Ajou University School  of Medicine, Suwon, South Korea.; Department of Internal Medicine, Kyungpook National University Hospital, Daegu,  South Korea.; Department of Internal Medicine, Hallym University College of Medicine/Institute  for Liver and Digestive Diseases, Chuncheon, South Korea.; Department of Internal Medicine, Hanyang University College of Medicine, Seoul,  South Korea.&lt;/_author_adr&gt;&lt;_collection_scope&gt;SCIE&lt;/_collection_scope&gt;&lt;_created&gt;65116703&lt;/_created&gt;&lt;_custom1&gt;35&lt;/_custom1&gt;&lt;_date&gt;2023-01-01&lt;/_date&gt;&lt;_date_display&gt;2023 Jan&lt;/_date_display&gt;&lt;_db_updated&gt;PubMed&lt;/_db_updated&gt;&lt;_doi&gt;10.1111/apt.17255&lt;/_doi&gt;&lt;_impact_factor&gt;   9.524&lt;/_impact_factor&gt;&lt;_isbn&gt;1365-2036 (Electronic); 0269-2813 (Print); 0269-2813 (Linking)&lt;/_isbn&gt;&lt;_issue&gt;1&lt;/_issue&gt;&lt;_journal&gt;Aliment Pharmacol Ther&lt;/_journal&gt;&lt;_language&gt;eng&lt;/_language&gt;&lt;_modified&gt;65116725&lt;/_modified&gt;&lt;_ori_publication&gt;(c) 2022 The Authors. Alimentary Pharmacology &amp;amp; Therapeutics published by John _x000d__x000a_      Wiley &amp;amp; Sons Ltd.&lt;/_ori_publication&gt;&lt;_pages&gt;72-80&lt;/_pages&gt;&lt;_social_category&gt;医学(1)&lt;/_social_category&gt;&lt;_subject_headings&gt;Humans; Lansoprazole/therapeutic use; *Gastrins&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6314172&amp;amp;query_hl=1&lt;/_url&gt;&lt;_volume&gt;57&lt;/_volume&gt;&lt;/Details&gt;&lt;Extra&gt;&lt;DBUID&gt;{C3DDB144-B9A5-4BD3-B74E-FCFC25704025}&lt;/DBUID&gt;&lt;/Extra&gt;&lt;/Item&gt;&lt;/References&gt;&lt;/Group&gt;&lt;/Citation&gt;_x000a_"/>
    <w:docVar w:name="NE.Ref{FA02EEAF-9DE0-4899-8867-62871205D6AF}" w:val=" ADDIN NE.Ref.{FA02EEAF-9DE0-4899-8867-62871205D6AF}&lt;Citation&gt;&lt;Group&gt;&lt;References&gt;&lt;Item&gt;&lt;ID&gt;551&lt;/ID&gt;&lt;UID&gt;{2FD86CDF-A2D9-4766-9164-4DB1FF8D39FB}&lt;/UID&gt;&lt;Title&gt;Randomised clinical trial: tegoprazan, a novel potassium-competitive acid  blocker, or lansoprazole in the treatment of gastric ulcer&lt;/Title&gt;&lt;Template&gt;Journal Article&lt;/Template&gt;&lt;Star&gt;0&lt;/Star&gt;&lt;Tag&gt;0&lt;/Tag&gt;&lt;Author&gt;Cho, Y K; Choi, M G; Choi, S C; Lee, K M; Kim, T O; Park, S H; Moon, J S; Lim, Y J; Kang, D H; Cheon, G J; Baik, G H; Kim, K O; Cho, K B; Jang, J S; Park, J J; Son, B K; Jung, H K; Kim, B W; Kim, S K; Lee, S T; Cha, J M; Kim, A R; Kim, E J; Park, H W; Song, G S&lt;/Author&gt;&lt;Year&gt;2020&lt;/Year&gt;&lt;Details&gt;&lt;_accession_num&gt;32701188&lt;/_accession_num&gt;&lt;_author_adr&gt;Seoul, Korea.; Seoul, Korea.; Iksan, Korea.; Suwon, Korea.; Busan, Korea.; Seoul, Korea.; Seoul, Korea.; Goyang, Korea.; Yangsan, Korea.; Gangneung, Korea.; Chuncheon, Korea.; Incheon, Korea.; Daegu, Korea.; Busan, Korea.; Seoul, Korea.; Seoul, Korea.; Seoul, Korea.; Incheon, Korea.; Daegu, Korea.; Jeonju, Korea.; Seoul, Korea.; Seoul, Korea.; Seoul, Korea.; Seoul, Korea.; Seoul, Korea.&lt;/_author_adr&gt;&lt;_date_display&gt;2020 Sep&lt;/_date_display&gt;&lt;_date&gt;2020-09-01&lt;/_date&gt;&lt;_doi&gt;10.1111/apt.15865&lt;/_doi&gt;&lt;_isbn&gt;1365-2036 (Electronic); 0269-2813 (Print); 0269-2813 (Linking)&lt;/_isbn&gt;&lt;_issue&gt;5&lt;/_issue&gt;&lt;_journal&gt;Aliment Pharmacol Ther&lt;/_journal&gt;&lt;_language&gt;eng&lt;/_language&gt;&lt;_ori_publication&gt;(c) 2020 The Authors. Alimentary Pharmacology &amp;amp; Therapeutics published by John _x000d__x000a_      Wiley &amp;amp; Sons Ltd.&lt;/_ori_publication&gt;&lt;_pages&gt;789-797&lt;/_pages&gt;&lt;_subject_headings&gt;Adult; Aged; Anti-Ulcer Agents/administration &amp;amp; dosage/adverse effects; Benzene Derivatives/*administration &amp;amp; dosage/adverse effects; Dose-Response Relationship, Drug; Double-Blind Method; Drug Administration Schedule; Female; Humans; Imidazoles/*administration &amp;amp; dosage/adverse effects; Lansoprazole/*administration &amp;amp; dosage/adverse effects; Male; Middle Aged; Potassium/metabolism; Proton Pump Inhibitors/administration &amp;amp; dosage/adverse effects; Republic of Korea; Stomach Ulcer/*drug therapy; Treatment Outcome; Wound Healing/drug effects&lt;/_subject_headings&gt;&lt;_tertiary_title&gt;Alimentary pharmacology &amp;amp; therapeutics&lt;/_tertiary_title&gt;&lt;_type_work&gt;Clinical Trial, Phase III; Journal Article; Multicenter Study; Randomized Controlled Trial; Research Support, Non-U.S. Gov&amp;apos;t&lt;/_type_work&gt;&lt;_url&gt;http://www.ncbi.nlm.nih.gov/entrez/query.fcgi?cmd=Retrieve&amp;amp;db=pubmed&amp;amp;dopt=Abstract&amp;amp;list_uids=32701188&amp;amp;query_hl=1&lt;/_url&gt;&lt;_volume&gt;52&lt;/_volume&gt;&lt;_created&gt;65116699&lt;/_created&gt;&lt;_modified&gt;65116700&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Group&gt;&lt;References&gt;&lt;Item&gt;&lt;ID&gt;552&lt;/ID&gt;&lt;UID&gt;{2931B7A7-C3E2-4239-80A9-D180E6A8DB8F}&lt;/UID&gt;&lt;Title&gt;Effects of Tegoprazan Versus Esomeprazole on Nighttime Heartburn and Sleep  Quality in Gastroesophageal Reflux Disease: A Multicenter Double-blind Randomized  Controlled Trial&lt;/Title&gt;&lt;Template&gt;Journal Article&lt;/Template&gt;&lt;Star&gt;0&lt;/Star&gt;&lt;Tag&gt;0&lt;/Tag&gt;&lt;Author&gt;Kim, J S; Seo, S I; Kang, S H; Lee, S K; Kim, A R; Park, H W; Kim, B T; Song, G S&lt;/Author&gt;&lt;Year&gt;2023&lt;/Year&gt;&lt;Details&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date_display&gt;2023 Jan 30&lt;/_date_display&gt;&lt;_date&gt;2023-01-30&lt;/_date&gt;&lt;_doi&gt;10.5056/jnm22104&lt;/_doi&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pages&gt;58-64&lt;/_pages&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_created&gt;65116702&lt;/_created&gt;&lt;_modified&gt;65116704&lt;/_modified&gt;&lt;_db_updated&gt;PubMed&lt;/_db_updated&gt;&lt;_impact_factor&gt;   4.725&lt;/_impact_factor&gt;&lt;_social_category&gt;医学(2)&lt;/_social_category&gt;&lt;_collection_scope&gt;SCIE&lt;/_collection_scope&gt;&lt;/Details&gt;&lt;Extra&gt;&lt;DBUID&gt;{C3DDB144-B9A5-4BD3-B74E-FCFC25704025}&lt;/DBUID&gt;&lt;/Extra&gt;&lt;/Item&gt;&lt;/References&gt;&lt;/Group&gt;&lt;Group&gt;&lt;References&gt;&lt;Item&gt;&lt;ID&gt;553&lt;/ID&gt;&lt;UID&gt;{4A9BF744-E458-4634-9FDF-E5ABB9F3D21D}&lt;/UID&gt;&lt;Title&gt;Randomised phase 3 trial: tegoprazan, a novel potassium-competitive acid blocker,  vs. esomeprazole in patients with erosive oesophagitis&lt;/Title&gt;&lt;Template&gt;Journal Article&lt;/Template&gt;&lt;Star&gt;0&lt;/Star&gt;&lt;Tag&gt;0&lt;/Tag&gt;&lt;Author&gt;Lee, K J; Son, B K; Kim, G H; Jung, H K; Jung, H Y; Chung, I K; Sung, I K; Kim, J I; Kim, J H; Lee, J S; Kwon, J G; Park, J H; Huh, K C; Park, K S; Park, M I; Kim, N; Lee, O Y; Jee, S R; Lee, S K; Youn, S J; Kim, S K; Lee, S T; Hong, S J; Choi, S C; Kim, T N; Youn, Y H; Park, H J; Kang, M J; Park, C H; Kim, B T; Youn, S; Song, G S; Rhee, P L&lt;/Author&gt;&lt;Year&gt;2019&lt;/Year&gt;&lt;Details&gt;&lt;_accession_num&gt;30843245&lt;/_accession_num&gt;&lt;_author_adr&gt;Suwon, Korea.; Seoul, Korea.; Busan, Korea.; Seoul, Korea.; Seoul, Korea.; Cheonan, Korea.; Seoul, Korea.; Seoul, Korea.; Anyang, Korea.; Seoul, Korea.; Daegu, Korea.; Seoul, Korea.; Daejeon, Korea.; Daegu, Korea.; Busan, Korea.; Seongnam, Korea.; Seoul, Korea.; Busan, Korea.; Seoul, Korea.; Cheongju, Korea.; Daegu, Korea.; Jeonju, Korea.; Bucheon, Korea.; Iksan, Korea.; Daegu, Korea.; Seoul, Korea.; Seoul, Korea.; Seoul, Korea.; Seoul, Korea.; Seoul, Korea.; Seoul, Korea.; Seoul, Korea.; Seoul, Korea.&lt;/_author_adr&gt;&lt;_date_display&gt;2019 Apr&lt;/_date_display&gt;&lt;_date&gt;2019-04-01&lt;/_date&gt;&lt;_doi&gt;10.1111/apt.15185&lt;/_doi&gt;&lt;_isbn&gt;1365-2036 (Electronic); 0269-2813 (Print); 0269-2813 (Linking)&lt;/_isbn&gt;&lt;_issue&gt;7&lt;/_issue&gt;&lt;_journal&gt;Aliment Pharmacol Ther&lt;/_journal&gt;&lt;_language&gt;eng&lt;/_language&gt;&lt;_ori_publication&gt;(c) 2019 The Authors. Alimentary Pharmacology &amp;amp; Therapeutics Published by John _x000d__x000a_      Wiley &amp;amp; Sons Ltd.&lt;/_ori_publication&gt;&lt;_pages&gt;864-872&lt;/_pages&gt;&lt;_subject_headings&gt;Adult; Aged; Anti-Ulcer Agents/*administration &amp;amp; dosage; Benzene Derivatives/*administration &amp;amp; dosage; Double-Blind Method; Esomeprazole/*administration &amp;amp; dosage; Esophagitis/*diagnosis/*drug therapy; Female; Humans; Imidazoles/*administration &amp;amp; dosage; Male; Middle Aged; Potassium; Proton Pump Inhibitors/*administration &amp;amp; dosage; Treatment Outcome; Wound Healing/drug effects/physiology; Young Adult&lt;/_subject_headings&gt;&lt;_tertiary_title&gt;Alimentary pharmacology &amp;amp; therapeutics&lt;/_tertiary_title&gt;&lt;_type_work&gt;Clinical Trial, Phase III; Comparative Study; Journal Article; Multicenter Study; Randomized Controlled Trial; Research Support, Non-U.S. Gov&amp;apos;t&lt;/_type_work&gt;&lt;_url&gt;http://www.ncbi.nlm.nih.gov/entrez/query.fcgi?cmd=Retrieve&amp;amp;db=pubmed&amp;amp;dopt=Abstract&amp;amp;list_uids=30843245&amp;amp;query_hl=1&lt;/_url&gt;&lt;_volume&gt;49&lt;/_volume&gt;&lt;_created&gt;65116702&lt;/_created&gt;&lt;_modified&gt;65116705&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Group&gt;&lt;References&gt;&lt;Item&gt;&lt;ID&gt;554&lt;/ID&gt;&lt;UID&gt;{72A063B9-CB02-422D-BB1A-FB7F7F5B5F77}&lt;/UID&gt;&lt;Title&gt;Effects of Tegoprazan Versus Esomeprazole on Nighttime Heartburn and Sleep  Quality in Gastroesophageal Reflux Disease: A Multicenter Double-blind Randomized  Controlled Trial&lt;/Title&gt;&lt;Template&gt;Journal Article&lt;/Template&gt;&lt;Star&gt;0&lt;/Star&gt;&lt;Tag&gt;0&lt;/Tag&gt;&lt;Author&gt;Kim, J S; Seo, S I; Kang, S H; Lee, S K; Kim, A R; Park, H W; Kim, B T; Song, G S&lt;/Author&gt;&lt;Year&gt;2023&lt;/Year&gt;&lt;Details&gt;&lt;_accession_num&gt;36581325&lt;/_accession_num&gt;&lt;_author_adr&gt;Division of Gastroenterology, Department of Internal Medicine, Incheon St. Mary&amp;apos;s  Hospital, College of Medicine, The Catholic University of Korea, Seoul, Korea.; Department of Internal Medicine, Kangdong Sacred Heart Hospital, Hallym  University College of Medicine, Seoul, Korea.; Division of Gastroenterology, Department of Internal Medicine, Chungnam National  University School of Medicine, Daejeon, Korea.; Department of Internal Medicine, Yonsei Institute of Gastroenterology, Severance  Hospital, Yonsei University College of Medicine, Seoul, Korea.; HK inno.N Corp, Seoul, Korea.; HK inno.N Corp, Seoul, Korea.; HK inno.N Corp, Seoul, Korea.; HK inno.N Corp, Seoul, Korea.&lt;/_author_adr&gt;&lt;_date_display&gt;2023 Jan 30&lt;/_date_display&gt;&lt;_date&gt;2023-01-30&lt;/_date&gt;&lt;_doi&gt;10.5056/jnm22104&lt;/_doi&gt;&lt;_isbn&gt;2093-0879 (Print); 2093-0887 (Electronic); 2093-0879 (Linking)&lt;/_isbn&gt;&lt;_issue&gt;1&lt;/_issue&gt;&lt;_journal&gt;J Neurogastroenterol Motil&lt;/_journal&gt;&lt;_keywords&gt;Gastroesophageal reflux; Heartburn; Potassium channel blockers; Proton pump inhibitors; Sleep wake disorders&lt;/_keywords&gt;&lt;_language&gt;eng&lt;/_language&gt;&lt;_pages&gt;58-64&lt;/_pages&gt;&lt;_tertiary_title&gt;Journal of neurogastroenterology and motility&lt;/_tertiary_title&gt;&lt;_type_work&gt;Journal Article&lt;/_type_work&gt;&lt;_url&gt;http://www.ncbi.nlm.nih.gov/entrez/query.fcgi?cmd=Retrieve&amp;amp;db=pubmed&amp;amp;dopt=Abstract&amp;amp;list_uids=36581325&amp;amp;query_hl=1&lt;/_url&gt;&lt;_volume&gt;29&lt;/_volume&gt;&lt;_created&gt;65116703&lt;/_created&gt;&lt;_modified&gt;65116705&lt;/_modified&gt;&lt;_db_updated&gt;PubMed&lt;/_db_updated&gt;&lt;_impact_factor&gt;   4.725&lt;/_impact_factor&gt;&lt;_social_category&gt;医学(2)&lt;/_social_category&gt;&lt;_collection_scope&gt;SCIE&lt;/_collection_scope&gt;&lt;/Details&gt;&lt;Extra&gt;&lt;DBUID&gt;{C3DDB144-B9A5-4BD3-B74E-FCFC25704025}&lt;/DBUID&gt;&lt;/Extra&gt;&lt;/Item&gt;&lt;/References&gt;&lt;/Group&gt;&lt;Group&gt;&lt;References&gt;&lt;Item&gt;&lt;ID&gt;555&lt;/ID&gt;&lt;UID&gt;{46F103B0-AC9A-40B4-B013-A3F992F512C1}&lt;/UID&gt;&lt;Title&gt;Randomised clinical trial: comparison of tegoprazan and lansoprazole as  maintenance therapy for healed mild erosive oesophagitis&lt;/Title&gt;&lt;Template&gt;Journal Article&lt;/Template&gt;&lt;Star&gt;0&lt;/Star&gt;&lt;Tag&gt;0&lt;/Tag&gt;&lt;Author&gt;Cho, Y K; Kim, J H; Kim, H S; Kim, T O; Oh, J H; Choi, S C; Moon, J S; Lee, S K; Jung, S W; Kim, S S; Jung, H K; Lee, S P; Cheon, G J; Park, M I; Jung, H Y; Ko, K H; Sung, I K; Lee, S H; Lee, J Y; Lee, S T; Rhee, P L; Kim, N; Hong, S J; Kim, H J; Kim, G H; Lee, K J; Kim, S K; Shin, W G; Lee, O Y&lt;/Author&gt;&lt;Year&gt;2023&lt;/Year&gt;&lt;Details&gt;&lt;_accession_num&gt;36314172&lt;/_accession_num&gt;&lt;_author_adr&gt;Catholic Photomedicine Research Institute, Seoul St. Mary&amp;apos;s Hospital, College of  Medicine, The Catholic University of Korea, Seoul, South Korea.; Department of Internal Medicine, Dongguk University Ilsan Hospital, Dongguk  University College of Medicine, Goyang, South Korea.; Department of Internal Medicine, Yonsei University Wonju College of Medicine,  Wonju Christian Hospital, Wonju, South Korea.; Department of Internal Medicine, Inje University Haeundae Paik Hospital, Busan,  South Korea.; Department of Internal Medicine, Eunpyeong St. Mary&amp;apos;s Hospital, College of  Medicine, The Catholic University of Korea, Seoul, South Korea.; Department of Internal Medicine, Wonkwang University Hospital, Iksan, South  Korea.; Department of Internal Medicine, Inje University, Seoul Paik Hospital, Seoul,  South Korea.; Department of Internal Medicine, Yonsei University College of Medicine, Severance  Hospital, Seoul, South Korea.; Department of Internal Medicine, Korea University College of Medicine, Seoul,  South Korea.; Department of Internal Medicine, Uijeongbu St. Mary&amp;apos;s Hospital, College of  Medicine, The Catholic University of Korea, Uijeongbu, South Korea.; Department of Internal Medicine, College of Medicine, Ewha Womans University,  Seoul, South Korea.; Department of Internal Medicine, Hallym University Dongtan Sacred Heart Hospital,  Hwaseong, South Korea.; Department of Internal Medicine, GangNeung Asan Hospital, College of Medicine,  Ulsan University, Gangneung, South Korea.; Department of Internal Medicine, Kosin University College of Medicine, Busan,  South Korea.; Department of Gastroenterology, Asan Medical Center, University of Ulsan, Seoul,  South Korea.; Digestive Disease Center, CHA Bundang Medical Center, CHA University, Seongnam,  South Korea.; Department of Internal Medicine, Konkuk University Medical Center, Seoul, South  Korea.; Department of Internal Medicine, Yeungnam University College of Medicine, Daegu,  South Korea.; Department of Internal Medicine, Keimyung University School of Medicine, Daegu,  South Korea.; Department of Internal Medicine, Jeonbuk National University Hospital, Jeonju,  South Korea.; Department of Medicine, Samsung Medical Center, Sungkyunkwan University, Seoul,  South Korea.; Department of Internal Medicine, Seoul National University Bundang Hospital,  Seongnam and Seoul National University College of Medicine, Seoul, South Korea.; Department of Internal Medicine, Soonchunhyang University College of Medicine,  Bucheon, South Korea.; Department of Internal Medicine, Gyeongsang National University Changwon  Hospital, Changwon, South Korea.; Department of Internal Medicine, Pusan National University College of Medicine  and Biomedical Research Institute, Pusan National University Hospital, Busan,  South Korea.; Department of Gastroenterology, Ajou University Hospital, Ajou University School  of Medicine, Suwon, South Korea.; Department of Internal Medicine, Kyungpook National University Hospital, Daegu,  South Korea.; Department of Internal Medicine, Hallym University College of Medicine/Institute  for Liver and Digestive Diseases, Chuncheon, South Korea.; Department of Internal Medicine, Hanyang University College of Medicine, Seoul,  South Korea.&lt;/_author_adr&gt;&lt;_date_display&gt;2023 Jan&lt;/_date_display&gt;&lt;_date&gt;2023-01-01&lt;/_date&gt;&lt;_doi&gt;10.1111/apt.17255&lt;/_doi&gt;&lt;_isbn&gt;1365-2036 (Electronic); 0269-2813 (Print); 0269-2813 (Linking)&lt;/_isbn&gt;&lt;_issue&gt;1&lt;/_issue&gt;&lt;_journal&gt;Aliment Pharmacol Ther&lt;/_journal&gt;&lt;_language&gt;eng&lt;/_language&gt;&lt;_ori_publication&gt;(c) 2022 The Authors. Alimentary Pharmacology &amp;amp; Therapeutics published by John _x000d__x000a_      Wiley &amp;amp; Sons Ltd.&lt;/_ori_publication&gt;&lt;_pages&gt;72-80&lt;/_pages&gt;&lt;_subject_headings&gt;Humans; Lansoprazole/therapeutic use; *Gastrins&lt;/_subject_headings&gt;&lt;_tertiary_title&gt;Alimentary pharmacology &amp;amp; therapeutics&lt;/_tertiary_title&gt;&lt;_type_work&gt;Journal Article; Multicenter Study; Randomized Controlled Trial; Research Support, Non-U.S. Gov&amp;apos;t&lt;/_type_work&gt;&lt;_url&gt;http://www.ncbi.nlm.nih.gov/entrez/query.fcgi?cmd=Retrieve&amp;amp;db=pubmed&amp;amp;dopt=Abstract&amp;amp;list_uids=36314172&amp;amp;query_hl=1&lt;/_url&gt;&lt;_volume&gt;57&lt;/_volume&gt;&lt;_created&gt;65116703&lt;/_created&gt;&lt;_modified&gt;65116704&lt;/_modified&gt;&lt;_db_updated&gt;PubMed&lt;/_db_updated&gt;&lt;_impact_factor&gt;   9.524&lt;/_impact_factor&gt;&lt;_social_category&gt;医学(1)&lt;/_social_category&gt;&lt;_collection_scope&gt;SCIE&lt;/_collection_scope&gt;&lt;/Details&gt;&lt;Extra&gt;&lt;DBUID&gt;{C3DDB144-B9A5-4BD3-B74E-FCFC25704025}&lt;/DBUID&gt;&lt;/Extra&gt;&lt;/Item&gt;&lt;/References&gt;&lt;/Group&gt;&lt;/Citation&gt;_x000a_"/>
    <w:docVar w:name="ne_docsoft" w:val="MSWord"/>
    <w:docVar w:name="ne_docversion" w:val="NoteExpress 2.0"/>
    <w:docVar w:name="ne_stylename" w:val="中华人民共和国国家标准_GBT_7714-2015"/>
  </w:docVars>
  <w:rsids>
    <w:rsidRoot w:val="00172A27"/>
    <w:rsid w:val="000007E0"/>
    <w:rsid w:val="00000AC9"/>
    <w:rsid w:val="00001F3A"/>
    <w:rsid w:val="000035AA"/>
    <w:rsid w:val="00003FB4"/>
    <w:rsid w:val="000049A1"/>
    <w:rsid w:val="00004DB9"/>
    <w:rsid w:val="00005140"/>
    <w:rsid w:val="000053BD"/>
    <w:rsid w:val="0000565D"/>
    <w:rsid w:val="00005CD2"/>
    <w:rsid w:val="000066D4"/>
    <w:rsid w:val="00007061"/>
    <w:rsid w:val="00007DCD"/>
    <w:rsid w:val="00007DF0"/>
    <w:rsid w:val="00007F79"/>
    <w:rsid w:val="0001035A"/>
    <w:rsid w:val="000109A0"/>
    <w:rsid w:val="0001195C"/>
    <w:rsid w:val="00011EDE"/>
    <w:rsid w:val="00012D22"/>
    <w:rsid w:val="00012E04"/>
    <w:rsid w:val="0001347D"/>
    <w:rsid w:val="000148CE"/>
    <w:rsid w:val="00015152"/>
    <w:rsid w:val="00015CA1"/>
    <w:rsid w:val="00015D52"/>
    <w:rsid w:val="0001692F"/>
    <w:rsid w:val="0001696B"/>
    <w:rsid w:val="00016DD3"/>
    <w:rsid w:val="000172E9"/>
    <w:rsid w:val="00017B94"/>
    <w:rsid w:val="000200C1"/>
    <w:rsid w:val="00020155"/>
    <w:rsid w:val="00020AE0"/>
    <w:rsid w:val="00020FCD"/>
    <w:rsid w:val="000214CF"/>
    <w:rsid w:val="0002292A"/>
    <w:rsid w:val="00022CC4"/>
    <w:rsid w:val="000234F5"/>
    <w:rsid w:val="0002384A"/>
    <w:rsid w:val="0002404C"/>
    <w:rsid w:val="0002436F"/>
    <w:rsid w:val="00024492"/>
    <w:rsid w:val="00024996"/>
    <w:rsid w:val="00027069"/>
    <w:rsid w:val="00027B4B"/>
    <w:rsid w:val="00027EB8"/>
    <w:rsid w:val="00030B09"/>
    <w:rsid w:val="00031141"/>
    <w:rsid w:val="00031BE0"/>
    <w:rsid w:val="00031D10"/>
    <w:rsid w:val="00031E71"/>
    <w:rsid w:val="000320B2"/>
    <w:rsid w:val="00032194"/>
    <w:rsid w:val="000325E9"/>
    <w:rsid w:val="00033381"/>
    <w:rsid w:val="00033820"/>
    <w:rsid w:val="00033B2B"/>
    <w:rsid w:val="000343F1"/>
    <w:rsid w:val="00034BE0"/>
    <w:rsid w:val="0003508A"/>
    <w:rsid w:val="000357E4"/>
    <w:rsid w:val="00035DF4"/>
    <w:rsid w:val="00036270"/>
    <w:rsid w:val="000373C8"/>
    <w:rsid w:val="00037639"/>
    <w:rsid w:val="000400B7"/>
    <w:rsid w:val="00040316"/>
    <w:rsid w:val="00041260"/>
    <w:rsid w:val="000412D3"/>
    <w:rsid w:val="000414B0"/>
    <w:rsid w:val="00043ED4"/>
    <w:rsid w:val="00044170"/>
    <w:rsid w:val="00044CAC"/>
    <w:rsid w:val="00045507"/>
    <w:rsid w:val="00045EAC"/>
    <w:rsid w:val="000467C4"/>
    <w:rsid w:val="00046E6A"/>
    <w:rsid w:val="00046F89"/>
    <w:rsid w:val="00047659"/>
    <w:rsid w:val="000476AD"/>
    <w:rsid w:val="0005053C"/>
    <w:rsid w:val="00050CE3"/>
    <w:rsid w:val="00050F70"/>
    <w:rsid w:val="00052DC4"/>
    <w:rsid w:val="0005322A"/>
    <w:rsid w:val="00053A3B"/>
    <w:rsid w:val="00053ACE"/>
    <w:rsid w:val="00055754"/>
    <w:rsid w:val="00056288"/>
    <w:rsid w:val="00056516"/>
    <w:rsid w:val="00056842"/>
    <w:rsid w:val="000568E4"/>
    <w:rsid w:val="0005695C"/>
    <w:rsid w:val="00056BE3"/>
    <w:rsid w:val="00057896"/>
    <w:rsid w:val="00057AD3"/>
    <w:rsid w:val="00057C61"/>
    <w:rsid w:val="000618AE"/>
    <w:rsid w:val="00061D16"/>
    <w:rsid w:val="0006246E"/>
    <w:rsid w:val="00062C0E"/>
    <w:rsid w:val="000638B3"/>
    <w:rsid w:val="00063939"/>
    <w:rsid w:val="0006441A"/>
    <w:rsid w:val="000647F8"/>
    <w:rsid w:val="00065846"/>
    <w:rsid w:val="00065E64"/>
    <w:rsid w:val="0006615F"/>
    <w:rsid w:val="00067A5C"/>
    <w:rsid w:val="00067E2F"/>
    <w:rsid w:val="00070237"/>
    <w:rsid w:val="000702CB"/>
    <w:rsid w:val="000706AD"/>
    <w:rsid w:val="00070A3D"/>
    <w:rsid w:val="0007111A"/>
    <w:rsid w:val="00071237"/>
    <w:rsid w:val="0007126A"/>
    <w:rsid w:val="0007182A"/>
    <w:rsid w:val="00071BC6"/>
    <w:rsid w:val="00071D73"/>
    <w:rsid w:val="0007291E"/>
    <w:rsid w:val="00072D19"/>
    <w:rsid w:val="00072FA2"/>
    <w:rsid w:val="000736EB"/>
    <w:rsid w:val="00073945"/>
    <w:rsid w:val="00073B9A"/>
    <w:rsid w:val="00073D9B"/>
    <w:rsid w:val="00074A06"/>
    <w:rsid w:val="00075567"/>
    <w:rsid w:val="00075FD1"/>
    <w:rsid w:val="000766C9"/>
    <w:rsid w:val="00077498"/>
    <w:rsid w:val="00080304"/>
    <w:rsid w:val="00080E4B"/>
    <w:rsid w:val="00080E63"/>
    <w:rsid w:val="0008166F"/>
    <w:rsid w:val="0008259D"/>
    <w:rsid w:val="00083A28"/>
    <w:rsid w:val="00083BC8"/>
    <w:rsid w:val="00083D26"/>
    <w:rsid w:val="00084066"/>
    <w:rsid w:val="000845B5"/>
    <w:rsid w:val="00085148"/>
    <w:rsid w:val="00085F48"/>
    <w:rsid w:val="000866DD"/>
    <w:rsid w:val="00086A4C"/>
    <w:rsid w:val="0008752F"/>
    <w:rsid w:val="00087945"/>
    <w:rsid w:val="00087981"/>
    <w:rsid w:val="00087CBD"/>
    <w:rsid w:val="00091B6B"/>
    <w:rsid w:val="000923A4"/>
    <w:rsid w:val="00092975"/>
    <w:rsid w:val="000943A5"/>
    <w:rsid w:val="00094608"/>
    <w:rsid w:val="00094871"/>
    <w:rsid w:val="00094F18"/>
    <w:rsid w:val="00095303"/>
    <w:rsid w:val="000955AE"/>
    <w:rsid w:val="00095B5E"/>
    <w:rsid w:val="00095CD4"/>
    <w:rsid w:val="00096528"/>
    <w:rsid w:val="00096932"/>
    <w:rsid w:val="00096D90"/>
    <w:rsid w:val="000971AE"/>
    <w:rsid w:val="00097AF8"/>
    <w:rsid w:val="000A131B"/>
    <w:rsid w:val="000A15C5"/>
    <w:rsid w:val="000A162F"/>
    <w:rsid w:val="000A1A57"/>
    <w:rsid w:val="000A1CE0"/>
    <w:rsid w:val="000A1EE3"/>
    <w:rsid w:val="000A284D"/>
    <w:rsid w:val="000A28A0"/>
    <w:rsid w:val="000A2D44"/>
    <w:rsid w:val="000A2E6B"/>
    <w:rsid w:val="000A44CD"/>
    <w:rsid w:val="000A520A"/>
    <w:rsid w:val="000A5345"/>
    <w:rsid w:val="000A53D3"/>
    <w:rsid w:val="000A5A12"/>
    <w:rsid w:val="000A5AE2"/>
    <w:rsid w:val="000A5F4F"/>
    <w:rsid w:val="000A6925"/>
    <w:rsid w:val="000A6BBF"/>
    <w:rsid w:val="000A73B0"/>
    <w:rsid w:val="000A7705"/>
    <w:rsid w:val="000B040A"/>
    <w:rsid w:val="000B1E45"/>
    <w:rsid w:val="000B21EF"/>
    <w:rsid w:val="000B25BE"/>
    <w:rsid w:val="000B3515"/>
    <w:rsid w:val="000B464A"/>
    <w:rsid w:val="000B4859"/>
    <w:rsid w:val="000B48D1"/>
    <w:rsid w:val="000B5040"/>
    <w:rsid w:val="000B6C88"/>
    <w:rsid w:val="000B7375"/>
    <w:rsid w:val="000B74A7"/>
    <w:rsid w:val="000B7C12"/>
    <w:rsid w:val="000C0CD7"/>
    <w:rsid w:val="000C102B"/>
    <w:rsid w:val="000C2160"/>
    <w:rsid w:val="000C2358"/>
    <w:rsid w:val="000C2562"/>
    <w:rsid w:val="000C2D79"/>
    <w:rsid w:val="000C3412"/>
    <w:rsid w:val="000C3B6F"/>
    <w:rsid w:val="000C45E2"/>
    <w:rsid w:val="000C47EE"/>
    <w:rsid w:val="000C4D83"/>
    <w:rsid w:val="000C5DCB"/>
    <w:rsid w:val="000C7232"/>
    <w:rsid w:val="000C7F48"/>
    <w:rsid w:val="000D0851"/>
    <w:rsid w:val="000D0BF6"/>
    <w:rsid w:val="000D0DB7"/>
    <w:rsid w:val="000D1A34"/>
    <w:rsid w:val="000D24EA"/>
    <w:rsid w:val="000D25CC"/>
    <w:rsid w:val="000D32A9"/>
    <w:rsid w:val="000D3C7B"/>
    <w:rsid w:val="000D3E7E"/>
    <w:rsid w:val="000D4A03"/>
    <w:rsid w:val="000D5AE4"/>
    <w:rsid w:val="000D5F8E"/>
    <w:rsid w:val="000D63BA"/>
    <w:rsid w:val="000D667D"/>
    <w:rsid w:val="000D6858"/>
    <w:rsid w:val="000E0324"/>
    <w:rsid w:val="000E0858"/>
    <w:rsid w:val="000E08E8"/>
    <w:rsid w:val="000E0C89"/>
    <w:rsid w:val="000E0CD5"/>
    <w:rsid w:val="000E1491"/>
    <w:rsid w:val="000E14B2"/>
    <w:rsid w:val="000E176C"/>
    <w:rsid w:val="000E1940"/>
    <w:rsid w:val="000E23C1"/>
    <w:rsid w:val="000E2ACE"/>
    <w:rsid w:val="000E39E1"/>
    <w:rsid w:val="000E3A41"/>
    <w:rsid w:val="000E4087"/>
    <w:rsid w:val="000E422B"/>
    <w:rsid w:val="000E43B5"/>
    <w:rsid w:val="000E48A7"/>
    <w:rsid w:val="000E4AB6"/>
    <w:rsid w:val="000E59E3"/>
    <w:rsid w:val="000E6314"/>
    <w:rsid w:val="000E76BE"/>
    <w:rsid w:val="000E7C52"/>
    <w:rsid w:val="000E7CAF"/>
    <w:rsid w:val="000E7D70"/>
    <w:rsid w:val="000E7EDD"/>
    <w:rsid w:val="000F0D36"/>
    <w:rsid w:val="000F0D7C"/>
    <w:rsid w:val="000F0EC7"/>
    <w:rsid w:val="000F2132"/>
    <w:rsid w:val="000F264F"/>
    <w:rsid w:val="000F2C85"/>
    <w:rsid w:val="000F3337"/>
    <w:rsid w:val="000F3BF4"/>
    <w:rsid w:val="000F43D7"/>
    <w:rsid w:val="000F4596"/>
    <w:rsid w:val="000F4811"/>
    <w:rsid w:val="000F51DC"/>
    <w:rsid w:val="000F52BA"/>
    <w:rsid w:val="000F6256"/>
    <w:rsid w:val="000F6578"/>
    <w:rsid w:val="000F6ABD"/>
    <w:rsid w:val="000F6EE8"/>
    <w:rsid w:val="000F7C1F"/>
    <w:rsid w:val="000F7E0E"/>
    <w:rsid w:val="00100208"/>
    <w:rsid w:val="00101275"/>
    <w:rsid w:val="00101473"/>
    <w:rsid w:val="00101AF8"/>
    <w:rsid w:val="00101D78"/>
    <w:rsid w:val="00101D92"/>
    <w:rsid w:val="00101E16"/>
    <w:rsid w:val="001025DA"/>
    <w:rsid w:val="00103255"/>
    <w:rsid w:val="001034BF"/>
    <w:rsid w:val="00103D7D"/>
    <w:rsid w:val="00104B22"/>
    <w:rsid w:val="00104DEC"/>
    <w:rsid w:val="0010577E"/>
    <w:rsid w:val="00105E54"/>
    <w:rsid w:val="00107F54"/>
    <w:rsid w:val="0011214C"/>
    <w:rsid w:val="001126B1"/>
    <w:rsid w:val="00114641"/>
    <w:rsid w:val="00115C50"/>
    <w:rsid w:val="00115E9F"/>
    <w:rsid w:val="00116223"/>
    <w:rsid w:val="001162DA"/>
    <w:rsid w:val="001169D6"/>
    <w:rsid w:val="00116AA9"/>
    <w:rsid w:val="001177DE"/>
    <w:rsid w:val="00117FB5"/>
    <w:rsid w:val="0012045C"/>
    <w:rsid w:val="00122244"/>
    <w:rsid w:val="00123567"/>
    <w:rsid w:val="00123E66"/>
    <w:rsid w:val="00124147"/>
    <w:rsid w:val="001247D1"/>
    <w:rsid w:val="00125C4D"/>
    <w:rsid w:val="0012632C"/>
    <w:rsid w:val="00126646"/>
    <w:rsid w:val="00126CC5"/>
    <w:rsid w:val="001270E4"/>
    <w:rsid w:val="001278DB"/>
    <w:rsid w:val="00127B8B"/>
    <w:rsid w:val="0013020F"/>
    <w:rsid w:val="0013022C"/>
    <w:rsid w:val="0013048F"/>
    <w:rsid w:val="00131650"/>
    <w:rsid w:val="00131706"/>
    <w:rsid w:val="00131975"/>
    <w:rsid w:val="001325DD"/>
    <w:rsid w:val="001328F0"/>
    <w:rsid w:val="00132A57"/>
    <w:rsid w:val="00132B42"/>
    <w:rsid w:val="00132C01"/>
    <w:rsid w:val="0013370A"/>
    <w:rsid w:val="00133C02"/>
    <w:rsid w:val="00134A3C"/>
    <w:rsid w:val="00135A8A"/>
    <w:rsid w:val="001367FE"/>
    <w:rsid w:val="001369C1"/>
    <w:rsid w:val="0013755F"/>
    <w:rsid w:val="001378C9"/>
    <w:rsid w:val="00137A97"/>
    <w:rsid w:val="0014008A"/>
    <w:rsid w:val="001406B0"/>
    <w:rsid w:val="00140A83"/>
    <w:rsid w:val="00140CB2"/>
    <w:rsid w:val="00140F75"/>
    <w:rsid w:val="001413D4"/>
    <w:rsid w:val="00141473"/>
    <w:rsid w:val="0014171F"/>
    <w:rsid w:val="001417DC"/>
    <w:rsid w:val="00141A65"/>
    <w:rsid w:val="001427AE"/>
    <w:rsid w:val="001430C7"/>
    <w:rsid w:val="001431E4"/>
    <w:rsid w:val="001433EC"/>
    <w:rsid w:val="0014410E"/>
    <w:rsid w:val="00144160"/>
    <w:rsid w:val="00144542"/>
    <w:rsid w:val="001445E9"/>
    <w:rsid w:val="00144818"/>
    <w:rsid w:val="0014593C"/>
    <w:rsid w:val="00146139"/>
    <w:rsid w:val="00146280"/>
    <w:rsid w:val="00147BE2"/>
    <w:rsid w:val="00147F3C"/>
    <w:rsid w:val="00150077"/>
    <w:rsid w:val="001507B8"/>
    <w:rsid w:val="00150AF3"/>
    <w:rsid w:val="001516ED"/>
    <w:rsid w:val="00151751"/>
    <w:rsid w:val="00151993"/>
    <w:rsid w:val="00151E67"/>
    <w:rsid w:val="001525DB"/>
    <w:rsid w:val="00152621"/>
    <w:rsid w:val="001534E1"/>
    <w:rsid w:val="001536F9"/>
    <w:rsid w:val="0015414F"/>
    <w:rsid w:val="001544D1"/>
    <w:rsid w:val="00154B0D"/>
    <w:rsid w:val="00154C61"/>
    <w:rsid w:val="00155BC9"/>
    <w:rsid w:val="0015665B"/>
    <w:rsid w:val="00156A7D"/>
    <w:rsid w:val="00156D8B"/>
    <w:rsid w:val="00156F3C"/>
    <w:rsid w:val="00160CD6"/>
    <w:rsid w:val="00160CE1"/>
    <w:rsid w:val="00161499"/>
    <w:rsid w:val="00162BC7"/>
    <w:rsid w:val="00162F32"/>
    <w:rsid w:val="00163A6A"/>
    <w:rsid w:val="00164476"/>
    <w:rsid w:val="0016583F"/>
    <w:rsid w:val="001659D1"/>
    <w:rsid w:val="001667FD"/>
    <w:rsid w:val="001671F1"/>
    <w:rsid w:val="001673F1"/>
    <w:rsid w:val="00167A1B"/>
    <w:rsid w:val="00170423"/>
    <w:rsid w:val="0017059F"/>
    <w:rsid w:val="001710CD"/>
    <w:rsid w:val="00171EAD"/>
    <w:rsid w:val="00171FD2"/>
    <w:rsid w:val="001723B2"/>
    <w:rsid w:val="00172749"/>
    <w:rsid w:val="00173786"/>
    <w:rsid w:val="00173B38"/>
    <w:rsid w:val="00173BC9"/>
    <w:rsid w:val="00174852"/>
    <w:rsid w:val="00174880"/>
    <w:rsid w:val="001751FD"/>
    <w:rsid w:val="001754C7"/>
    <w:rsid w:val="001758E9"/>
    <w:rsid w:val="0017692B"/>
    <w:rsid w:val="00177560"/>
    <w:rsid w:val="00177EC3"/>
    <w:rsid w:val="001800F0"/>
    <w:rsid w:val="001801BB"/>
    <w:rsid w:val="00180905"/>
    <w:rsid w:val="00180C43"/>
    <w:rsid w:val="00180E68"/>
    <w:rsid w:val="001815C1"/>
    <w:rsid w:val="001825D6"/>
    <w:rsid w:val="001832E5"/>
    <w:rsid w:val="00183B1A"/>
    <w:rsid w:val="00184FE1"/>
    <w:rsid w:val="001850DA"/>
    <w:rsid w:val="00185655"/>
    <w:rsid w:val="0018606E"/>
    <w:rsid w:val="00186BF0"/>
    <w:rsid w:val="00186C32"/>
    <w:rsid w:val="001877F6"/>
    <w:rsid w:val="00187DF8"/>
    <w:rsid w:val="00190C87"/>
    <w:rsid w:val="00191086"/>
    <w:rsid w:val="00191685"/>
    <w:rsid w:val="0019170C"/>
    <w:rsid w:val="00192043"/>
    <w:rsid w:val="001929E6"/>
    <w:rsid w:val="00192B10"/>
    <w:rsid w:val="00193028"/>
    <w:rsid w:val="00193077"/>
    <w:rsid w:val="00193A9F"/>
    <w:rsid w:val="0019404A"/>
    <w:rsid w:val="0019560B"/>
    <w:rsid w:val="00195B6B"/>
    <w:rsid w:val="00195DF6"/>
    <w:rsid w:val="001A0703"/>
    <w:rsid w:val="001A07E3"/>
    <w:rsid w:val="001A14EA"/>
    <w:rsid w:val="001A348F"/>
    <w:rsid w:val="001A3516"/>
    <w:rsid w:val="001A3EE9"/>
    <w:rsid w:val="001A4122"/>
    <w:rsid w:val="001A419C"/>
    <w:rsid w:val="001A4555"/>
    <w:rsid w:val="001A4BE6"/>
    <w:rsid w:val="001A4FF3"/>
    <w:rsid w:val="001A5A4E"/>
    <w:rsid w:val="001A5BEE"/>
    <w:rsid w:val="001A5C8E"/>
    <w:rsid w:val="001A5EAE"/>
    <w:rsid w:val="001A70D5"/>
    <w:rsid w:val="001A7427"/>
    <w:rsid w:val="001A79EB"/>
    <w:rsid w:val="001A7A9C"/>
    <w:rsid w:val="001A7B24"/>
    <w:rsid w:val="001A7C7A"/>
    <w:rsid w:val="001A7E2E"/>
    <w:rsid w:val="001A7ECB"/>
    <w:rsid w:val="001B087A"/>
    <w:rsid w:val="001B12B3"/>
    <w:rsid w:val="001B26CF"/>
    <w:rsid w:val="001B2F5B"/>
    <w:rsid w:val="001B36F8"/>
    <w:rsid w:val="001B3782"/>
    <w:rsid w:val="001B3922"/>
    <w:rsid w:val="001B3C19"/>
    <w:rsid w:val="001B3E84"/>
    <w:rsid w:val="001B4767"/>
    <w:rsid w:val="001B4DCF"/>
    <w:rsid w:val="001B4DE6"/>
    <w:rsid w:val="001B4F7C"/>
    <w:rsid w:val="001B5010"/>
    <w:rsid w:val="001B5216"/>
    <w:rsid w:val="001B57EC"/>
    <w:rsid w:val="001B6D28"/>
    <w:rsid w:val="001B7CAD"/>
    <w:rsid w:val="001B7E2A"/>
    <w:rsid w:val="001C0658"/>
    <w:rsid w:val="001C1FD5"/>
    <w:rsid w:val="001C245C"/>
    <w:rsid w:val="001C2BC7"/>
    <w:rsid w:val="001C2F8C"/>
    <w:rsid w:val="001C3795"/>
    <w:rsid w:val="001C4DE9"/>
    <w:rsid w:val="001C58DF"/>
    <w:rsid w:val="001C610C"/>
    <w:rsid w:val="001C6339"/>
    <w:rsid w:val="001D04EA"/>
    <w:rsid w:val="001D0673"/>
    <w:rsid w:val="001D0780"/>
    <w:rsid w:val="001D13E7"/>
    <w:rsid w:val="001D179C"/>
    <w:rsid w:val="001D1FD4"/>
    <w:rsid w:val="001D2474"/>
    <w:rsid w:val="001D2BE8"/>
    <w:rsid w:val="001D2E94"/>
    <w:rsid w:val="001D3B97"/>
    <w:rsid w:val="001D41F3"/>
    <w:rsid w:val="001D4941"/>
    <w:rsid w:val="001D5140"/>
    <w:rsid w:val="001D565C"/>
    <w:rsid w:val="001D5B7A"/>
    <w:rsid w:val="001D6739"/>
    <w:rsid w:val="001D7A6F"/>
    <w:rsid w:val="001E0C1F"/>
    <w:rsid w:val="001E10B3"/>
    <w:rsid w:val="001E1D8B"/>
    <w:rsid w:val="001E2200"/>
    <w:rsid w:val="001E23D5"/>
    <w:rsid w:val="001E2920"/>
    <w:rsid w:val="001E2D5A"/>
    <w:rsid w:val="001E30AE"/>
    <w:rsid w:val="001E383C"/>
    <w:rsid w:val="001E3C57"/>
    <w:rsid w:val="001E46DC"/>
    <w:rsid w:val="001E4B46"/>
    <w:rsid w:val="001E504D"/>
    <w:rsid w:val="001E5E19"/>
    <w:rsid w:val="001E6EB6"/>
    <w:rsid w:val="001E7038"/>
    <w:rsid w:val="001E7667"/>
    <w:rsid w:val="001E788D"/>
    <w:rsid w:val="001E7A92"/>
    <w:rsid w:val="001F0085"/>
    <w:rsid w:val="001F010C"/>
    <w:rsid w:val="001F01C2"/>
    <w:rsid w:val="001F03E3"/>
    <w:rsid w:val="001F0537"/>
    <w:rsid w:val="001F0E55"/>
    <w:rsid w:val="001F22A1"/>
    <w:rsid w:val="001F3017"/>
    <w:rsid w:val="001F3450"/>
    <w:rsid w:val="001F4385"/>
    <w:rsid w:val="001F4415"/>
    <w:rsid w:val="001F4A10"/>
    <w:rsid w:val="001F4A96"/>
    <w:rsid w:val="001F4B79"/>
    <w:rsid w:val="001F526D"/>
    <w:rsid w:val="001F54E7"/>
    <w:rsid w:val="001F5A4F"/>
    <w:rsid w:val="001F633A"/>
    <w:rsid w:val="001F76A9"/>
    <w:rsid w:val="001F76DD"/>
    <w:rsid w:val="001F791F"/>
    <w:rsid w:val="002000A3"/>
    <w:rsid w:val="0020013E"/>
    <w:rsid w:val="0020056F"/>
    <w:rsid w:val="00200707"/>
    <w:rsid w:val="00200F3D"/>
    <w:rsid w:val="002016E6"/>
    <w:rsid w:val="0020297F"/>
    <w:rsid w:val="00202E26"/>
    <w:rsid w:val="00202E49"/>
    <w:rsid w:val="00202FA0"/>
    <w:rsid w:val="002038CE"/>
    <w:rsid w:val="00204CA7"/>
    <w:rsid w:val="00205374"/>
    <w:rsid w:val="00205921"/>
    <w:rsid w:val="00206B4F"/>
    <w:rsid w:val="00206B8B"/>
    <w:rsid w:val="00206C2D"/>
    <w:rsid w:val="00206DE4"/>
    <w:rsid w:val="00207126"/>
    <w:rsid w:val="00207530"/>
    <w:rsid w:val="00207550"/>
    <w:rsid w:val="002076B6"/>
    <w:rsid w:val="0021001B"/>
    <w:rsid w:val="00210185"/>
    <w:rsid w:val="00210BCA"/>
    <w:rsid w:val="00210FF2"/>
    <w:rsid w:val="00211558"/>
    <w:rsid w:val="00212171"/>
    <w:rsid w:val="002121EA"/>
    <w:rsid w:val="00212508"/>
    <w:rsid w:val="00212855"/>
    <w:rsid w:val="00213D5D"/>
    <w:rsid w:val="00213E3A"/>
    <w:rsid w:val="00215A0E"/>
    <w:rsid w:val="00215C44"/>
    <w:rsid w:val="00215D31"/>
    <w:rsid w:val="00216C94"/>
    <w:rsid w:val="002179BA"/>
    <w:rsid w:val="00217A97"/>
    <w:rsid w:val="00217BDC"/>
    <w:rsid w:val="00217E06"/>
    <w:rsid w:val="002204F6"/>
    <w:rsid w:val="00220739"/>
    <w:rsid w:val="00220F9B"/>
    <w:rsid w:val="00221692"/>
    <w:rsid w:val="0022176F"/>
    <w:rsid w:val="002217DB"/>
    <w:rsid w:val="0022274C"/>
    <w:rsid w:val="00222FCE"/>
    <w:rsid w:val="00223578"/>
    <w:rsid w:val="002248D0"/>
    <w:rsid w:val="00224985"/>
    <w:rsid w:val="00224B8D"/>
    <w:rsid w:val="00224CA6"/>
    <w:rsid w:val="00224D52"/>
    <w:rsid w:val="00224E17"/>
    <w:rsid w:val="00224FDB"/>
    <w:rsid w:val="00225940"/>
    <w:rsid w:val="002268F1"/>
    <w:rsid w:val="00230BD9"/>
    <w:rsid w:val="00230C90"/>
    <w:rsid w:val="00230D1C"/>
    <w:rsid w:val="0023169A"/>
    <w:rsid w:val="00231848"/>
    <w:rsid w:val="00231FEA"/>
    <w:rsid w:val="002325B5"/>
    <w:rsid w:val="002326C6"/>
    <w:rsid w:val="002327FC"/>
    <w:rsid w:val="00232E7B"/>
    <w:rsid w:val="0023308F"/>
    <w:rsid w:val="0023348D"/>
    <w:rsid w:val="00233552"/>
    <w:rsid w:val="0023444F"/>
    <w:rsid w:val="00234C4C"/>
    <w:rsid w:val="0023579D"/>
    <w:rsid w:val="002367CF"/>
    <w:rsid w:val="00236D9F"/>
    <w:rsid w:val="00237E5C"/>
    <w:rsid w:val="0024005C"/>
    <w:rsid w:val="00240CD3"/>
    <w:rsid w:val="00240D80"/>
    <w:rsid w:val="00240DA0"/>
    <w:rsid w:val="002413E6"/>
    <w:rsid w:val="002418F3"/>
    <w:rsid w:val="00241925"/>
    <w:rsid w:val="0024267D"/>
    <w:rsid w:val="002426D4"/>
    <w:rsid w:val="002428CD"/>
    <w:rsid w:val="00242A16"/>
    <w:rsid w:val="00242D01"/>
    <w:rsid w:val="00242E09"/>
    <w:rsid w:val="00243055"/>
    <w:rsid w:val="002430D8"/>
    <w:rsid w:val="002432B2"/>
    <w:rsid w:val="00243F50"/>
    <w:rsid w:val="002446CA"/>
    <w:rsid w:val="002448C3"/>
    <w:rsid w:val="00244E4A"/>
    <w:rsid w:val="0024586E"/>
    <w:rsid w:val="00245DDC"/>
    <w:rsid w:val="00246065"/>
    <w:rsid w:val="0024762E"/>
    <w:rsid w:val="0024764B"/>
    <w:rsid w:val="00247EC9"/>
    <w:rsid w:val="002500C9"/>
    <w:rsid w:val="0025052D"/>
    <w:rsid w:val="002507CE"/>
    <w:rsid w:val="0025120D"/>
    <w:rsid w:val="00252E7D"/>
    <w:rsid w:val="00252F29"/>
    <w:rsid w:val="00253344"/>
    <w:rsid w:val="0025475E"/>
    <w:rsid w:val="002548EB"/>
    <w:rsid w:val="00254D6A"/>
    <w:rsid w:val="00255002"/>
    <w:rsid w:val="0025528F"/>
    <w:rsid w:val="002558FD"/>
    <w:rsid w:val="00255E8A"/>
    <w:rsid w:val="002560AE"/>
    <w:rsid w:val="00256A74"/>
    <w:rsid w:val="00256BD8"/>
    <w:rsid w:val="00256FA4"/>
    <w:rsid w:val="002574FB"/>
    <w:rsid w:val="00260205"/>
    <w:rsid w:val="002604AD"/>
    <w:rsid w:val="0026176F"/>
    <w:rsid w:val="0026215A"/>
    <w:rsid w:val="002622E6"/>
    <w:rsid w:val="002625ED"/>
    <w:rsid w:val="00262997"/>
    <w:rsid w:val="00262A1F"/>
    <w:rsid w:val="00263A99"/>
    <w:rsid w:val="00264533"/>
    <w:rsid w:val="0026470C"/>
    <w:rsid w:val="00264BAB"/>
    <w:rsid w:val="002654BB"/>
    <w:rsid w:val="00265610"/>
    <w:rsid w:val="0026611A"/>
    <w:rsid w:val="00267979"/>
    <w:rsid w:val="00271574"/>
    <w:rsid w:val="002718CD"/>
    <w:rsid w:val="00272807"/>
    <w:rsid w:val="00272AE8"/>
    <w:rsid w:val="00273714"/>
    <w:rsid w:val="0027426F"/>
    <w:rsid w:val="00274C4B"/>
    <w:rsid w:val="00275687"/>
    <w:rsid w:val="0027680A"/>
    <w:rsid w:val="00276B9D"/>
    <w:rsid w:val="00276FFA"/>
    <w:rsid w:val="0027723F"/>
    <w:rsid w:val="002772C0"/>
    <w:rsid w:val="0028035D"/>
    <w:rsid w:val="00280889"/>
    <w:rsid w:val="00280C1F"/>
    <w:rsid w:val="00280DF4"/>
    <w:rsid w:val="00280EC9"/>
    <w:rsid w:val="002813AB"/>
    <w:rsid w:val="00282773"/>
    <w:rsid w:val="0028478B"/>
    <w:rsid w:val="002847C4"/>
    <w:rsid w:val="00285444"/>
    <w:rsid w:val="00285694"/>
    <w:rsid w:val="00286912"/>
    <w:rsid w:val="00287B52"/>
    <w:rsid w:val="00290CB7"/>
    <w:rsid w:val="00290D21"/>
    <w:rsid w:val="0029155B"/>
    <w:rsid w:val="00291746"/>
    <w:rsid w:val="002923F3"/>
    <w:rsid w:val="00292C49"/>
    <w:rsid w:val="00293B5E"/>
    <w:rsid w:val="002941FF"/>
    <w:rsid w:val="002959F9"/>
    <w:rsid w:val="00295DF7"/>
    <w:rsid w:val="00297203"/>
    <w:rsid w:val="002975EB"/>
    <w:rsid w:val="00297A88"/>
    <w:rsid w:val="002A00E6"/>
    <w:rsid w:val="002A0FD5"/>
    <w:rsid w:val="002A14B1"/>
    <w:rsid w:val="002A1815"/>
    <w:rsid w:val="002A1996"/>
    <w:rsid w:val="002A1DD3"/>
    <w:rsid w:val="002A1DFF"/>
    <w:rsid w:val="002A2399"/>
    <w:rsid w:val="002A24DD"/>
    <w:rsid w:val="002A255A"/>
    <w:rsid w:val="002A3391"/>
    <w:rsid w:val="002A363B"/>
    <w:rsid w:val="002A460B"/>
    <w:rsid w:val="002A4AA4"/>
    <w:rsid w:val="002A5290"/>
    <w:rsid w:val="002A5FDC"/>
    <w:rsid w:val="002A65D0"/>
    <w:rsid w:val="002B093F"/>
    <w:rsid w:val="002B1202"/>
    <w:rsid w:val="002B1539"/>
    <w:rsid w:val="002B1682"/>
    <w:rsid w:val="002B17CF"/>
    <w:rsid w:val="002B2547"/>
    <w:rsid w:val="002B2CC2"/>
    <w:rsid w:val="002B2E92"/>
    <w:rsid w:val="002B37A8"/>
    <w:rsid w:val="002B3D05"/>
    <w:rsid w:val="002B3DC7"/>
    <w:rsid w:val="002B44F7"/>
    <w:rsid w:val="002B51BA"/>
    <w:rsid w:val="002B5469"/>
    <w:rsid w:val="002B5F72"/>
    <w:rsid w:val="002B694F"/>
    <w:rsid w:val="002B6AFB"/>
    <w:rsid w:val="002B6B89"/>
    <w:rsid w:val="002B6E3F"/>
    <w:rsid w:val="002B7967"/>
    <w:rsid w:val="002B7F62"/>
    <w:rsid w:val="002B7FCA"/>
    <w:rsid w:val="002C1321"/>
    <w:rsid w:val="002C1494"/>
    <w:rsid w:val="002C1A42"/>
    <w:rsid w:val="002C1F81"/>
    <w:rsid w:val="002C2104"/>
    <w:rsid w:val="002C28AD"/>
    <w:rsid w:val="002C2D5D"/>
    <w:rsid w:val="002C2FCD"/>
    <w:rsid w:val="002C37C8"/>
    <w:rsid w:val="002C3C81"/>
    <w:rsid w:val="002C4896"/>
    <w:rsid w:val="002C55D7"/>
    <w:rsid w:val="002C5AAE"/>
    <w:rsid w:val="002C633C"/>
    <w:rsid w:val="002C6B66"/>
    <w:rsid w:val="002C7385"/>
    <w:rsid w:val="002D057F"/>
    <w:rsid w:val="002D0EC2"/>
    <w:rsid w:val="002D16C2"/>
    <w:rsid w:val="002D1960"/>
    <w:rsid w:val="002D263F"/>
    <w:rsid w:val="002D302F"/>
    <w:rsid w:val="002D322E"/>
    <w:rsid w:val="002D324E"/>
    <w:rsid w:val="002D3419"/>
    <w:rsid w:val="002D4185"/>
    <w:rsid w:val="002D4A23"/>
    <w:rsid w:val="002D5E65"/>
    <w:rsid w:val="002D6A1F"/>
    <w:rsid w:val="002D6D2E"/>
    <w:rsid w:val="002D73B3"/>
    <w:rsid w:val="002D7D2A"/>
    <w:rsid w:val="002D7EEF"/>
    <w:rsid w:val="002E01C3"/>
    <w:rsid w:val="002E0DAB"/>
    <w:rsid w:val="002E1296"/>
    <w:rsid w:val="002E1874"/>
    <w:rsid w:val="002E2481"/>
    <w:rsid w:val="002E2981"/>
    <w:rsid w:val="002E2CBD"/>
    <w:rsid w:val="002E2D35"/>
    <w:rsid w:val="002E305D"/>
    <w:rsid w:val="002E3076"/>
    <w:rsid w:val="002E4084"/>
    <w:rsid w:val="002E4BA9"/>
    <w:rsid w:val="002E4F47"/>
    <w:rsid w:val="002E5434"/>
    <w:rsid w:val="002E6AA1"/>
    <w:rsid w:val="002E6DAD"/>
    <w:rsid w:val="002F020D"/>
    <w:rsid w:val="002F06AF"/>
    <w:rsid w:val="002F0F16"/>
    <w:rsid w:val="002F100D"/>
    <w:rsid w:val="002F13D9"/>
    <w:rsid w:val="002F15FB"/>
    <w:rsid w:val="002F1A45"/>
    <w:rsid w:val="002F2442"/>
    <w:rsid w:val="002F26B5"/>
    <w:rsid w:val="002F2F3A"/>
    <w:rsid w:val="002F3589"/>
    <w:rsid w:val="002F3D91"/>
    <w:rsid w:val="002F46F7"/>
    <w:rsid w:val="002F484A"/>
    <w:rsid w:val="002F4ACA"/>
    <w:rsid w:val="002F5EE8"/>
    <w:rsid w:val="002F6763"/>
    <w:rsid w:val="002F6DB7"/>
    <w:rsid w:val="002F74F6"/>
    <w:rsid w:val="00300041"/>
    <w:rsid w:val="00300E7A"/>
    <w:rsid w:val="00301777"/>
    <w:rsid w:val="003017B3"/>
    <w:rsid w:val="00301C3A"/>
    <w:rsid w:val="00302043"/>
    <w:rsid w:val="003025E0"/>
    <w:rsid w:val="003026DF"/>
    <w:rsid w:val="00302AEB"/>
    <w:rsid w:val="003041D9"/>
    <w:rsid w:val="00305E25"/>
    <w:rsid w:val="00305F66"/>
    <w:rsid w:val="0030629B"/>
    <w:rsid w:val="003063FF"/>
    <w:rsid w:val="00307797"/>
    <w:rsid w:val="0031085A"/>
    <w:rsid w:val="00310DED"/>
    <w:rsid w:val="00310E05"/>
    <w:rsid w:val="0031207F"/>
    <w:rsid w:val="0031287B"/>
    <w:rsid w:val="003129F6"/>
    <w:rsid w:val="00312F3C"/>
    <w:rsid w:val="00312F84"/>
    <w:rsid w:val="00313B59"/>
    <w:rsid w:val="00313FF7"/>
    <w:rsid w:val="00314DA8"/>
    <w:rsid w:val="00314DD5"/>
    <w:rsid w:val="00316127"/>
    <w:rsid w:val="00316D0D"/>
    <w:rsid w:val="00317DFB"/>
    <w:rsid w:val="0032045B"/>
    <w:rsid w:val="00320D13"/>
    <w:rsid w:val="00320D5B"/>
    <w:rsid w:val="00321C75"/>
    <w:rsid w:val="00321DC5"/>
    <w:rsid w:val="003221B0"/>
    <w:rsid w:val="0032236E"/>
    <w:rsid w:val="00322F8F"/>
    <w:rsid w:val="003232FA"/>
    <w:rsid w:val="00323382"/>
    <w:rsid w:val="003233D8"/>
    <w:rsid w:val="0032356C"/>
    <w:rsid w:val="003235A7"/>
    <w:rsid w:val="0032412E"/>
    <w:rsid w:val="003253E0"/>
    <w:rsid w:val="00326683"/>
    <w:rsid w:val="0032692F"/>
    <w:rsid w:val="00326E64"/>
    <w:rsid w:val="00327415"/>
    <w:rsid w:val="003278FE"/>
    <w:rsid w:val="00327FBE"/>
    <w:rsid w:val="00330262"/>
    <w:rsid w:val="003309EA"/>
    <w:rsid w:val="00330B72"/>
    <w:rsid w:val="00330BB8"/>
    <w:rsid w:val="003311D8"/>
    <w:rsid w:val="00331943"/>
    <w:rsid w:val="00332066"/>
    <w:rsid w:val="00332178"/>
    <w:rsid w:val="00332EDC"/>
    <w:rsid w:val="00334573"/>
    <w:rsid w:val="00334F96"/>
    <w:rsid w:val="00335355"/>
    <w:rsid w:val="003355A7"/>
    <w:rsid w:val="00335D6C"/>
    <w:rsid w:val="00337CDA"/>
    <w:rsid w:val="003424E6"/>
    <w:rsid w:val="0034293C"/>
    <w:rsid w:val="00342B02"/>
    <w:rsid w:val="00342BFB"/>
    <w:rsid w:val="003434E3"/>
    <w:rsid w:val="00343D63"/>
    <w:rsid w:val="00344ECD"/>
    <w:rsid w:val="00344FD8"/>
    <w:rsid w:val="0034516E"/>
    <w:rsid w:val="0034570F"/>
    <w:rsid w:val="0034616E"/>
    <w:rsid w:val="00346371"/>
    <w:rsid w:val="00346B9E"/>
    <w:rsid w:val="003478BE"/>
    <w:rsid w:val="00347C3B"/>
    <w:rsid w:val="00347CE3"/>
    <w:rsid w:val="00347F7F"/>
    <w:rsid w:val="003501D2"/>
    <w:rsid w:val="003511C2"/>
    <w:rsid w:val="003522EC"/>
    <w:rsid w:val="0035242C"/>
    <w:rsid w:val="00354040"/>
    <w:rsid w:val="003540A6"/>
    <w:rsid w:val="00354C2B"/>
    <w:rsid w:val="00355B6F"/>
    <w:rsid w:val="003561E6"/>
    <w:rsid w:val="0035661C"/>
    <w:rsid w:val="00356D86"/>
    <w:rsid w:val="00356E1C"/>
    <w:rsid w:val="00356F9F"/>
    <w:rsid w:val="00356FAA"/>
    <w:rsid w:val="00357773"/>
    <w:rsid w:val="0036141F"/>
    <w:rsid w:val="00361B14"/>
    <w:rsid w:val="0036226E"/>
    <w:rsid w:val="0036265C"/>
    <w:rsid w:val="0036354D"/>
    <w:rsid w:val="00364895"/>
    <w:rsid w:val="00365CDA"/>
    <w:rsid w:val="003671B1"/>
    <w:rsid w:val="00370851"/>
    <w:rsid w:val="00370EE0"/>
    <w:rsid w:val="0037158B"/>
    <w:rsid w:val="00372082"/>
    <w:rsid w:val="00372F1A"/>
    <w:rsid w:val="00375133"/>
    <w:rsid w:val="00375260"/>
    <w:rsid w:val="00375A2B"/>
    <w:rsid w:val="00375AC3"/>
    <w:rsid w:val="0037640C"/>
    <w:rsid w:val="00376623"/>
    <w:rsid w:val="00376BBA"/>
    <w:rsid w:val="0037776A"/>
    <w:rsid w:val="00377975"/>
    <w:rsid w:val="003779F2"/>
    <w:rsid w:val="00377A63"/>
    <w:rsid w:val="00377CF4"/>
    <w:rsid w:val="0038003D"/>
    <w:rsid w:val="00380A1D"/>
    <w:rsid w:val="00380C7F"/>
    <w:rsid w:val="00381124"/>
    <w:rsid w:val="0038143B"/>
    <w:rsid w:val="003819F2"/>
    <w:rsid w:val="00381AD4"/>
    <w:rsid w:val="003823B4"/>
    <w:rsid w:val="00382400"/>
    <w:rsid w:val="00382470"/>
    <w:rsid w:val="003827C1"/>
    <w:rsid w:val="003830C3"/>
    <w:rsid w:val="00383C20"/>
    <w:rsid w:val="003858C8"/>
    <w:rsid w:val="003872D2"/>
    <w:rsid w:val="00387310"/>
    <w:rsid w:val="00387A5E"/>
    <w:rsid w:val="00387B5B"/>
    <w:rsid w:val="00387B91"/>
    <w:rsid w:val="00390377"/>
    <w:rsid w:val="00390EEB"/>
    <w:rsid w:val="003913D1"/>
    <w:rsid w:val="003915C2"/>
    <w:rsid w:val="0039166D"/>
    <w:rsid w:val="00391BB2"/>
    <w:rsid w:val="00392D34"/>
    <w:rsid w:val="00392EED"/>
    <w:rsid w:val="003931D7"/>
    <w:rsid w:val="00393222"/>
    <w:rsid w:val="003932EF"/>
    <w:rsid w:val="00393B71"/>
    <w:rsid w:val="0039482A"/>
    <w:rsid w:val="00394A3F"/>
    <w:rsid w:val="003951B7"/>
    <w:rsid w:val="00395629"/>
    <w:rsid w:val="00395791"/>
    <w:rsid w:val="00395F22"/>
    <w:rsid w:val="00396A80"/>
    <w:rsid w:val="00397F9F"/>
    <w:rsid w:val="00397FF3"/>
    <w:rsid w:val="003A0704"/>
    <w:rsid w:val="003A138F"/>
    <w:rsid w:val="003A1789"/>
    <w:rsid w:val="003A23F8"/>
    <w:rsid w:val="003A2582"/>
    <w:rsid w:val="003A2796"/>
    <w:rsid w:val="003A296D"/>
    <w:rsid w:val="003A2DD6"/>
    <w:rsid w:val="003A2FBC"/>
    <w:rsid w:val="003A36B9"/>
    <w:rsid w:val="003A3759"/>
    <w:rsid w:val="003A3F40"/>
    <w:rsid w:val="003A49A7"/>
    <w:rsid w:val="003A5011"/>
    <w:rsid w:val="003A59F9"/>
    <w:rsid w:val="003A5B93"/>
    <w:rsid w:val="003A7F6C"/>
    <w:rsid w:val="003B0A96"/>
    <w:rsid w:val="003B0F59"/>
    <w:rsid w:val="003B2BEC"/>
    <w:rsid w:val="003B31D0"/>
    <w:rsid w:val="003B3811"/>
    <w:rsid w:val="003B4C6E"/>
    <w:rsid w:val="003B4FD4"/>
    <w:rsid w:val="003B5769"/>
    <w:rsid w:val="003B5ABE"/>
    <w:rsid w:val="003B76C4"/>
    <w:rsid w:val="003B7E75"/>
    <w:rsid w:val="003B7F87"/>
    <w:rsid w:val="003C075C"/>
    <w:rsid w:val="003C0783"/>
    <w:rsid w:val="003C1C96"/>
    <w:rsid w:val="003C24A1"/>
    <w:rsid w:val="003C3206"/>
    <w:rsid w:val="003C3607"/>
    <w:rsid w:val="003C38E5"/>
    <w:rsid w:val="003C3F59"/>
    <w:rsid w:val="003C446F"/>
    <w:rsid w:val="003C466B"/>
    <w:rsid w:val="003C479D"/>
    <w:rsid w:val="003C47A9"/>
    <w:rsid w:val="003C4811"/>
    <w:rsid w:val="003C5717"/>
    <w:rsid w:val="003C604D"/>
    <w:rsid w:val="003C6175"/>
    <w:rsid w:val="003C6218"/>
    <w:rsid w:val="003C639F"/>
    <w:rsid w:val="003D05C2"/>
    <w:rsid w:val="003D062F"/>
    <w:rsid w:val="003D0967"/>
    <w:rsid w:val="003D0BF8"/>
    <w:rsid w:val="003D13BF"/>
    <w:rsid w:val="003D187B"/>
    <w:rsid w:val="003D21C6"/>
    <w:rsid w:val="003D2B10"/>
    <w:rsid w:val="003D2B12"/>
    <w:rsid w:val="003D32CA"/>
    <w:rsid w:val="003D3617"/>
    <w:rsid w:val="003D40E9"/>
    <w:rsid w:val="003D43D6"/>
    <w:rsid w:val="003D4C2B"/>
    <w:rsid w:val="003D4F13"/>
    <w:rsid w:val="003D6361"/>
    <w:rsid w:val="003D6D8E"/>
    <w:rsid w:val="003D6EC3"/>
    <w:rsid w:val="003D72F3"/>
    <w:rsid w:val="003D74E3"/>
    <w:rsid w:val="003D7898"/>
    <w:rsid w:val="003D7F4E"/>
    <w:rsid w:val="003E041C"/>
    <w:rsid w:val="003E078F"/>
    <w:rsid w:val="003E0BEF"/>
    <w:rsid w:val="003E18A6"/>
    <w:rsid w:val="003E1E17"/>
    <w:rsid w:val="003E54D2"/>
    <w:rsid w:val="003E5DDB"/>
    <w:rsid w:val="003E5FFB"/>
    <w:rsid w:val="003E6FAC"/>
    <w:rsid w:val="003E7229"/>
    <w:rsid w:val="003E792A"/>
    <w:rsid w:val="003E7BAF"/>
    <w:rsid w:val="003E7BF3"/>
    <w:rsid w:val="003F1255"/>
    <w:rsid w:val="003F1291"/>
    <w:rsid w:val="003F167B"/>
    <w:rsid w:val="003F16F8"/>
    <w:rsid w:val="003F17A6"/>
    <w:rsid w:val="003F27D7"/>
    <w:rsid w:val="003F3521"/>
    <w:rsid w:val="003F3715"/>
    <w:rsid w:val="003F4537"/>
    <w:rsid w:val="003F4961"/>
    <w:rsid w:val="003F5960"/>
    <w:rsid w:val="003F5B6D"/>
    <w:rsid w:val="003F6E4A"/>
    <w:rsid w:val="003F7E69"/>
    <w:rsid w:val="004002B8"/>
    <w:rsid w:val="0040033C"/>
    <w:rsid w:val="004009AB"/>
    <w:rsid w:val="00400B53"/>
    <w:rsid w:val="00400E28"/>
    <w:rsid w:val="00401B4C"/>
    <w:rsid w:val="00401CA6"/>
    <w:rsid w:val="00401FF7"/>
    <w:rsid w:val="00403D1A"/>
    <w:rsid w:val="004042E2"/>
    <w:rsid w:val="004057FC"/>
    <w:rsid w:val="004062C8"/>
    <w:rsid w:val="00406502"/>
    <w:rsid w:val="004071BC"/>
    <w:rsid w:val="00407380"/>
    <w:rsid w:val="004073AF"/>
    <w:rsid w:val="00410F8B"/>
    <w:rsid w:val="0041162E"/>
    <w:rsid w:val="0041178A"/>
    <w:rsid w:val="00412610"/>
    <w:rsid w:val="00412638"/>
    <w:rsid w:val="004127E3"/>
    <w:rsid w:val="00412A16"/>
    <w:rsid w:val="00414CCB"/>
    <w:rsid w:val="00414DA0"/>
    <w:rsid w:val="004151F9"/>
    <w:rsid w:val="00415987"/>
    <w:rsid w:val="00415EA0"/>
    <w:rsid w:val="00416922"/>
    <w:rsid w:val="004169E6"/>
    <w:rsid w:val="00416FBA"/>
    <w:rsid w:val="00417762"/>
    <w:rsid w:val="00417BC6"/>
    <w:rsid w:val="00420260"/>
    <w:rsid w:val="00420888"/>
    <w:rsid w:val="004219EC"/>
    <w:rsid w:val="00421B18"/>
    <w:rsid w:val="00421C90"/>
    <w:rsid w:val="004224AC"/>
    <w:rsid w:val="0042377E"/>
    <w:rsid w:val="00424113"/>
    <w:rsid w:val="004244D7"/>
    <w:rsid w:val="004245C9"/>
    <w:rsid w:val="0042475B"/>
    <w:rsid w:val="00424C5D"/>
    <w:rsid w:val="00425C03"/>
    <w:rsid w:val="004260EB"/>
    <w:rsid w:val="00426875"/>
    <w:rsid w:val="00430410"/>
    <w:rsid w:val="00430FA5"/>
    <w:rsid w:val="00431F65"/>
    <w:rsid w:val="004321D0"/>
    <w:rsid w:val="00432947"/>
    <w:rsid w:val="00432ECF"/>
    <w:rsid w:val="00435567"/>
    <w:rsid w:val="004355F4"/>
    <w:rsid w:val="00435D1B"/>
    <w:rsid w:val="00436291"/>
    <w:rsid w:val="004367A1"/>
    <w:rsid w:val="00436988"/>
    <w:rsid w:val="00436D9B"/>
    <w:rsid w:val="0043705A"/>
    <w:rsid w:val="0043764A"/>
    <w:rsid w:val="00437F6D"/>
    <w:rsid w:val="004409B3"/>
    <w:rsid w:val="00440F93"/>
    <w:rsid w:val="004410CA"/>
    <w:rsid w:val="00441847"/>
    <w:rsid w:val="00441F41"/>
    <w:rsid w:val="004423F4"/>
    <w:rsid w:val="004426E2"/>
    <w:rsid w:val="004427C0"/>
    <w:rsid w:val="00443614"/>
    <w:rsid w:val="004438AA"/>
    <w:rsid w:val="004443DA"/>
    <w:rsid w:val="0044480C"/>
    <w:rsid w:val="004449FC"/>
    <w:rsid w:val="00444BA0"/>
    <w:rsid w:val="00444FA8"/>
    <w:rsid w:val="004459D8"/>
    <w:rsid w:val="00445A8C"/>
    <w:rsid w:val="004467C0"/>
    <w:rsid w:val="00446D03"/>
    <w:rsid w:val="00447260"/>
    <w:rsid w:val="004501BD"/>
    <w:rsid w:val="004509A5"/>
    <w:rsid w:val="004509EE"/>
    <w:rsid w:val="0045142F"/>
    <w:rsid w:val="004515BF"/>
    <w:rsid w:val="00451D95"/>
    <w:rsid w:val="0045209E"/>
    <w:rsid w:val="0045298C"/>
    <w:rsid w:val="004530D3"/>
    <w:rsid w:val="00453258"/>
    <w:rsid w:val="00453437"/>
    <w:rsid w:val="00453C62"/>
    <w:rsid w:val="004544BA"/>
    <w:rsid w:val="00454D86"/>
    <w:rsid w:val="0045560A"/>
    <w:rsid w:val="00455C25"/>
    <w:rsid w:val="00456758"/>
    <w:rsid w:val="0045685F"/>
    <w:rsid w:val="00456ADC"/>
    <w:rsid w:val="00456BBD"/>
    <w:rsid w:val="00456E88"/>
    <w:rsid w:val="00457039"/>
    <w:rsid w:val="00460649"/>
    <w:rsid w:val="004606E6"/>
    <w:rsid w:val="00462148"/>
    <w:rsid w:val="004623C8"/>
    <w:rsid w:val="004625D7"/>
    <w:rsid w:val="00462DA6"/>
    <w:rsid w:val="004639B1"/>
    <w:rsid w:val="0046429D"/>
    <w:rsid w:val="00464327"/>
    <w:rsid w:val="00464891"/>
    <w:rsid w:val="00464AE0"/>
    <w:rsid w:val="00466EB9"/>
    <w:rsid w:val="00467152"/>
    <w:rsid w:val="0046782A"/>
    <w:rsid w:val="00467DBE"/>
    <w:rsid w:val="00467E57"/>
    <w:rsid w:val="00471E6A"/>
    <w:rsid w:val="004722FF"/>
    <w:rsid w:val="00472805"/>
    <w:rsid w:val="00472A18"/>
    <w:rsid w:val="00473840"/>
    <w:rsid w:val="00473F9C"/>
    <w:rsid w:val="00474282"/>
    <w:rsid w:val="004746E3"/>
    <w:rsid w:val="004747FD"/>
    <w:rsid w:val="00476C61"/>
    <w:rsid w:val="00477B50"/>
    <w:rsid w:val="0048044B"/>
    <w:rsid w:val="004811CD"/>
    <w:rsid w:val="00481531"/>
    <w:rsid w:val="0048172E"/>
    <w:rsid w:val="00484490"/>
    <w:rsid w:val="00484D3A"/>
    <w:rsid w:val="004850B9"/>
    <w:rsid w:val="00485649"/>
    <w:rsid w:val="00485D3D"/>
    <w:rsid w:val="00485DA3"/>
    <w:rsid w:val="00486193"/>
    <w:rsid w:val="00486464"/>
    <w:rsid w:val="00486750"/>
    <w:rsid w:val="00486F61"/>
    <w:rsid w:val="00487915"/>
    <w:rsid w:val="004901C1"/>
    <w:rsid w:val="00492150"/>
    <w:rsid w:val="004928BB"/>
    <w:rsid w:val="00492B4B"/>
    <w:rsid w:val="00493870"/>
    <w:rsid w:val="00493BA8"/>
    <w:rsid w:val="00494654"/>
    <w:rsid w:val="0049473C"/>
    <w:rsid w:val="00494D1C"/>
    <w:rsid w:val="004961EA"/>
    <w:rsid w:val="004969D4"/>
    <w:rsid w:val="00496A01"/>
    <w:rsid w:val="00496CF5"/>
    <w:rsid w:val="00497A06"/>
    <w:rsid w:val="004A03FF"/>
    <w:rsid w:val="004A0C73"/>
    <w:rsid w:val="004A0DB0"/>
    <w:rsid w:val="004A0EFB"/>
    <w:rsid w:val="004A1096"/>
    <w:rsid w:val="004A1D5B"/>
    <w:rsid w:val="004A1F5B"/>
    <w:rsid w:val="004A20A7"/>
    <w:rsid w:val="004A2148"/>
    <w:rsid w:val="004A21AE"/>
    <w:rsid w:val="004A2348"/>
    <w:rsid w:val="004A28B2"/>
    <w:rsid w:val="004A309C"/>
    <w:rsid w:val="004A3566"/>
    <w:rsid w:val="004A35C1"/>
    <w:rsid w:val="004A3C8B"/>
    <w:rsid w:val="004A3D1D"/>
    <w:rsid w:val="004A41BC"/>
    <w:rsid w:val="004A44AD"/>
    <w:rsid w:val="004A453B"/>
    <w:rsid w:val="004A49A4"/>
    <w:rsid w:val="004A4AC0"/>
    <w:rsid w:val="004A4AFB"/>
    <w:rsid w:val="004A4B31"/>
    <w:rsid w:val="004A4C8F"/>
    <w:rsid w:val="004A4C93"/>
    <w:rsid w:val="004A595B"/>
    <w:rsid w:val="004A6322"/>
    <w:rsid w:val="004A7B8C"/>
    <w:rsid w:val="004B094D"/>
    <w:rsid w:val="004B1388"/>
    <w:rsid w:val="004B168A"/>
    <w:rsid w:val="004B1F69"/>
    <w:rsid w:val="004B2715"/>
    <w:rsid w:val="004B27A6"/>
    <w:rsid w:val="004B2909"/>
    <w:rsid w:val="004B38C4"/>
    <w:rsid w:val="004B3AB5"/>
    <w:rsid w:val="004B3EDE"/>
    <w:rsid w:val="004B4960"/>
    <w:rsid w:val="004B4ABE"/>
    <w:rsid w:val="004B4CB9"/>
    <w:rsid w:val="004B53D6"/>
    <w:rsid w:val="004B5573"/>
    <w:rsid w:val="004B59DF"/>
    <w:rsid w:val="004B7221"/>
    <w:rsid w:val="004B747E"/>
    <w:rsid w:val="004C09FA"/>
    <w:rsid w:val="004C1482"/>
    <w:rsid w:val="004C149E"/>
    <w:rsid w:val="004C1711"/>
    <w:rsid w:val="004C1DC7"/>
    <w:rsid w:val="004C2204"/>
    <w:rsid w:val="004C25AC"/>
    <w:rsid w:val="004C3543"/>
    <w:rsid w:val="004C3C07"/>
    <w:rsid w:val="004C4956"/>
    <w:rsid w:val="004C49D3"/>
    <w:rsid w:val="004C57E0"/>
    <w:rsid w:val="004C5FF5"/>
    <w:rsid w:val="004C6BCA"/>
    <w:rsid w:val="004C74A0"/>
    <w:rsid w:val="004D07EA"/>
    <w:rsid w:val="004D10D5"/>
    <w:rsid w:val="004D3ABD"/>
    <w:rsid w:val="004D4007"/>
    <w:rsid w:val="004D440A"/>
    <w:rsid w:val="004D4C43"/>
    <w:rsid w:val="004D5000"/>
    <w:rsid w:val="004D5B64"/>
    <w:rsid w:val="004D64BB"/>
    <w:rsid w:val="004D6E65"/>
    <w:rsid w:val="004D7167"/>
    <w:rsid w:val="004E092D"/>
    <w:rsid w:val="004E1CAE"/>
    <w:rsid w:val="004E1CD7"/>
    <w:rsid w:val="004E25EE"/>
    <w:rsid w:val="004E2856"/>
    <w:rsid w:val="004E3344"/>
    <w:rsid w:val="004E3F1E"/>
    <w:rsid w:val="004E42B7"/>
    <w:rsid w:val="004E4ABE"/>
    <w:rsid w:val="004E4F3D"/>
    <w:rsid w:val="004E573F"/>
    <w:rsid w:val="004E57DC"/>
    <w:rsid w:val="004E5A50"/>
    <w:rsid w:val="004E5C3C"/>
    <w:rsid w:val="004E5FD8"/>
    <w:rsid w:val="004E649F"/>
    <w:rsid w:val="004E6CEF"/>
    <w:rsid w:val="004E7197"/>
    <w:rsid w:val="004E73C4"/>
    <w:rsid w:val="004E765D"/>
    <w:rsid w:val="004F0214"/>
    <w:rsid w:val="004F1042"/>
    <w:rsid w:val="004F108A"/>
    <w:rsid w:val="004F10F4"/>
    <w:rsid w:val="004F1D59"/>
    <w:rsid w:val="004F29AF"/>
    <w:rsid w:val="004F29DB"/>
    <w:rsid w:val="004F3006"/>
    <w:rsid w:val="004F3D10"/>
    <w:rsid w:val="004F4DF5"/>
    <w:rsid w:val="004F5478"/>
    <w:rsid w:val="004F5B02"/>
    <w:rsid w:val="004F5BE9"/>
    <w:rsid w:val="004F5E03"/>
    <w:rsid w:val="004F639B"/>
    <w:rsid w:val="004F64F9"/>
    <w:rsid w:val="004F76E2"/>
    <w:rsid w:val="004F79EE"/>
    <w:rsid w:val="004F7B5F"/>
    <w:rsid w:val="004F7BCB"/>
    <w:rsid w:val="004F7CAC"/>
    <w:rsid w:val="00500448"/>
    <w:rsid w:val="0050082F"/>
    <w:rsid w:val="00500F47"/>
    <w:rsid w:val="005010D5"/>
    <w:rsid w:val="005011B1"/>
    <w:rsid w:val="005016D6"/>
    <w:rsid w:val="00501855"/>
    <w:rsid w:val="00502678"/>
    <w:rsid w:val="0050393D"/>
    <w:rsid w:val="00503942"/>
    <w:rsid w:val="00503A92"/>
    <w:rsid w:val="00504AD9"/>
    <w:rsid w:val="00504F3E"/>
    <w:rsid w:val="00505084"/>
    <w:rsid w:val="00505251"/>
    <w:rsid w:val="00505793"/>
    <w:rsid w:val="0050688A"/>
    <w:rsid w:val="00506AD5"/>
    <w:rsid w:val="00506E07"/>
    <w:rsid w:val="00507465"/>
    <w:rsid w:val="00507B34"/>
    <w:rsid w:val="00507CBE"/>
    <w:rsid w:val="005110D4"/>
    <w:rsid w:val="00511467"/>
    <w:rsid w:val="0051194B"/>
    <w:rsid w:val="00514078"/>
    <w:rsid w:val="00514EE3"/>
    <w:rsid w:val="00515DC7"/>
    <w:rsid w:val="0051605A"/>
    <w:rsid w:val="005161ED"/>
    <w:rsid w:val="00516388"/>
    <w:rsid w:val="0051692A"/>
    <w:rsid w:val="00516D71"/>
    <w:rsid w:val="005174C1"/>
    <w:rsid w:val="00517857"/>
    <w:rsid w:val="0051787D"/>
    <w:rsid w:val="005205FB"/>
    <w:rsid w:val="005215D9"/>
    <w:rsid w:val="005215F4"/>
    <w:rsid w:val="00521A10"/>
    <w:rsid w:val="00521B23"/>
    <w:rsid w:val="00521B61"/>
    <w:rsid w:val="00522640"/>
    <w:rsid w:val="005227E3"/>
    <w:rsid w:val="00522837"/>
    <w:rsid w:val="00523880"/>
    <w:rsid w:val="00523C86"/>
    <w:rsid w:val="0052438F"/>
    <w:rsid w:val="005243D9"/>
    <w:rsid w:val="00524F3A"/>
    <w:rsid w:val="00525F3A"/>
    <w:rsid w:val="00526011"/>
    <w:rsid w:val="005262EB"/>
    <w:rsid w:val="00526D58"/>
    <w:rsid w:val="0052728C"/>
    <w:rsid w:val="00527546"/>
    <w:rsid w:val="005275D6"/>
    <w:rsid w:val="0052764B"/>
    <w:rsid w:val="00527ECA"/>
    <w:rsid w:val="00530787"/>
    <w:rsid w:val="005309BA"/>
    <w:rsid w:val="00530A8A"/>
    <w:rsid w:val="0053181D"/>
    <w:rsid w:val="00531AC2"/>
    <w:rsid w:val="0053276E"/>
    <w:rsid w:val="005337EF"/>
    <w:rsid w:val="00533DAE"/>
    <w:rsid w:val="00533E0E"/>
    <w:rsid w:val="0053401D"/>
    <w:rsid w:val="005344D9"/>
    <w:rsid w:val="00534C8A"/>
    <w:rsid w:val="005355DC"/>
    <w:rsid w:val="005358CD"/>
    <w:rsid w:val="00535C4E"/>
    <w:rsid w:val="00535F31"/>
    <w:rsid w:val="005364CE"/>
    <w:rsid w:val="00536510"/>
    <w:rsid w:val="00537627"/>
    <w:rsid w:val="0054070B"/>
    <w:rsid w:val="00540CB4"/>
    <w:rsid w:val="00540EF6"/>
    <w:rsid w:val="005410B8"/>
    <w:rsid w:val="005412F3"/>
    <w:rsid w:val="00541DA9"/>
    <w:rsid w:val="0054487D"/>
    <w:rsid w:val="0054498E"/>
    <w:rsid w:val="00544B20"/>
    <w:rsid w:val="00544CF7"/>
    <w:rsid w:val="00544DF5"/>
    <w:rsid w:val="00545BDB"/>
    <w:rsid w:val="00546751"/>
    <w:rsid w:val="0054736D"/>
    <w:rsid w:val="00547563"/>
    <w:rsid w:val="00547BE3"/>
    <w:rsid w:val="00547EFA"/>
    <w:rsid w:val="00550C1E"/>
    <w:rsid w:val="00550E4F"/>
    <w:rsid w:val="00551587"/>
    <w:rsid w:val="005515B2"/>
    <w:rsid w:val="0055170F"/>
    <w:rsid w:val="005517E7"/>
    <w:rsid w:val="00552E13"/>
    <w:rsid w:val="00552F8D"/>
    <w:rsid w:val="00553296"/>
    <w:rsid w:val="00553324"/>
    <w:rsid w:val="00553835"/>
    <w:rsid w:val="00554075"/>
    <w:rsid w:val="0055414B"/>
    <w:rsid w:val="005541B5"/>
    <w:rsid w:val="0055445D"/>
    <w:rsid w:val="00554652"/>
    <w:rsid w:val="00554DC6"/>
    <w:rsid w:val="00555739"/>
    <w:rsid w:val="00555D16"/>
    <w:rsid w:val="005562D5"/>
    <w:rsid w:val="0055711D"/>
    <w:rsid w:val="0055743E"/>
    <w:rsid w:val="00560417"/>
    <w:rsid w:val="005612E1"/>
    <w:rsid w:val="00561D28"/>
    <w:rsid w:val="00561E4C"/>
    <w:rsid w:val="00562595"/>
    <w:rsid w:val="005625BB"/>
    <w:rsid w:val="005629F5"/>
    <w:rsid w:val="00562B0A"/>
    <w:rsid w:val="005632D0"/>
    <w:rsid w:val="005638DB"/>
    <w:rsid w:val="00564FC7"/>
    <w:rsid w:val="005658C5"/>
    <w:rsid w:val="00565955"/>
    <w:rsid w:val="0056718E"/>
    <w:rsid w:val="00567DE9"/>
    <w:rsid w:val="00570C5E"/>
    <w:rsid w:val="00570DD8"/>
    <w:rsid w:val="00570F80"/>
    <w:rsid w:val="005712F1"/>
    <w:rsid w:val="005715D1"/>
    <w:rsid w:val="005718AE"/>
    <w:rsid w:val="00571ADB"/>
    <w:rsid w:val="005734FD"/>
    <w:rsid w:val="00573D58"/>
    <w:rsid w:val="005748FB"/>
    <w:rsid w:val="00574E14"/>
    <w:rsid w:val="005755D0"/>
    <w:rsid w:val="0057560D"/>
    <w:rsid w:val="00576881"/>
    <w:rsid w:val="005774A1"/>
    <w:rsid w:val="00580A3C"/>
    <w:rsid w:val="00581903"/>
    <w:rsid w:val="00581F34"/>
    <w:rsid w:val="0058348A"/>
    <w:rsid w:val="005853D4"/>
    <w:rsid w:val="005863FB"/>
    <w:rsid w:val="005877F6"/>
    <w:rsid w:val="00587834"/>
    <w:rsid w:val="005908E5"/>
    <w:rsid w:val="00590BB2"/>
    <w:rsid w:val="00590BE3"/>
    <w:rsid w:val="00591869"/>
    <w:rsid w:val="005918AF"/>
    <w:rsid w:val="00592928"/>
    <w:rsid w:val="00592DFB"/>
    <w:rsid w:val="005933AA"/>
    <w:rsid w:val="005939DF"/>
    <w:rsid w:val="00593FB2"/>
    <w:rsid w:val="005940C7"/>
    <w:rsid w:val="0059417D"/>
    <w:rsid w:val="005941F4"/>
    <w:rsid w:val="00594568"/>
    <w:rsid w:val="00594F42"/>
    <w:rsid w:val="0059599F"/>
    <w:rsid w:val="00596271"/>
    <w:rsid w:val="00596311"/>
    <w:rsid w:val="0059663B"/>
    <w:rsid w:val="00596886"/>
    <w:rsid w:val="00596D43"/>
    <w:rsid w:val="00596D9D"/>
    <w:rsid w:val="00596EB8"/>
    <w:rsid w:val="00597663"/>
    <w:rsid w:val="005A0325"/>
    <w:rsid w:val="005A03BC"/>
    <w:rsid w:val="005A0414"/>
    <w:rsid w:val="005A0774"/>
    <w:rsid w:val="005A0BC6"/>
    <w:rsid w:val="005A0FB0"/>
    <w:rsid w:val="005A12F4"/>
    <w:rsid w:val="005A27D1"/>
    <w:rsid w:val="005A29FC"/>
    <w:rsid w:val="005A2A00"/>
    <w:rsid w:val="005A30C2"/>
    <w:rsid w:val="005A3B97"/>
    <w:rsid w:val="005A3BDF"/>
    <w:rsid w:val="005A4148"/>
    <w:rsid w:val="005A47AC"/>
    <w:rsid w:val="005A4E3B"/>
    <w:rsid w:val="005A56BA"/>
    <w:rsid w:val="005A6215"/>
    <w:rsid w:val="005A640E"/>
    <w:rsid w:val="005A7466"/>
    <w:rsid w:val="005B00BB"/>
    <w:rsid w:val="005B0758"/>
    <w:rsid w:val="005B1732"/>
    <w:rsid w:val="005B247C"/>
    <w:rsid w:val="005B2F0E"/>
    <w:rsid w:val="005B32A1"/>
    <w:rsid w:val="005B32E2"/>
    <w:rsid w:val="005B3932"/>
    <w:rsid w:val="005B469E"/>
    <w:rsid w:val="005B48EE"/>
    <w:rsid w:val="005B4CF2"/>
    <w:rsid w:val="005B5F23"/>
    <w:rsid w:val="005B6C1B"/>
    <w:rsid w:val="005B6CAC"/>
    <w:rsid w:val="005B7731"/>
    <w:rsid w:val="005B7C63"/>
    <w:rsid w:val="005B7C7B"/>
    <w:rsid w:val="005C06A1"/>
    <w:rsid w:val="005C074C"/>
    <w:rsid w:val="005C0B7A"/>
    <w:rsid w:val="005C0F60"/>
    <w:rsid w:val="005C1347"/>
    <w:rsid w:val="005C1A07"/>
    <w:rsid w:val="005C25A9"/>
    <w:rsid w:val="005C2674"/>
    <w:rsid w:val="005C2A23"/>
    <w:rsid w:val="005C4586"/>
    <w:rsid w:val="005C4B30"/>
    <w:rsid w:val="005C4B7A"/>
    <w:rsid w:val="005C5F01"/>
    <w:rsid w:val="005C63A3"/>
    <w:rsid w:val="005C6501"/>
    <w:rsid w:val="005C6932"/>
    <w:rsid w:val="005C6A36"/>
    <w:rsid w:val="005C6F63"/>
    <w:rsid w:val="005C728C"/>
    <w:rsid w:val="005C76E2"/>
    <w:rsid w:val="005C7B34"/>
    <w:rsid w:val="005C7C42"/>
    <w:rsid w:val="005C7E80"/>
    <w:rsid w:val="005D00ED"/>
    <w:rsid w:val="005D0721"/>
    <w:rsid w:val="005D0848"/>
    <w:rsid w:val="005D1154"/>
    <w:rsid w:val="005D131D"/>
    <w:rsid w:val="005D14D8"/>
    <w:rsid w:val="005D2120"/>
    <w:rsid w:val="005D2705"/>
    <w:rsid w:val="005D27C0"/>
    <w:rsid w:val="005D2AEA"/>
    <w:rsid w:val="005D3814"/>
    <w:rsid w:val="005D42D6"/>
    <w:rsid w:val="005D49E5"/>
    <w:rsid w:val="005D533B"/>
    <w:rsid w:val="005D563F"/>
    <w:rsid w:val="005D585D"/>
    <w:rsid w:val="005D5D1B"/>
    <w:rsid w:val="005D68FE"/>
    <w:rsid w:val="005D6C94"/>
    <w:rsid w:val="005D6D39"/>
    <w:rsid w:val="005D7B22"/>
    <w:rsid w:val="005D7D8E"/>
    <w:rsid w:val="005E0475"/>
    <w:rsid w:val="005E12C6"/>
    <w:rsid w:val="005E1F2E"/>
    <w:rsid w:val="005E1FB7"/>
    <w:rsid w:val="005E3958"/>
    <w:rsid w:val="005E3A3E"/>
    <w:rsid w:val="005E48B6"/>
    <w:rsid w:val="005E48D8"/>
    <w:rsid w:val="005E4FC3"/>
    <w:rsid w:val="005E5691"/>
    <w:rsid w:val="005E5D3C"/>
    <w:rsid w:val="005E5D66"/>
    <w:rsid w:val="005E7E1A"/>
    <w:rsid w:val="005F15F3"/>
    <w:rsid w:val="005F1CAA"/>
    <w:rsid w:val="005F2536"/>
    <w:rsid w:val="005F2D4B"/>
    <w:rsid w:val="005F30E5"/>
    <w:rsid w:val="005F3127"/>
    <w:rsid w:val="005F3C5A"/>
    <w:rsid w:val="005F4217"/>
    <w:rsid w:val="005F4AAF"/>
    <w:rsid w:val="005F5792"/>
    <w:rsid w:val="005F5D80"/>
    <w:rsid w:val="005F5F8A"/>
    <w:rsid w:val="005F6492"/>
    <w:rsid w:val="005F6E20"/>
    <w:rsid w:val="005F793B"/>
    <w:rsid w:val="005F794F"/>
    <w:rsid w:val="005F7A55"/>
    <w:rsid w:val="005F7BBC"/>
    <w:rsid w:val="006024FC"/>
    <w:rsid w:val="00602934"/>
    <w:rsid w:val="0060378D"/>
    <w:rsid w:val="00604143"/>
    <w:rsid w:val="006047D4"/>
    <w:rsid w:val="00605524"/>
    <w:rsid w:val="00606021"/>
    <w:rsid w:val="00606846"/>
    <w:rsid w:val="0060722C"/>
    <w:rsid w:val="006073BF"/>
    <w:rsid w:val="00607C62"/>
    <w:rsid w:val="006105BE"/>
    <w:rsid w:val="00610A76"/>
    <w:rsid w:val="0061147E"/>
    <w:rsid w:val="00611533"/>
    <w:rsid w:val="00611829"/>
    <w:rsid w:val="00611A57"/>
    <w:rsid w:val="00611E4F"/>
    <w:rsid w:val="006129CF"/>
    <w:rsid w:val="00612D00"/>
    <w:rsid w:val="00612E97"/>
    <w:rsid w:val="00613058"/>
    <w:rsid w:val="00613482"/>
    <w:rsid w:val="0061355E"/>
    <w:rsid w:val="006149BA"/>
    <w:rsid w:val="006149C2"/>
    <w:rsid w:val="00614F86"/>
    <w:rsid w:val="0061554A"/>
    <w:rsid w:val="00615F9F"/>
    <w:rsid w:val="00616F38"/>
    <w:rsid w:val="00620317"/>
    <w:rsid w:val="006203C3"/>
    <w:rsid w:val="0062108F"/>
    <w:rsid w:val="00621285"/>
    <w:rsid w:val="00621771"/>
    <w:rsid w:val="006223AE"/>
    <w:rsid w:val="006229DD"/>
    <w:rsid w:val="006235A9"/>
    <w:rsid w:val="0062431D"/>
    <w:rsid w:val="00624DE7"/>
    <w:rsid w:val="0062530F"/>
    <w:rsid w:val="0062576F"/>
    <w:rsid w:val="00625B9F"/>
    <w:rsid w:val="00625CBA"/>
    <w:rsid w:val="006264A7"/>
    <w:rsid w:val="006264B3"/>
    <w:rsid w:val="00626830"/>
    <w:rsid w:val="00627539"/>
    <w:rsid w:val="006308F2"/>
    <w:rsid w:val="006309F0"/>
    <w:rsid w:val="00630F9C"/>
    <w:rsid w:val="00631307"/>
    <w:rsid w:val="00631412"/>
    <w:rsid w:val="00631D1B"/>
    <w:rsid w:val="006322B9"/>
    <w:rsid w:val="00632683"/>
    <w:rsid w:val="00632F29"/>
    <w:rsid w:val="00633ACE"/>
    <w:rsid w:val="00633C7D"/>
    <w:rsid w:val="00634014"/>
    <w:rsid w:val="00634129"/>
    <w:rsid w:val="006342F2"/>
    <w:rsid w:val="00634B06"/>
    <w:rsid w:val="00634E05"/>
    <w:rsid w:val="00634F72"/>
    <w:rsid w:val="00635365"/>
    <w:rsid w:val="006369D0"/>
    <w:rsid w:val="00636DB7"/>
    <w:rsid w:val="00641602"/>
    <w:rsid w:val="00641608"/>
    <w:rsid w:val="00642EC7"/>
    <w:rsid w:val="006437F7"/>
    <w:rsid w:val="0064546A"/>
    <w:rsid w:val="0064592B"/>
    <w:rsid w:val="00645CFA"/>
    <w:rsid w:val="006460D9"/>
    <w:rsid w:val="00646817"/>
    <w:rsid w:val="00646FC8"/>
    <w:rsid w:val="006477C7"/>
    <w:rsid w:val="00647819"/>
    <w:rsid w:val="00650C00"/>
    <w:rsid w:val="006521F4"/>
    <w:rsid w:val="00652C52"/>
    <w:rsid w:val="006530D5"/>
    <w:rsid w:val="0065381C"/>
    <w:rsid w:val="00654598"/>
    <w:rsid w:val="0065511E"/>
    <w:rsid w:val="00655725"/>
    <w:rsid w:val="00656A67"/>
    <w:rsid w:val="00656B90"/>
    <w:rsid w:val="00656BFF"/>
    <w:rsid w:val="00656CA3"/>
    <w:rsid w:val="006575D8"/>
    <w:rsid w:val="006577F3"/>
    <w:rsid w:val="00660AF1"/>
    <w:rsid w:val="00661191"/>
    <w:rsid w:val="006614BB"/>
    <w:rsid w:val="00662E80"/>
    <w:rsid w:val="00662EF7"/>
    <w:rsid w:val="00663114"/>
    <w:rsid w:val="00663291"/>
    <w:rsid w:val="00664BCA"/>
    <w:rsid w:val="00664E1A"/>
    <w:rsid w:val="00666208"/>
    <w:rsid w:val="0066672F"/>
    <w:rsid w:val="00666844"/>
    <w:rsid w:val="00666CE4"/>
    <w:rsid w:val="00667693"/>
    <w:rsid w:val="0066796C"/>
    <w:rsid w:val="00667A77"/>
    <w:rsid w:val="006703B0"/>
    <w:rsid w:val="0067048C"/>
    <w:rsid w:val="00670C48"/>
    <w:rsid w:val="00670C5A"/>
    <w:rsid w:val="00670D23"/>
    <w:rsid w:val="00670DCA"/>
    <w:rsid w:val="00670DDB"/>
    <w:rsid w:val="0067126B"/>
    <w:rsid w:val="006712AD"/>
    <w:rsid w:val="006718F7"/>
    <w:rsid w:val="00671964"/>
    <w:rsid w:val="006723A4"/>
    <w:rsid w:val="0067295D"/>
    <w:rsid w:val="00673F2B"/>
    <w:rsid w:val="006745BC"/>
    <w:rsid w:val="00674800"/>
    <w:rsid w:val="00675117"/>
    <w:rsid w:val="00675690"/>
    <w:rsid w:val="006764AF"/>
    <w:rsid w:val="006765D8"/>
    <w:rsid w:val="00677683"/>
    <w:rsid w:val="006776AC"/>
    <w:rsid w:val="006778DC"/>
    <w:rsid w:val="00677922"/>
    <w:rsid w:val="00677B46"/>
    <w:rsid w:val="00677BD6"/>
    <w:rsid w:val="00677C01"/>
    <w:rsid w:val="006800BB"/>
    <w:rsid w:val="0068014E"/>
    <w:rsid w:val="00680210"/>
    <w:rsid w:val="006808A3"/>
    <w:rsid w:val="00680999"/>
    <w:rsid w:val="00680E08"/>
    <w:rsid w:val="00681345"/>
    <w:rsid w:val="00681B70"/>
    <w:rsid w:val="00681D6D"/>
    <w:rsid w:val="0068224A"/>
    <w:rsid w:val="0068305A"/>
    <w:rsid w:val="00683188"/>
    <w:rsid w:val="006833EE"/>
    <w:rsid w:val="00684476"/>
    <w:rsid w:val="0068467D"/>
    <w:rsid w:val="00684B6E"/>
    <w:rsid w:val="006854FF"/>
    <w:rsid w:val="006859EC"/>
    <w:rsid w:val="00686108"/>
    <w:rsid w:val="00687E44"/>
    <w:rsid w:val="00687FB4"/>
    <w:rsid w:val="00690260"/>
    <w:rsid w:val="006909D9"/>
    <w:rsid w:val="00690BA4"/>
    <w:rsid w:val="00690F48"/>
    <w:rsid w:val="006926C2"/>
    <w:rsid w:val="00693148"/>
    <w:rsid w:val="00693379"/>
    <w:rsid w:val="00694CE9"/>
    <w:rsid w:val="00694DCC"/>
    <w:rsid w:val="00695AD0"/>
    <w:rsid w:val="00695D79"/>
    <w:rsid w:val="006966D4"/>
    <w:rsid w:val="00696DB0"/>
    <w:rsid w:val="006A074F"/>
    <w:rsid w:val="006A0AA4"/>
    <w:rsid w:val="006A0E73"/>
    <w:rsid w:val="006A1168"/>
    <w:rsid w:val="006A13CC"/>
    <w:rsid w:val="006A15E7"/>
    <w:rsid w:val="006A179C"/>
    <w:rsid w:val="006A258D"/>
    <w:rsid w:val="006A3155"/>
    <w:rsid w:val="006A323F"/>
    <w:rsid w:val="006A60D2"/>
    <w:rsid w:val="006A65EF"/>
    <w:rsid w:val="006A6875"/>
    <w:rsid w:val="006A74F2"/>
    <w:rsid w:val="006A7759"/>
    <w:rsid w:val="006B0ABB"/>
    <w:rsid w:val="006B0C48"/>
    <w:rsid w:val="006B0C92"/>
    <w:rsid w:val="006B1480"/>
    <w:rsid w:val="006B16CA"/>
    <w:rsid w:val="006B2AD9"/>
    <w:rsid w:val="006B31C2"/>
    <w:rsid w:val="006B3364"/>
    <w:rsid w:val="006B3748"/>
    <w:rsid w:val="006B385D"/>
    <w:rsid w:val="006B392A"/>
    <w:rsid w:val="006B3B4E"/>
    <w:rsid w:val="006B3D57"/>
    <w:rsid w:val="006B51E6"/>
    <w:rsid w:val="006B51E8"/>
    <w:rsid w:val="006B5A4C"/>
    <w:rsid w:val="006B5ED5"/>
    <w:rsid w:val="006B5F50"/>
    <w:rsid w:val="006B607B"/>
    <w:rsid w:val="006B6934"/>
    <w:rsid w:val="006B7215"/>
    <w:rsid w:val="006B797D"/>
    <w:rsid w:val="006B7B89"/>
    <w:rsid w:val="006B7FB3"/>
    <w:rsid w:val="006C00DB"/>
    <w:rsid w:val="006C04FF"/>
    <w:rsid w:val="006C109B"/>
    <w:rsid w:val="006C152A"/>
    <w:rsid w:val="006C15DC"/>
    <w:rsid w:val="006C24CE"/>
    <w:rsid w:val="006C2878"/>
    <w:rsid w:val="006C2C84"/>
    <w:rsid w:val="006C3506"/>
    <w:rsid w:val="006C3C29"/>
    <w:rsid w:val="006C3DE7"/>
    <w:rsid w:val="006C443A"/>
    <w:rsid w:val="006C51CC"/>
    <w:rsid w:val="006C51D1"/>
    <w:rsid w:val="006C57D3"/>
    <w:rsid w:val="006C5809"/>
    <w:rsid w:val="006C5C31"/>
    <w:rsid w:val="006C6221"/>
    <w:rsid w:val="006C6CED"/>
    <w:rsid w:val="006C6FDB"/>
    <w:rsid w:val="006C7755"/>
    <w:rsid w:val="006C7E55"/>
    <w:rsid w:val="006D0301"/>
    <w:rsid w:val="006D05EC"/>
    <w:rsid w:val="006D0EEB"/>
    <w:rsid w:val="006D1999"/>
    <w:rsid w:val="006D24A4"/>
    <w:rsid w:val="006D26B9"/>
    <w:rsid w:val="006D3118"/>
    <w:rsid w:val="006D324E"/>
    <w:rsid w:val="006D37B7"/>
    <w:rsid w:val="006D435E"/>
    <w:rsid w:val="006D5220"/>
    <w:rsid w:val="006D6BCC"/>
    <w:rsid w:val="006D7796"/>
    <w:rsid w:val="006E2B23"/>
    <w:rsid w:val="006E3409"/>
    <w:rsid w:val="006E57CB"/>
    <w:rsid w:val="006E60E2"/>
    <w:rsid w:val="006E6D03"/>
    <w:rsid w:val="006E6E15"/>
    <w:rsid w:val="006E738F"/>
    <w:rsid w:val="006E7B0B"/>
    <w:rsid w:val="006F15C1"/>
    <w:rsid w:val="006F18A4"/>
    <w:rsid w:val="006F1CB7"/>
    <w:rsid w:val="006F2139"/>
    <w:rsid w:val="006F2511"/>
    <w:rsid w:val="006F25B6"/>
    <w:rsid w:val="006F30B6"/>
    <w:rsid w:val="006F3EE5"/>
    <w:rsid w:val="006F43D8"/>
    <w:rsid w:val="006F48BC"/>
    <w:rsid w:val="006F4994"/>
    <w:rsid w:val="006F4E54"/>
    <w:rsid w:val="006F549E"/>
    <w:rsid w:val="006F56E7"/>
    <w:rsid w:val="006F5804"/>
    <w:rsid w:val="006F5DA4"/>
    <w:rsid w:val="006F6A5F"/>
    <w:rsid w:val="006F7B96"/>
    <w:rsid w:val="006F7BBA"/>
    <w:rsid w:val="006F7D0E"/>
    <w:rsid w:val="006F7E62"/>
    <w:rsid w:val="007001A6"/>
    <w:rsid w:val="007010DB"/>
    <w:rsid w:val="00701AB0"/>
    <w:rsid w:val="00702065"/>
    <w:rsid w:val="007024D9"/>
    <w:rsid w:val="0070251F"/>
    <w:rsid w:val="00702596"/>
    <w:rsid w:val="00702EAC"/>
    <w:rsid w:val="00703B63"/>
    <w:rsid w:val="0070507E"/>
    <w:rsid w:val="007052AF"/>
    <w:rsid w:val="007058DA"/>
    <w:rsid w:val="00707156"/>
    <w:rsid w:val="00707E41"/>
    <w:rsid w:val="00710560"/>
    <w:rsid w:val="00710C18"/>
    <w:rsid w:val="00710FED"/>
    <w:rsid w:val="00711095"/>
    <w:rsid w:val="00711369"/>
    <w:rsid w:val="00711D17"/>
    <w:rsid w:val="007121B4"/>
    <w:rsid w:val="007126FA"/>
    <w:rsid w:val="00712B31"/>
    <w:rsid w:val="007134A1"/>
    <w:rsid w:val="00714CBE"/>
    <w:rsid w:val="00715314"/>
    <w:rsid w:val="007154C6"/>
    <w:rsid w:val="007167A1"/>
    <w:rsid w:val="00716FEF"/>
    <w:rsid w:val="00717003"/>
    <w:rsid w:val="00717C48"/>
    <w:rsid w:val="00720857"/>
    <w:rsid w:val="00720F56"/>
    <w:rsid w:val="00720FCB"/>
    <w:rsid w:val="007214D4"/>
    <w:rsid w:val="00721657"/>
    <w:rsid w:val="00721D86"/>
    <w:rsid w:val="007224CA"/>
    <w:rsid w:val="0072283F"/>
    <w:rsid w:val="007233CE"/>
    <w:rsid w:val="00723411"/>
    <w:rsid w:val="00723564"/>
    <w:rsid w:val="007239CE"/>
    <w:rsid w:val="00723EBA"/>
    <w:rsid w:val="00723ED7"/>
    <w:rsid w:val="007242C5"/>
    <w:rsid w:val="007248A0"/>
    <w:rsid w:val="007250AD"/>
    <w:rsid w:val="007259E8"/>
    <w:rsid w:val="00725C5A"/>
    <w:rsid w:val="007262F7"/>
    <w:rsid w:val="007267A1"/>
    <w:rsid w:val="007272D4"/>
    <w:rsid w:val="00731247"/>
    <w:rsid w:val="007314B5"/>
    <w:rsid w:val="00731726"/>
    <w:rsid w:val="00732554"/>
    <w:rsid w:val="007327CF"/>
    <w:rsid w:val="00732C10"/>
    <w:rsid w:val="00732E53"/>
    <w:rsid w:val="00733169"/>
    <w:rsid w:val="0073385F"/>
    <w:rsid w:val="00733D15"/>
    <w:rsid w:val="007347F4"/>
    <w:rsid w:val="00734932"/>
    <w:rsid w:val="00734E7C"/>
    <w:rsid w:val="007352A4"/>
    <w:rsid w:val="007360DC"/>
    <w:rsid w:val="00736D93"/>
    <w:rsid w:val="00737287"/>
    <w:rsid w:val="00737A6C"/>
    <w:rsid w:val="00740FBD"/>
    <w:rsid w:val="007410D9"/>
    <w:rsid w:val="00741814"/>
    <w:rsid w:val="007421F3"/>
    <w:rsid w:val="0074317F"/>
    <w:rsid w:val="00743B1E"/>
    <w:rsid w:val="00745399"/>
    <w:rsid w:val="00745B89"/>
    <w:rsid w:val="00745CAE"/>
    <w:rsid w:val="00746070"/>
    <w:rsid w:val="0074610B"/>
    <w:rsid w:val="0074698D"/>
    <w:rsid w:val="007469B4"/>
    <w:rsid w:val="00750B2A"/>
    <w:rsid w:val="00751A71"/>
    <w:rsid w:val="00751E7D"/>
    <w:rsid w:val="00751FD9"/>
    <w:rsid w:val="00752546"/>
    <w:rsid w:val="007526C6"/>
    <w:rsid w:val="00752886"/>
    <w:rsid w:val="00752ACD"/>
    <w:rsid w:val="00754018"/>
    <w:rsid w:val="0075438A"/>
    <w:rsid w:val="00754A8A"/>
    <w:rsid w:val="007551E3"/>
    <w:rsid w:val="00756A3A"/>
    <w:rsid w:val="00757048"/>
    <w:rsid w:val="0075783C"/>
    <w:rsid w:val="00761611"/>
    <w:rsid w:val="00761F52"/>
    <w:rsid w:val="00762B23"/>
    <w:rsid w:val="00763783"/>
    <w:rsid w:val="00763DE0"/>
    <w:rsid w:val="00763E5B"/>
    <w:rsid w:val="00765409"/>
    <w:rsid w:val="00766017"/>
    <w:rsid w:val="0076676B"/>
    <w:rsid w:val="00766B37"/>
    <w:rsid w:val="0076701F"/>
    <w:rsid w:val="00767B1F"/>
    <w:rsid w:val="00770A33"/>
    <w:rsid w:val="00770C04"/>
    <w:rsid w:val="00770DAA"/>
    <w:rsid w:val="00770DCA"/>
    <w:rsid w:val="00770FBA"/>
    <w:rsid w:val="0077148E"/>
    <w:rsid w:val="007715C9"/>
    <w:rsid w:val="00772C65"/>
    <w:rsid w:val="007736EA"/>
    <w:rsid w:val="00774392"/>
    <w:rsid w:val="007748AF"/>
    <w:rsid w:val="00774E55"/>
    <w:rsid w:val="00774FC5"/>
    <w:rsid w:val="007750EB"/>
    <w:rsid w:val="00775202"/>
    <w:rsid w:val="00775338"/>
    <w:rsid w:val="00775F51"/>
    <w:rsid w:val="00776737"/>
    <w:rsid w:val="00776796"/>
    <w:rsid w:val="00776FFE"/>
    <w:rsid w:val="00777385"/>
    <w:rsid w:val="007776E9"/>
    <w:rsid w:val="00780A33"/>
    <w:rsid w:val="007814EF"/>
    <w:rsid w:val="007815F4"/>
    <w:rsid w:val="00781668"/>
    <w:rsid w:val="00781E2D"/>
    <w:rsid w:val="00782108"/>
    <w:rsid w:val="00782785"/>
    <w:rsid w:val="0078284F"/>
    <w:rsid w:val="007835C3"/>
    <w:rsid w:val="0078388D"/>
    <w:rsid w:val="00785105"/>
    <w:rsid w:val="007859C2"/>
    <w:rsid w:val="00785C52"/>
    <w:rsid w:val="00786519"/>
    <w:rsid w:val="00786D6F"/>
    <w:rsid w:val="00786E9F"/>
    <w:rsid w:val="00787898"/>
    <w:rsid w:val="00787F36"/>
    <w:rsid w:val="007904DE"/>
    <w:rsid w:val="00790D5B"/>
    <w:rsid w:val="00790E04"/>
    <w:rsid w:val="00790FCA"/>
    <w:rsid w:val="00791B23"/>
    <w:rsid w:val="00792E71"/>
    <w:rsid w:val="007935F4"/>
    <w:rsid w:val="00793A9D"/>
    <w:rsid w:val="007946A6"/>
    <w:rsid w:val="0079473F"/>
    <w:rsid w:val="00794765"/>
    <w:rsid w:val="00794895"/>
    <w:rsid w:val="00794FE8"/>
    <w:rsid w:val="007953D8"/>
    <w:rsid w:val="00796239"/>
    <w:rsid w:val="0079647A"/>
    <w:rsid w:val="00796839"/>
    <w:rsid w:val="00796873"/>
    <w:rsid w:val="007968C4"/>
    <w:rsid w:val="00796C45"/>
    <w:rsid w:val="00797690"/>
    <w:rsid w:val="0079788B"/>
    <w:rsid w:val="00797E5A"/>
    <w:rsid w:val="007A002F"/>
    <w:rsid w:val="007A04E9"/>
    <w:rsid w:val="007A0993"/>
    <w:rsid w:val="007A0A45"/>
    <w:rsid w:val="007A0BEC"/>
    <w:rsid w:val="007A1068"/>
    <w:rsid w:val="007A123F"/>
    <w:rsid w:val="007A126F"/>
    <w:rsid w:val="007A18A9"/>
    <w:rsid w:val="007A2010"/>
    <w:rsid w:val="007A2EB0"/>
    <w:rsid w:val="007A2F3A"/>
    <w:rsid w:val="007A3967"/>
    <w:rsid w:val="007A3D76"/>
    <w:rsid w:val="007A3FA5"/>
    <w:rsid w:val="007A4327"/>
    <w:rsid w:val="007A4B83"/>
    <w:rsid w:val="007A5143"/>
    <w:rsid w:val="007A55B2"/>
    <w:rsid w:val="007A5AA4"/>
    <w:rsid w:val="007A5CC1"/>
    <w:rsid w:val="007A6A33"/>
    <w:rsid w:val="007A6E04"/>
    <w:rsid w:val="007A7AEF"/>
    <w:rsid w:val="007B0136"/>
    <w:rsid w:val="007B11A9"/>
    <w:rsid w:val="007B1B77"/>
    <w:rsid w:val="007B20E7"/>
    <w:rsid w:val="007B2294"/>
    <w:rsid w:val="007B285C"/>
    <w:rsid w:val="007B2F34"/>
    <w:rsid w:val="007B39D3"/>
    <w:rsid w:val="007B39FD"/>
    <w:rsid w:val="007B3B94"/>
    <w:rsid w:val="007B4152"/>
    <w:rsid w:val="007B4464"/>
    <w:rsid w:val="007B4481"/>
    <w:rsid w:val="007B4677"/>
    <w:rsid w:val="007B489C"/>
    <w:rsid w:val="007B5378"/>
    <w:rsid w:val="007B5888"/>
    <w:rsid w:val="007B6932"/>
    <w:rsid w:val="007B6CC1"/>
    <w:rsid w:val="007B6DF0"/>
    <w:rsid w:val="007B7261"/>
    <w:rsid w:val="007C01FC"/>
    <w:rsid w:val="007C1B0F"/>
    <w:rsid w:val="007C4AE0"/>
    <w:rsid w:val="007C4B2B"/>
    <w:rsid w:val="007C6355"/>
    <w:rsid w:val="007C65F4"/>
    <w:rsid w:val="007D0B2A"/>
    <w:rsid w:val="007D0FD6"/>
    <w:rsid w:val="007D25F6"/>
    <w:rsid w:val="007D3966"/>
    <w:rsid w:val="007D3A4F"/>
    <w:rsid w:val="007D45F6"/>
    <w:rsid w:val="007D48D1"/>
    <w:rsid w:val="007D4C6A"/>
    <w:rsid w:val="007D5077"/>
    <w:rsid w:val="007D5BDF"/>
    <w:rsid w:val="007D5CB6"/>
    <w:rsid w:val="007D5E8F"/>
    <w:rsid w:val="007D65FB"/>
    <w:rsid w:val="007D66B7"/>
    <w:rsid w:val="007D66E5"/>
    <w:rsid w:val="007D6A14"/>
    <w:rsid w:val="007D6CEA"/>
    <w:rsid w:val="007D715F"/>
    <w:rsid w:val="007D71A6"/>
    <w:rsid w:val="007D7FAB"/>
    <w:rsid w:val="007E0DF6"/>
    <w:rsid w:val="007E107F"/>
    <w:rsid w:val="007E15F6"/>
    <w:rsid w:val="007E2311"/>
    <w:rsid w:val="007E2455"/>
    <w:rsid w:val="007E24F0"/>
    <w:rsid w:val="007E418A"/>
    <w:rsid w:val="007E429C"/>
    <w:rsid w:val="007E63C0"/>
    <w:rsid w:val="007E6AB6"/>
    <w:rsid w:val="007E7752"/>
    <w:rsid w:val="007F06D5"/>
    <w:rsid w:val="007F0706"/>
    <w:rsid w:val="007F07BA"/>
    <w:rsid w:val="007F106A"/>
    <w:rsid w:val="007F2A4B"/>
    <w:rsid w:val="007F2DFC"/>
    <w:rsid w:val="007F2F9B"/>
    <w:rsid w:val="007F3A9A"/>
    <w:rsid w:val="007F3B2F"/>
    <w:rsid w:val="007F417A"/>
    <w:rsid w:val="007F46B1"/>
    <w:rsid w:val="007F49FF"/>
    <w:rsid w:val="007F4B65"/>
    <w:rsid w:val="007F4E90"/>
    <w:rsid w:val="007F5BDB"/>
    <w:rsid w:val="007F64B5"/>
    <w:rsid w:val="007F6AFC"/>
    <w:rsid w:val="00800616"/>
    <w:rsid w:val="008016D5"/>
    <w:rsid w:val="00801990"/>
    <w:rsid w:val="00801D69"/>
    <w:rsid w:val="00801DAD"/>
    <w:rsid w:val="00801EA9"/>
    <w:rsid w:val="008020A8"/>
    <w:rsid w:val="0080239C"/>
    <w:rsid w:val="00802F05"/>
    <w:rsid w:val="00803377"/>
    <w:rsid w:val="00804623"/>
    <w:rsid w:val="0080558C"/>
    <w:rsid w:val="0080663F"/>
    <w:rsid w:val="00806CDA"/>
    <w:rsid w:val="00807979"/>
    <w:rsid w:val="008105AB"/>
    <w:rsid w:val="008107F4"/>
    <w:rsid w:val="00811A5C"/>
    <w:rsid w:val="008129CD"/>
    <w:rsid w:val="00812AA3"/>
    <w:rsid w:val="00812B13"/>
    <w:rsid w:val="00812F6F"/>
    <w:rsid w:val="008133C6"/>
    <w:rsid w:val="008136F8"/>
    <w:rsid w:val="00814026"/>
    <w:rsid w:val="0081425D"/>
    <w:rsid w:val="008149A1"/>
    <w:rsid w:val="00814CB0"/>
    <w:rsid w:val="00814F58"/>
    <w:rsid w:val="00815863"/>
    <w:rsid w:val="00815CE2"/>
    <w:rsid w:val="00815D72"/>
    <w:rsid w:val="00815E08"/>
    <w:rsid w:val="00816967"/>
    <w:rsid w:val="008176B6"/>
    <w:rsid w:val="00817B85"/>
    <w:rsid w:val="00820607"/>
    <w:rsid w:val="00820C82"/>
    <w:rsid w:val="00820D62"/>
    <w:rsid w:val="00821013"/>
    <w:rsid w:val="008219B2"/>
    <w:rsid w:val="008232CC"/>
    <w:rsid w:val="0082413D"/>
    <w:rsid w:val="008248CE"/>
    <w:rsid w:val="00824F87"/>
    <w:rsid w:val="0082544B"/>
    <w:rsid w:val="00825F4C"/>
    <w:rsid w:val="008272CB"/>
    <w:rsid w:val="0082730C"/>
    <w:rsid w:val="0082789E"/>
    <w:rsid w:val="0083059A"/>
    <w:rsid w:val="00830B16"/>
    <w:rsid w:val="00830FF0"/>
    <w:rsid w:val="00831B0C"/>
    <w:rsid w:val="008323AA"/>
    <w:rsid w:val="00832EE1"/>
    <w:rsid w:val="00833A1F"/>
    <w:rsid w:val="00833B04"/>
    <w:rsid w:val="008341F8"/>
    <w:rsid w:val="00834791"/>
    <w:rsid w:val="00835F56"/>
    <w:rsid w:val="0083606F"/>
    <w:rsid w:val="00836208"/>
    <w:rsid w:val="0083636B"/>
    <w:rsid w:val="00836C54"/>
    <w:rsid w:val="0084030C"/>
    <w:rsid w:val="00840FB4"/>
    <w:rsid w:val="00841452"/>
    <w:rsid w:val="00842199"/>
    <w:rsid w:val="0084226D"/>
    <w:rsid w:val="00842523"/>
    <w:rsid w:val="008428DA"/>
    <w:rsid w:val="00842B34"/>
    <w:rsid w:val="00842C12"/>
    <w:rsid w:val="00843DFB"/>
    <w:rsid w:val="00843E7A"/>
    <w:rsid w:val="00844435"/>
    <w:rsid w:val="0084525B"/>
    <w:rsid w:val="00845CE4"/>
    <w:rsid w:val="0084658B"/>
    <w:rsid w:val="00846E91"/>
    <w:rsid w:val="008478A4"/>
    <w:rsid w:val="008479A9"/>
    <w:rsid w:val="00847DF7"/>
    <w:rsid w:val="00847E35"/>
    <w:rsid w:val="00847FA1"/>
    <w:rsid w:val="00850609"/>
    <w:rsid w:val="008508D3"/>
    <w:rsid w:val="00851A42"/>
    <w:rsid w:val="0085231F"/>
    <w:rsid w:val="00852FFD"/>
    <w:rsid w:val="008531A5"/>
    <w:rsid w:val="00853380"/>
    <w:rsid w:val="00853BCC"/>
    <w:rsid w:val="00853C8C"/>
    <w:rsid w:val="008541BF"/>
    <w:rsid w:val="008543E0"/>
    <w:rsid w:val="00854E57"/>
    <w:rsid w:val="00855064"/>
    <w:rsid w:val="00856137"/>
    <w:rsid w:val="0085683E"/>
    <w:rsid w:val="00856C04"/>
    <w:rsid w:val="00857757"/>
    <w:rsid w:val="008578EF"/>
    <w:rsid w:val="00857956"/>
    <w:rsid w:val="00857F7F"/>
    <w:rsid w:val="00860C7D"/>
    <w:rsid w:val="0086155A"/>
    <w:rsid w:val="00861A1E"/>
    <w:rsid w:val="00862E31"/>
    <w:rsid w:val="00862E80"/>
    <w:rsid w:val="008632B7"/>
    <w:rsid w:val="00863A68"/>
    <w:rsid w:val="00863CBA"/>
    <w:rsid w:val="00863DAF"/>
    <w:rsid w:val="00864B03"/>
    <w:rsid w:val="00864D57"/>
    <w:rsid w:val="00866841"/>
    <w:rsid w:val="008675CA"/>
    <w:rsid w:val="00867E22"/>
    <w:rsid w:val="00870410"/>
    <w:rsid w:val="008708C2"/>
    <w:rsid w:val="00871F50"/>
    <w:rsid w:val="008721C1"/>
    <w:rsid w:val="00872E42"/>
    <w:rsid w:val="008730CD"/>
    <w:rsid w:val="00873730"/>
    <w:rsid w:val="00873E4A"/>
    <w:rsid w:val="0087472F"/>
    <w:rsid w:val="00874983"/>
    <w:rsid w:val="00874D92"/>
    <w:rsid w:val="00874F2D"/>
    <w:rsid w:val="00875402"/>
    <w:rsid w:val="00875740"/>
    <w:rsid w:val="00875FE4"/>
    <w:rsid w:val="0087723B"/>
    <w:rsid w:val="0087770A"/>
    <w:rsid w:val="0087782B"/>
    <w:rsid w:val="00877B6C"/>
    <w:rsid w:val="008802C2"/>
    <w:rsid w:val="00880AB0"/>
    <w:rsid w:val="00881256"/>
    <w:rsid w:val="00881482"/>
    <w:rsid w:val="00881701"/>
    <w:rsid w:val="00882181"/>
    <w:rsid w:val="00882498"/>
    <w:rsid w:val="00882AFA"/>
    <w:rsid w:val="00883671"/>
    <w:rsid w:val="00883679"/>
    <w:rsid w:val="008839F4"/>
    <w:rsid w:val="008846A4"/>
    <w:rsid w:val="00885785"/>
    <w:rsid w:val="00885D49"/>
    <w:rsid w:val="00886762"/>
    <w:rsid w:val="0088682C"/>
    <w:rsid w:val="008869A3"/>
    <w:rsid w:val="00886B1D"/>
    <w:rsid w:val="00886E2C"/>
    <w:rsid w:val="0088765B"/>
    <w:rsid w:val="008919A8"/>
    <w:rsid w:val="00891A05"/>
    <w:rsid w:val="00891D1F"/>
    <w:rsid w:val="00891E85"/>
    <w:rsid w:val="008926B6"/>
    <w:rsid w:val="00893C57"/>
    <w:rsid w:val="00893F62"/>
    <w:rsid w:val="00894177"/>
    <w:rsid w:val="00894415"/>
    <w:rsid w:val="00894757"/>
    <w:rsid w:val="00894C7A"/>
    <w:rsid w:val="00895275"/>
    <w:rsid w:val="00895BAE"/>
    <w:rsid w:val="00896329"/>
    <w:rsid w:val="0089636F"/>
    <w:rsid w:val="00896494"/>
    <w:rsid w:val="008A08AB"/>
    <w:rsid w:val="008A1483"/>
    <w:rsid w:val="008A1E72"/>
    <w:rsid w:val="008A1F32"/>
    <w:rsid w:val="008A1FDC"/>
    <w:rsid w:val="008A26F0"/>
    <w:rsid w:val="008A2F43"/>
    <w:rsid w:val="008A32E6"/>
    <w:rsid w:val="008A39D9"/>
    <w:rsid w:val="008A3BC3"/>
    <w:rsid w:val="008A3BEF"/>
    <w:rsid w:val="008A457F"/>
    <w:rsid w:val="008A4FFB"/>
    <w:rsid w:val="008A5AF8"/>
    <w:rsid w:val="008A5BC3"/>
    <w:rsid w:val="008A60E8"/>
    <w:rsid w:val="008A6647"/>
    <w:rsid w:val="008A7709"/>
    <w:rsid w:val="008A79D6"/>
    <w:rsid w:val="008A7B41"/>
    <w:rsid w:val="008B03AB"/>
    <w:rsid w:val="008B0A78"/>
    <w:rsid w:val="008B0AB3"/>
    <w:rsid w:val="008B18CA"/>
    <w:rsid w:val="008B1ADE"/>
    <w:rsid w:val="008B245B"/>
    <w:rsid w:val="008B2554"/>
    <w:rsid w:val="008B278A"/>
    <w:rsid w:val="008B3871"/>
    <w:rsid w:val="008B443C"/>
    <w:rsid w:val="008B4486"/>
    <w:rsid w:val="008B453C"/>
    <w:rsid w:val="008B5461"/>
    <w:rsid w:val="008B56F2"/>
    <w:rsid w:val="008B5801"/>
    <w:rsid w:val="008B61E4"/>
    <w:rsid w:val="008B630D"/>
    <w:rsid w:val="008B6839"/>
    <w:rsid w:val="008B685C"/>
    <w:rsid w:val="008B7130"/>
    <w:rsid w:val="008C0177"/>
    <w:rsid w:val="008C0A86"/>
    <w:rsid w:val="008C0B0E"/>
    <w:rsid w:val="008C136E"/>
    <w:rsid w:val="008C2B4F"/>
    <w:rsid w:val="008C304E"/>
    <w:rsid w:val="008C329E"/>
    <w:rsid w:val="008C3319"/>
    <w:rsid w:val="008C3AAA"/>
    <w:rsid w:val="008C46D8"/>
    <w:rsid w:val="008C4AB3"/>
    <w:rsid w:val="008C5B77"/>
    <w:rsid w:val="008C66A9"/>
    <w:rsid w:val="008C676C"/>
    <w:rsid w:val="008C7071"/>
    <w:rsid w:val="008C73CD"/>
    <w:rsid w:val="008C7739"/>
    <w:rsid w:val="008C7C1F"/>
    <w:rsid w:val="008D1A6F"/>
    <w:rsid w:val="008D1AC8"/>
    <w:rsid w:val="008D1FA5"/>
    <w:rsid w:val="008D33F8"/>
    <w:rsid w:val="008D397D"/>
    <w:rsid w:val="008D3F70"/>
    <w:rsid w:val="008D4327"/>
    <w:rsid w:val="008D45B7"/>
    <w:rsid w:val="008D4AFC"/>
    <w:rsid w:val="008D4CCA"/>
    <w:rsid w:val="008D4DAF"/>
    <w:rsid w:val="008D54AD"/>
    <w:rsid w:val="008D5C3C"/>
    <w:rsid w:val="008E02DD"/>
    <w:rsid w:val="008E12A9"/>
    <w:rsid w:val="008E1501"/>
    <w:rsid w:val="008E1892"/>
    <w:rsid w:val="008E2243"/>
    <w:rsid w:val="008E29F4"/>
    <w:rsid w:val="008E33C1"/>
    <w:rsid w:val="008E390C"/>
    <w:rsid w:val="008E39F8"/>
    <w:rsid w:val="008E3E1E"/>
    <w:rsid w:val="008E4189"/>
    <w:rsid w:val="008E45CA"/>
    <w:rsid w:val="008E59FA"/>
    <w:rsid w:val="008E6375"/>
    <w:rsid w:val="008E6C12"/>
    <w:rsid w:val="008E6DAF"/>
    <w:rsid w:val="008E760C"/>
    <w:rsid w:val="008E7850"/>
    <w:rsid w:val="008E7E7F"/>
    <w:rsid w:val="008F027F"/>
    <w:rsid w:val="008F0697"/>
    <w:rsid w:val="008F0B8A"/>
    <w:rsid w:val="008F0C38"/>
    <w:rsid w:val="008F204E"/>
    <w:rsid w:val="008F2178"/>
    <w:rsid w:val="008F29A1"/>
    <w:rsid w:val="008F3E64"/>
    <w:rsid w:val="008F48F4"/>
    <w:rsid w:val="008F4F4C"/>
    <w:rsid w:val="008F4F60"/>
    <w:rsid w:val="008F526C"/>
    <w:rsid w:val="008F5F8A"/>
    <w:rsid w:val="008F7542"/>
    <w:rsid w:val="008F76AF"/>
    <w:rsid w:val="008F7B37"/>
    <w:rsid w:val="008F7EB1"/>
    <w:rsid w:val="00900278"/>
    <w:rsid w:val="009008CB"/>
    <w:rsid w:val="00900E81"/>
    <w:rsid w:val="00901F83"/>
    <w:rsid w:val="00901F8D"/>
    <w:rsid w:val="00902998"/>
    <w:rsid w:val="00903842"/>
    <w:rsid w:val="00903FE5"/>
    <w:rsid w:val="00904404"/>
    <w:rsid w:val="00904D0D"/>
    <w:rsid w:val="009054AC"/>
    <w:rsid w:val="0090587F"/>
    <w:rsid w:val="009063A1"/>
    <w:rsid w:val="00906401"/>
    <w:rsid w:val="00906CCD"/>
    <w:rsid w:val="0090795B"/>
    <w:rsid w:val="00910304"/>
    <w:rsid w:val="009107BC"/>
    <w:rsid w:val="00910C8D"/>
    <w:rsid w:val="00910E2B"/>
    <w:rsid w:val="0091143F"/>
    <w:rsid w:val="00911D94"/>
    <w:rsid w:val="00913EF6"/>
    <w:rsid w:val="00914F8F"/>
    <w:rsid w:val="00915349"/>
    <w:rsid w:val="00915430"/>
    <w:rsid w:val="00915460"/>
    <w:rsid w:val="00915B68"/>
    <w:rsid w:val="00916937"/>
    <w:rsid w:val="009172AE"/>
    <w:rsid w:val="0091736F"/>
    <w:rsid w:val="00917ABD"/>
    <w:rsid w:val="0092119C"/>
    <w:rsid w:val="009223A5"/>
    <w:rsid w:val="009228E2"/>
    <w:rsid w:val="009229AB"/>
    <w:rsid w:val="00922DF9"/>
    <w:rsid w:val="00923503"/>
    <w:rsid w:val="0092390E"/>
    <w:rsid w:val="00923AC3"/>
    <w:rsid w:val="009243D7"/>
    <w:rsid w:val="00924BFA"/>
    <w:rsid w:val="00924E7D"/>
    <w:rsid w:val="00925068"/>
    <w:rsid w:val="009252E3"/>
    <w:rsid w:val="00925990"/>
    <w:rsid w:val="009266D4"/>
    <w:rsid w:val="00926DFD"/>
    <w:rsid w:val="00927247"/>
    <w:rsid w:val="0093037A"/>
    <w:rsid w:val="00930CA0"/>
    <w:rsid w:val="009321C7"/>
    <w:rsid w:val="0093228C"/>
    <w:rsid w:val="009327A1"/>
    <w:rsid w:val="009329A2"/>
    <w:rsid w:val="00933602"/>
    <w:rsid w:val="00933E46"/>
    <w:rsid w:val="00934B7C"/>
    <w:rsid w:val="00934CDA"/>
    <w:rsid w:val="0093653A"/>
    <w:rsid w:val="009365B9"/>
    <w:rsid w:val="00936761"/>
    <w:rsid w:val="00937B0B"/>
    <w:rsid w:val="00940369"/>
    <w:rsid w:val="00940CB6"/>
    <w:rsid w:val="00940FE7"/>
    <w:rsid w:val="00941C3D"/>
    <w:rsid w:val="00941E11"/>
    <w:rsid w:val="00941F56"/>
    <w:rsid w:val="009423AF"/>
    <w:rsid w:val="009424F0"/>
    <w:rsid w:val="00942E00"/>
    <w:rsid w:val="00942FAC"/>
    <w:rsid w:val="009431E2"/>
    <w:rsid w:val="0094388C"/>
    <w:rsid w:val="00944015"/>
    <w:rsid w:val="0094423F"/>
    <w:rsid w:val="009442A5"/>
    <w:rsid w:val="0094438A"/>
    <w:rsid w:val="00944B62"/>
    <w:rsid w:val="00945158"/>
    <w:rsid w:val="00946251"/>
    <w:rsid w:val="009462CA"/>
    <w:rsid w:val="00946425"/>
    <w:rsid w:val="00946729"/>
    <w:rsid w:val="00946CD6"/>
    <w:rsid w:val="00947007"/>
    <w:rsid w:val="00947704"/>
    <w:rsid w:val="00950128"/>
    <w:rsid w:val="00952D89"/>
    <w:rsid w:val="00952EA3"/>
    <w:rsid w:val="0095349A"/>
    <w:rsid w:val="00954E4D"/>
    <w:rsid w:val="0095619F"/>
    <w:rsid w:val="00956288"/>
    <w:rsid w:val="00956719"/>
    <w:rsid w:val="009576B4"/>
    <w:rsid w:val="00960B3D"/>
    <w:rsid w:val="00962DCC"/>
    <w:rsid w:val="009641D7"/>
    <w:rsid w:val="009642EE"/>
    <w:rsid w:val="009643E9"/>
    <w:rsid w:val="00964701"/>
    <w:rsid w:val="009647FE"/>
    <w:rsid w:val="00964FA6"/>
    <w:rsid w:val="0096707A"/>
    <w:rsid w:val="00967AF7"/>
    <w:rsid w:val="00970317"/>
    <w:rsid w:val="009710F9"/>
    <w:rsid w:val="00971135"/>
    <w:rsid w:val="00971E77"/>
    <w:rsid w:val="00972144"/>
    <w:rsid w:val="00972E32"/>
    <w:rsid w:val="00972EAD"/>
    <w:rsid w:val="009736C6"/>
    <w:rsid w:val="009738A7"/>
    <w:rsid w:val="00973CB6"/>
    <w:rsid w:val="00973D23"/>
    <w:rsid w:val="009742EC"/>
    <w:rsid w:val="009750BB"/>
    <w:rsid w:val="00975346"/>
    <w:rsid w:val="00975417"/>
    <w:rsid w:val="00975751"/>
    <w:rsid w:val="009759DC"/>
    <w:rsid w:val="009762FD"/>
    <w:rsid w:val="009764D8"/>
    <w:rsid w:val="009768A4"/>
    <w:rsid w:val="0097735E"/>
    <w:rsid w:val="00980135"/>
    <w:rsid w:val="00980B55"/>
    <w:rsid w:val="00981165"/>
    <w:rsid w:val="00981538"/>
    <w:rsid w:val="0098197A"/>
    <w:rsid w:val="00981D14"/>
    <w:rsid w:val="00984616"/>
    <w:rsid w:val="00984A7D"/>
    <w:rsid w:val="00984ADF"/>
    <w:rsid w:val="0098511E"/>
    <w:rsid w:val="00985272"/>
    <w:rsid w:val="0098632A"/>
    <w:rsid w:val="009867CD"/>
    <w:rsid w:val="00986D0A"/>
    <w:rsid w:val="00990469"/>
    <w:rsid w:val="00990545"/>
    <w:rsid w:val="00990F01"/>
    <w:rsid w:val="009910F5"/>
    <w:rsid w:val="00991AA3"/>
    <w:rsid w:val="00991BC9"/>
    <w:rsid w:val="0099217C"/>
    <w:rsid w:val="009929E0"/>
    <w:rsid w:val="00992D70"/>
    <w:rsid w:val="00993388"/>
    <w:rsid w:val="0099347F"/>
    <w:rsid w:val="00993BAC"/>
    <w:rsid w:val="00993D90"/>
    <w:rsid w:val="009940BD"/>
    <w:rsid w:val="009941F5"/>
    <w:rsid w:val="00994ABE"/>
    <w:rsid w:val="009955F1"/>
    <w:rsid w:val="00995BB0"/>
    <w:rsid w:val="00995F2A"/>
    <w:rsid w:val="00996667"/>
    <w:rsid w:val="00997577"/>
    <w:rsid w:val="0099784B"/>
    <w:rsid w:val="00997927"/>
    <w:rsid w:val="00997BC5"/>
    <w:rsid w:val="009A003F"/>
    <w:rsid w:val="009A0A2F"/>
    <w:rsid w:val="009A2861"/>
    <w:rsid w:val="009A3932"/>
    <w:rsid w:val="009A3B08"/>
    <w:rsid w:val="009A4CBD"/>
    <w:rsid w:val="009A4F67"/>
    <w:rsid w:val="009A5268"/>
    <w:rsid w:val="009A536F"/>
    <w:rsid w:val="009A561F"/>
    <w:rsid w:val="009A57FA"/>
    <w:rsid w:val="009A5E6B"/>
    <w:rsid w:val="009A5E9A"/>
    <w:rsid w:val="009A5FAF"/>
    <w:rsid w:val="009A612C"/>
    <w:rsid w:val="009A688B"/>
    <w:rsid w:val="009A6FB1"/>
    <w:rsid w:val="009A7CC8"/>
    <w:rsid w:val="009B016A"/>
    <w:rsid w:val="009B0829"/>
    <w:rsid w:val="009B0936"/>
    <w:rsid w:val="009B0FC2"/>
    <w:rsid w:val="009B1088"/>
    <w:rsid w:val="009B1D97"/>
    <w:rsid w:val="009B226D"/>
    <w:rsid w:val="009B2507"/>
    <w:rsid w:val="009B2BA2"/>
    <w:rsid w:val="009B3EA3"/>
    <w:rsid w:val="009B3EB0"/>
    <w:rsid w:val="009B3F18"/>
    <w:rsid w:val="009B4B7E"/>
    <w:rsid w:val="009B5C91"/>
    <w:rsid w:val="009C090B"/>
    <w:rsid w:val="009C0965"/>
    <w:rsid w:val="009C0FF4"/>
    <w:rsid w:val="009C1B1F"/>
    <w:rsid w:val="009C2BC5"/>
    <w:rsid w:val="009C2D01"/>
    <w:rsid w:val="009C2E16"/>
    <w:rsid w:val="009C419B"/>
    <w:rsid w:val="009C49E9"/>
    <w:rsid w:val="009C5584"/>
    <w:rsid w:val="009C576E"/>
    <w:rsid w:val="009C68E1"/>
    <w:rsid w:val="009C6E84"/>
    <w:rsid w:val="009C75C8"/>
    <w:rsid w:val="009C75F9"/>
    <w:rsid w:val="009D03FB"/>
    <w:rsid w:val="009D0493"/>
    <w:rsid w:val="009D0E81"/>
    <w:rsid w:val="009D1592"/>
    <w:rsid w:val="009D182C"/>
    <w:rsid w:val="009D1899"/>
    <w:rsid w:val="009D18DB"/>
    <w:rsid w:val="009D2973"/>
    <w:rsid w:val="009D3B86"/>
    <w:rsid w:val="009D3B8E"/>
    <w:rsid w:val="009D4AA0"/>
    <w:rsid w:val="009D5080"/>
    <w:rsid w:val="009D5C5A"/>
    <w:rsid w:val="009D5D22"/>
    <w:rsid w:val="009D6033"/>
    <w:rsid w:val="009D6B2F"/>
    <w:rsid w:val="009D6FD7"/>
    <w:rsid w:val="009D7A83"/>
    <w:rsid w:val="009D7E6A"/>
    <w:rsid w:val="009D7F56"/>
    <w:rsid w:val="009E0103"/>
    <w:rsid w:val="009E08D1"/>
    <w:rsid w:val="009E0984"/>
    <w:rsid w:val="009E19E9"/>
    <w:rsid w:val="009E1A02"/>
    <w:rsid w:val="009E1ED4"/>
    <w:rsid w:val="009E22F4"/>
    <w:rsid w:val="009E2429"/>
    <w:rsid w:val="009E24E4"/>
    <w:rsid w:val="009E3A21"/>
    <w:rsid w:val="009E3AA6"/>
    <w:rsid w:val="009E3E03"/>
    <w:rsid w:val="009E3F49"/>
    <w:rsid w:val="009E46CA"/>
    <w:rsid w:val="009E52F3"/>
    <w:rsid w:val="009E5468"/>
    <w:rsid w:val="009E617F"/>
    <w:rsid w:val="009E76C1"/>
    <w:rsid w:val="009E7B38"/>
    <w:rsid w:val="009F197A"/>
    <w:rsid w:val="009F2A28"/>
    <w:rsid w:val="009F2DD1"/>
    <w:rsid w:val="009F2E91"/>
    <w:rsid w:val="009F4B5D"/>
    <w:rsid w:val="009F4F68"/>
    <w:rsid w:val="009F545C"/>
    <w:rsid w:val="009F6AD2"/>
    <w:rsid w:val="009F6DC7"/>
    <w:rsid w:val="009F78BD"/>
    <w:rsid w:val="009F7BF5"/>
    <w:rsid w:val="00A00C60"/>
    <w:rsid w:val="00A01B34"/>
    <w:rsid w:val="00A023B0"/>
    <w:rsid w:val="00A0242A"/>
    <w:rsid w:val="00A02585"/>
    <w:rsid w:val="00A029E6"/>
    <w:rsid w:val="00A0365F"/>
    <w:rsid w:val="00A03BEF"/>
    <w:rsid w:val="00A03D2C"/>
    <w:rsid w:val="00A04E9E"/>
    <w:rsid w:val="00A05083"/>
    <w:rsid w:val="00A05498"/>
    <w:rsid w:val="00A05782"/>
    <w:rsid w:val="00A0611D"/>
    <w:rsid w:val="00A07E3F"/>
    <w:rsid w:val="00A100D6"/>
    <w:rsid w:val="00A1058F"/>
    <w:rsid w:val="00A1060C"/>
    <w:rsid w:val="00A10787"/>
    <w:rsid w:val="00A11C8A"/>
    <w:rsid w:val="00A121DA"/>
    <w:rsid w:val="00A122B6"/>
    <w:rsid w:val="00A1269B"/>
    <w:rsid w:val="00A127B7"/>
    <w:rsid w:val="00A12921"/>
    <w:rsid w:val="00A12DB5"/>
    <w:rsid w:val="00A13688"/>
    <w:rsid w:val="00A13AD2"/>
    <w:rsid w:val="00A1488F"/>
    <w:rsid w:val="00A148FD"/>
    <w:rsid w:val="00A14C9B"/>
    <w:rsid w:val="00A1538C"/>
    <w:rsid w:val="00A1684D"/>
    <w:rsid w:val="00A17324"/>
    <w:rsid w:val="00A201E9"/>
    <w:rsid w:val="00A21571"/>
    <w:rsid w:val="00A22572"/>
    <w:rsid w:val="00A226D8"/>
    <w:rsid w:val="00A23586"/>
    <w:rsid w:val="00A23AA2"/>
    <w:rsid w:val="00A23CAC"/>
    <w:rsid w:val="00A23D65"/>
    <w:rsid w:val="00A243E3"/>
    <w:rsid w:val="00A24BAC"/>
    <w:rsid w:val="00A24FAA"/>
    <w:rsid w:val="00A25A67"/>
    <w:rsid w:val="00A2613D"/>
    <w:rsid w:val="00A267D5"/>
    <w:rsid w:val="00A2712B"/>
    <w:rsid w:val="00A27683"/>
    <w:rsid w:val="00A276C0"/>
    <w:rsid w:val="00A30FAC"/>
    <w:rsid w:val="00A32585"/>
    <w:rsid w:val="00A329A7"/>
    <w:rsid w:val="00A33148"/>
    <w:rsid w:val="00A346FF"/>
    <w:rsid w:val="00A35209"/>
    <w:rsid w:val="00A364B7"/>
    <w:rsid w:val="00A36563"/>
    <w:rsid w:val="00A36C77"/>
    <w:rsid w:val="00A36D87"/>
    <w:rsid w:val="00A37A72"/>
    <w:rsid w:val="00A37A7F"/>
    <w:rsid w:val="00A412A2"/>
    <w:rsid w:val="00A421E3"/>
    <w:rsid w:val="00A42468"/>
    <w:rsid w:val="00A42E41"/>
    <w:rsid w:val="00A43566"/>
    <w:rsid w:val="00A43B0F"/>
    <w:rsid w:val="00A44162"/>
    <w:rsid w:val="00A44BF1"/>
    <w:rsid w:val="00A4532C"/>
    <w:rsid w:val="00A453C9"/>
    <w:rsid w:val="00A4555A"/>
    <w:rsid w:val="00A45582"/>
    <w:rsid w:val="00A45745"/>
    <w:rsid w:val="00A462C2"/>
    <w:rsid w:val="00A46CD8"/>
    <w:rsid w:val="00A46DA1"/>
    <w:rsid w:val="00A470E4"/>
    <w:rsid w:val="00A50488"/>
    <w:rsid w:val="00A50686"/>
    <w:rsid w:val="00A50B86"/>
    <w:rsid w:val="00A50C34"/>
    <w:rsid w:val="00A51092"/>
    <w:rsid w:val="00A52F0D"/>
    <w:rsid w:val="00A53307"/>
    <w:rsid w:val="00A539DE"/>
    <w:rsid w:val="00A53BE7"/>
    <w:rsid w:val="00A53E5A"/>
    <w:rsid w:val="00A53F33"/>
    <w:rsid w:val="00A54322"/>
    <w:rsid w:val="00A55603"/>
    <w:rsid w:val="00A557FA"/>
    <w:rsid w:val="00A559B3"/>
    <w:rsid w:val="00A5697F"/>
    <w:rsid w:val="00A5748B"/>
    <w:rsid w:val="00A57836"/>
    <w:rsid w:val="00A578CE"/>
    <w:rsid w:val="00A579EE"/>
    <w:rsid w:val="00A6047A"/>
    <w:rsid w:val="00A60ECD"/>
    <w:rsid w:val="00A614DB"/>
    <w:rsid w:val="00A61AC2"/>
    <w:rsid w:val="00A61CBF"/>
    <w:rsid w:val="00A628C4"/>
    <w:rsid w:val="00A630B1"/>
    <w:rsid w:val="00A6340C"/>
    <w:rsid w:val="00A6342B"/>
    <w:rsid w:val="00A639A1"/>
    <w:rsid w:val="00A63B0E"/>
    <w:rsid w:val="00A63B8A"/>
    <w:rsid w:val="00A63B9E"/>
    <w:rsid w:val="00A6434F"/>
    <w:rsid w:val="00A6481F"/>
    <w:rsid w:val="00A64FBB"/>
    <w:rsid w:val="00A651D0"/>
    <w:rsid w:val="00A65AC7"/>
    <w:rsid w:val="00A65C26"/>
    <w:rsid w:val="00A66E95"/>
    <w:rsid w:val="00A66EB1"/>
    <w:rsid w:val="00A67429"/>
    <w:rsid w:val="00A67846"/>
    <w:rsid w:val="00A67F89"/>
    <w:rsid w:val="00A700AC"/>
    <w:rsid w:val="00A70483"/>
    <w:rsid w:val="00A706AE"/>
    <w:rsid w:val="00A70FA1"/>
    <w:rsid w:val="00A717A4"/>
    <w:rsid w:val="00A7311A"/>
    <w:rsid w:val="00A731B1"/>
    <w:rsid w:val="00A733AD"/>
    <w:rsid w:val="00A736DE"/>
    <w:rsid w:val="00A73942"/>
    <w:rsid w:val="00A73A1E"/>
    <w:rsid w:val="00A741A0"/>
    <w:rsid w:val="00A749B5"/>
    <w:rsid w:val="00A75E91"/>
    <w:rsid w:val="00A76BDB"/>
    <w:rsid w:val="00A77BC4"/>
    <w:rsid w:val="00A77DAD"/>
    <w:rsid w:val="00A81104"/>
    <w:rsid w:val="00A8204A"/>
    <w:rsid w:val="00A82895"/>
    <w:rsid w:val="00A82D0B"/>
    <w:rsid w:val="00A82EB2"/>
    <w:rsid w:val="00A851C1"/>
    <w:rsid w:val="00A85BF2"/>
    <w:rsid w:val="00A8699C"/>
    <w:rsid w:val="00A86B56"/>
    <w:rsid w:val="00A86E44"/>
    <w:rsid w:val="00A873D5"/>
    <w:rsid w:val="00A876C1"/>
    <w:rsid w:val="00A8774B"/>
    <w:rsid w:val="00A9040C"/>
    <w:rsid w:val="00A90520"/>
    <w:rsid w:val="00A91965"/>
    <w:rsid w:val="00A91B24"/>
    <w:rsid w:val="00A923A6"/>
    <w:rsid w:val="00A9329C"/>
    <w:rsid w:val="00A93707"/>
    <w:rsid w:val="00A937AB"/>
    <w:rsid w:val="00A937C6"/>
    <w:rsid w:val="00A942F9"/>
    <w:rsid w:val="00A948F7"/>
    <w:rsid w:val="00A949CC"/>
    <w:rsid w:val="00A94A3E"/>
    <w:rsid w:val="00A94BD8"/>
    <w:rsid w:val="00A9557B"/>
    <w:rsid w:val="00A95592"/>
    <w:rsid w:val="00A96451"/>
    <w:rsid w:val="00A96B9C"/>
    <w:rsid w:val="00A96C92"/>
    <w:rsid w:val="00A96D86"/>
    <w:rsid w:val="00A97115"/>
    <w:rsid w:val="00A9716E"/>
    <w:rsid w:val="00A97EED"/>
    <w:rsid w:val="00AA0276"/>
    <w:rsid w:val="00AA0DD7"/>
    <w:rsid w:val="00AA184D"/>
    <w:rsid w:val="00AA18C7"/>
    <w:rsid w:val="00AA2165"/>
    <w:rsid w:val="00AA2432"/>
    <w:rsid w:val="00AA2544"/>
    <w:rsid w:val="00AA2642"/>
    <w:rsid w:val="00AA38D8"/>
    <w:rsid w:val="00AA3F16"/>
    <w:rsid w:val="00AA4A90"/>
    <w:rsid w:val="00AA529C"/>
    <w:rsid w:val="00AA6DE3"/>
    <w:rsid w:val="00AB0477"/>
    <w:rsid w:val="00AB0869"/>
    <w:rsid w:val="00AB093B"/>
    <w:rsid w:val="00AB10E7"/>
    <w:rsid w:val="00AB1E32"/>
    <w:rsid w:val="00AB21F6"/>
    <w:rsid w:val="00AB2C68"/>
    <w:rsid w:val="00AB2EA4"/>
    <w:rsid w:val="00AB32B6"/>
    <w:rsid w:val="00AB3A70"/>
    <w:rsid w:val="00AB4F37"/>
    <w:rsid w:val="00AB508C"/>
    <w:rsid w:val="00AB5672"/>
    <w:rsid w:val="00AB581F"/>
    <w:rsid w:val="00AB60F7"/>
    <w:rsid w:val="00AB6769"/>
    <w:rsid w:val="00AB68A8"/>
    <w:rsid w:val="00AB6975"/>
    <w:rsid w:val="00AB7135"/>
    <w:rsid w:val="00AB729A"/>
    <w:rsid w:val="00AB7682"/>
    <w:rsid w:val="00AB7B2A"/>
    <w:rsid w:val="00AB7F63"/>
    <w:rsid w:val="00AC1201"/>
    <w:rsid w:val="00AC282A"/>
    <w:rsid w:val="00AC2E68"/>
    <w:rsid w:val="00AC378B"/>
    <w:rsid w:val="00AC3D22"/>
    <w:rsid w:val="00AC3E15"/>
    <w:rsid w:val="00AC402A"/>
    <w:rsid w:val="00AC4071"/>
    <w:rsid w:val="00AC4401"/>
    <w:rsid w:val="00AC4A03"/>
    <w:rsid w:val="00AC52B5"/>
    <w:rsid w:val="00AC5A1F"/>
    <w:rsid w:val="00AC615D"/>
    <w:rsid w:val="00AC61F1"/>
    <w:rsid w:val="00AC6351"/>
    <w:rsid w:val="00AC7F46"/>
    <w:rsid w:val="00AD05CB"/>
    <w:rsid w:val="00AD0C5B"/>
    <w:rsid w:val="00AD1731"/>
    <w:rsid w:val="00AD264C"/>
    <w:rsid w:val="00AD2DD4"/>
    <w:rsid w:val="00AD3019"/>
    <w:rsid w:val="00AD3C3D"/>
    <w:rsid w:val="00AD4422"/>
    <w:rsid w:val="00AD48BC"/>
    <w:rsid w:val="00AD4DFE"/>
    <w:rsid w:val="00AD5324"/>
    <w:rsid w:val="00AD63E2"/>
    <w:rsid w:val="00AD6890"/>
    <w:rsid w:val="00AD7725"/>
    <w:rsid w:val="00AE07A5"/>
    <w:rsid w:val="00AE0AB0"/>
    <w:rsid w:val="00AE0C69"/>
    <w:rsid w:val="00AE1584"/>
    <w:rsid w:val="00AE1B31"/>
    <w:rsid w:val="00AE1CFA"/>
    <w:rsid w:val="00AE253F"/>
    <w:rsid w:val="00AE34DD"/>
    <w:rsid w:val="00AE353D"/>
    <w:rsid w:val="00AE3AA9"/>
    <w:rsid w:val="00AE4164"/>
    <w:rsid w:val="00AE4D1A"/>
    <w:rsid w:val="00AE757B"/>
    <w:rsid w:val="00AF0371"/>
    <w:rsid w:val="00AF1EF8"/>
    <w:rsid w:val="00AF273F"/>
    <w:rsid w:val="00AF28E9"/>
    <w:rsid w:val="00AF33C8"/>
    <w:rsid w:val="00AF3B93"/>
    <w:rsid w:val="00AF4838"/>
    <w:rsid w:val="00AF4F5F"/>
    <w:rsid w:val="00AF6B6B"/>
    <w:rsid w:val="00AF71AA"/>
    <w:rsid w:val="00AF7AC3"/>
    <w:rsid w:val="00AF7EE9"/>
    <w:rsid w:val="00B002B9"/>
    <w:rsid w:val="00B009F1"/>
    <w:rsid w:val="00B00F42"/>
    <w:rsid w:val="00B0106B"/>
    <w:rsid w:val="00B01638"/>
    <w:rsid w:val="00B01A30"/>
    <w:rsid w:val="00B01FAB"/>
    <w:rsid w:val="00B02D7E"/>
    <w:rsid w:val="00B03096"/>
    <w:rsid w:val="00B03385"/>
    <w:rsid w:val="00B03B2F"/>
    <w:rsid w:val="00B05C88"/>
    <w:rsid w:val="00B05F6E"/>
    <w:rsid w:val="00B06715"/>
    <w:rsid w:val="00B06A8F"/>
    <w:rsid w:val="00B07C55"/>
    <w:rsid w:val="00B100E8"/>
    <w:rsid w:val="00B10729"/>
    <w:rsid w:val="00B10DD1"/>
    <w:rsid w:val="00B11150"/>
    <w:rsid w:val="00B116F4"/>
    <w:rsid w:val="00B11F5B"/>
    <w:rsid w:val="00B1202F"/>
    <w:rsid w:val="00B122AD"/>
    <w:rsid w:val="00B12D7E"/>
    <w:rsid w:val="00B13055"/>
    <w:rsid w:val="00B131A6"/>
    <w:rsid w:val="00B13556"/>
    <w:rsid w:val="00B13B8F"/>
    <w:rsid w:val="00B13F59"/>
    <w:rsid w:val="00B14BD3"/>
    <w:rsid w:val="00B1527A"/>
    <w:rsid w:val="00B15B5D"/>
    <w:rsid w:val="00B15C9B"/>
    <w:rsid w:val="00B17366"/>
    <w:rsid w:val="00B1764B"/>
    <w:rsid w:val="00B20094"/>
    <w:rsid w:val="00B201A7"/>
    <w:rsid w:val="00B20C73"/>
    <w:rsid w:val="00B20DBD"/>
    <w:rsid w:val="00B20E0E"/>
    <w:rsid w:val="00B20F70"/>
    <w:rsid w:val="00B21993"/>
    <w:rsid w:val="00B21A85"/>
    <w:rsid w:val="00B22185"/>
    <w:rsid w:val="00B22CA9"/>
    <w:rsid w:val="00B22D67"/>
    <w:rsid w:val="00B2337E"/>
    <w:rsid w:val="00B23453"/>
    <w:rsid w:val="00B244C9"/>
    <w:rsid w:val="00B24828"/>
    <w:rsid w:val="00B254CB"/>
    <w:rsid w:val="00B2616E"/>
    <w:rsid w:val="00B263B9"/>
    <w:rsid w:val="00B263D6"/>
    <w:rsid w:val="00B263D7"/>
    <w:rsid w:val="00B264DE"/>
    <w:rsid w:val="00B26862"/>
    <w:rsid w:val="00B272F8"/>
    <w:rsid w:val="00B27D20"/>
    <w:rsid w:val="00B30025"/>
    <w:rsid w:val="00B30A45"/>
    <w:rsid w:val="00B30EEF"/>
    <w:rsid w:val="00B3207D"/>
    <w:rsid w:val="00B32CDF"/>
    <w:rsid w:val="00B339A8"/>
    <w:rsid w:val="00B34360"/>
    <w:rsid w:val="00B34D15"/>
    <w:rsid w:val="00B34D29"/>
    <w:rsid w:val="00B35EB0"/>
    <w:rsid w:val="00B36253"/>
    <w:rsid w:val="00B369E3"/>
    <w:rsid w:val="00B36A97"/>
    <w:rsid w:val="00B370D6"/>
    <w:rsid w:val="00B37251"/>
    <w:rsid w:val="00B3732B"/>
    <w:rsid w:val="00B37BB0"/>
    <w:rsid w:val="00B37D9F"/>
    <w:rsid w:val="00B4043E"/>
    <w:rsid w:val="00B406C9"/>
    <w:rsid w:val="00B40B69"/>
    <w:rsid w:val="00B40D69"/>
    <w:rsid w:val="00B4187E"/>
    <w:rsid w:val="00B42CDC"/>
    <w:rsid w:val="00B443FC"/>
    <w:rsid w:val="00B444A8"/>
    <w:rsid w:val="00B445A5"/>
    <w:rsid w:val="00B44D2C"/>
    <w:rsid w:val="00B460EA"/>
    <w:rsid w:val="00B4663F"/>
    <w:rsid w:val="00B4764E"/>
    <w:rsid w:val="00B51739"/>
    <w:rsid w:val="00B53D71"/>
    <w:rsid w:val="00B55AEC"/>
    <w:rsid w:val="00B55B53"/>
    <w:rsid w:val="00B55FB9"/>
    <w:rsid w:val="00B571B0"/>
    <w:rsid w:val="00B57582"/>
    <w:rsid w:val="00B57B3C"/>
    <w:rsid w:val="00B60069"/>
    <w:rsid w:val="00B626CF"/>
    <w:rsid w:val="00B629BA"/>
    <w:rsid w:val="00B636FE"/>
    <w:rsid w:val="00B65931"/>
    <w:rsid w:val="00B7115A"/>
    <w:rsid w:val="00B717AA"/>
    <w:rsid w:val="00B71F7C"/>
    <w:rsid w:val="00B72145"/>
    <w:rsid w:val="00B721A3"/>
    <w:rsid w:val="00B7244F"/>
    <w:rsid w:val="00B7305D"/>
    <w:rsid w:val="00B7321C"/>
    <w:rsid w:val="00B736A8"/>
    <w:rsid w:val="00B73A00"/>
    <w:rsid w:val="00B73C80"/>
    <w:rsid w:val="00B73DA0"/>
    <w:rsid w:val="00B75BFA"/>
    <w:rsid w:val="00B75C71"/>
    <w:rsid w:val="00B76300"/>
    <w:rsid w:val="00B76675"/>
    <w:rsid w:val="00B76B2E"/>
    <w:rsid w:val="00B76E39"/>
    <w:rsid w:val="00B76F64"/>
    <w:rsid w:val="00B7791C"/>
    <w:rsid w:val="00B77A3B"/>
    <w:rsid w:val="00B77B9B"/>
    <w:rsid w:val="00B77F94"/>
    <w:rsid w:val="00B80475"/>
    <w:rsid w:val="00B80D36"/>
    <w:rsid w:val="00B81296"/>
    <w:rsid w:val="00B81524"/>
    <w:rsid w:val="00B81592"/>
    <w:rsid w:val="00B81796"/>
    <w:rsid w:val="00B81B25"/>
    <w:rsid w:val="00B81F7B"/>
    <w:rsid w:val="00B82A7F"/>
    <w:rsid w:val="00B82CA2"/>
    <w:rsid w:val="00B82ED1"/>
    <w:rsid w:val="00B82F72"/>
    <w:rsid w:val="00B83304"/>
    <w:rsid w:val="00B833A9"/>
    <w:rsid w:val="00B834AB"/>
    <w:rsid w:val="00B83B1E"/>
    <w:rsid w:val="00B83CB0"/>
    <w:rsid w:val="00B84FB1"/>
    <w:rsid w:val="00B85033"/>
    <w:rsid w:val="00B86990"/>
    <w:rsid w:val="00B869CE"/>
    <w:rsid w:val="00B90444"/>
    <w:rsid w:val="00B914EE"/>
    <w:rsid w:val="00B91A47"/>
    <w:rsid w:val="00B91D7B"/>
    <w:rsid w:val="00B92798"/>
    <w:rsid w:val="00B92D1E"/>
    <w:rsid w:val="00B9328B"/>
    <w:rsid w:val="00B93520"/>
    <w:rsid w:val="00B93621"/>
    <w:rsid w:val="00B93E8C"/>
    <w:rsid w:val="00B93F0E"/>
    <w:rsid w:val="00B94F6C"/>
    <w:rsid w:val="00B957C5"/>
    <w:rsid w:val="00B9589A"/>
    <w:rsid w:val="00B97429"/>
    <w:rsid w:val="00B97967"/>
    <w:rsid w:val="00B97E92"/>
    <w:rsid w:val="00BA0C11"/>
    <w:rsid w:val="00BA0E4C"/>
    <w:rsid w:val="00BA15B8"/>
    <w:rsid w:val="00BA1975"/>
    <w:rsid w:val="00BA1B34"/>
    <w:rsid w:val="00BA1EE8"/>
    <w:rsid w:val="00BA2405"/>
    <w:rsid w:val="00BA2538"/>
    <w:rsid w:val="00BA28C8"/>
    <w:rsid w:val="00BA3A5D"/>
    <w:rsid w:val="00BA3E37"/>
    <w:rsid w:val="00BA429F"/>
    <w:rsid w:val="00BA47EE"/>
    <w:rsid w:val="00BA483A"/>
    <w:rsid w:val="00BA4F78"/>
    <w:rsid w:val="00BA5086"/>
    <w:rsid w:val="00BA5B33"/>
    <w:rsid w:val="00BA5C26"/>
    <w:rsid w:val="00BA5C56"/>
    <w:rsid w:val="00BA64A9"/>
    <w:rsid w:val="00BA68A7"/>
    <w:rsid w:val="00BA6EA9"/>
    <w:rsid w:val="00BA6FE6"/>
    <w:rsid w:val="00BA6FF5"/>
    <w:rsid w:val="00BA7258"/>
    <w:rsid w:val="00BA7C8F"/>
    <w:rsid w:val="00BB0535"/>
    <w:rsid w:val="00BB08B9"/>
    <w:rsid w:val="00BB1AA7"/>
    <w:rsid w:val="00BB2403"/>
    <w:rsid w:val="00BB28B5"/>
    <w:rsid w:val="00BB2CAA"/>
    <w:rsid w:val="00BB3163"/>
    <w:rsid w:val="00BB39D6"/>
    <w:rsid w:val="00BB56D8"/>
    <w:rsid w:val="00BB590B"/>
    <w:rsid w:val="00BB5A31"/>
    <w:rsid w:val="00BB6CD8"/>
    <w:rsid w:val="00BB6D22"/>
    <w:rsid w:val="00BB78C6"/>
    <w:rsid w:val="00BB7E66"/>
    <w:rsid w:val="00BC05AE"/>
    <w:rsid w:val="00BC0C4F"/>
    <w:rsid w:val="00BC1AFE"/>
    <w:rsid w:val="00BC1CB0"/>
    <w:rsid w:val="00BC1D61"/>
    <w:rsid w:val="00BC2E8B"/>
    <w:rsid w:val="00BC2F8B"/>
    <w:rsid w:val="00BC3B9D"/>
    <w:rsid w:val="00BC3CE6"/>
    <w:rsid w:val="00BC3F4F"/>
    <w:rsid w:val="00BC4CE4"/>
    <w:rsid w:val="00BC585E"/>
    <w:rsid w:val="00BC5EC1"/>
    <w:rsid w:val="00BC73BE"/>
    <w:rsid w:val="00BC74F3"/>
    <w:rsid w:val="00BC7EDB"/>
    <w:rsid w:val="00BD0222"/>
    <w:rsid w:val="00BD1B04"/>
    <w:rsid w:val="00BD275D"/>
    <w:rsid w:val="00BD28A6"/>
    <w:rsid w:val="00BD3167"/>
    <w:rsid w:val="00BD361B"/>
    <w:rsid w:val="00BD3B96"/>
    <w:rsid w:val="00BD4E90"/>
    <w:rsid w:val="00BD5B59"/>
    <w:rsid w:val="00BD6011"/>
    <w:rsid w:val="00BD649D"/>
    <w:rsid w:val="00BD67AD"/>
    <w:rsid w:val="00BD6DC3"/>
    <w:rsid w:val="00BD713F"/>
    <w:rsid w:val="00BD7490"/>
    <w:rsid w:val="00BE008B"/>
    <w:rsid w:val="00BE060B"/>
    <w:rsid w:val="00BE0766"/>
    <w:rsid w:val="00BE09D5"/>
    <w:rsid w:val="00BE17C1"/>
    <w:rsid w:val="00BE19DB"/>
    <w:rsid w:val="00BE1A7E"/>
    <w:rsid w:val="00BE3A84"/>
    <w:rsid w:val="00BE3C4E"/>
    <w:rsid w:val="00BE468E"/>
    <w:rsid w:val="00BE4754"/>
    <w:rsid w:val="00BE4AC0"/>
    <w:rsid w:val="00BE502C"/>
    <w:rsid w:val="00BE5D4C"/>
    <w:rsid w:val="00BE626C"/>
    <w:rsid w:val="00BE6923"/>
    <w:rsid w:val="00BE6AC5"/>
    <w:rsid w:val="00BE7452"/>
    <w:rsid w:val="00BF07F5"/>
    <w:rsid w:val="00BF13F9"/>
    <w:rsid w:val="00BF1468"/>
    <w:rsid w:val="00BF1749"/>
    <w:rsid w:val="00BF2EDD"/>
    <w:rsid w:val="00BF33D4"/>
    <w:rsid w:val="00BF36CE"/>
    <w:rsid w:val="00BF3F1F"/>
    <w:rsid w:val="00BF48AB"/>
    <w:rsid w:val="00BF539D"/>
    <w:rsid w:val="00BF68EA"/>
    <w:rsid w:val="00BF69CF"/>
    <w:rsid w:val="00BF71B4"/>
    <w:rsid w:val="00BF7261"/>
    <w:rsid w:val="00C01DD5"/>
    <w:rsid w:val="00C02150"/>
    <w:rsid w:val="00C03E01"/>
    <w:rsid w:val="00C0524A"/>
    <w:rsid w:val="00C05462"/>
    <w:rsid w:val="00C055C5"/>
    <w:rsid w:val="00C05D6D"/>
    <w:rsid w:val="00C05D97"/>
    <w:rsid w:val="00C05DA4"/>
    <w:rsid w:val="00C06699"/>
    <w:rsid w:val="00C07CF3"/>
    <w:rsid w:val="00C10145"/>
    <w:rsid w:val="00C1059D"/>
    <w:rsid w:val="00C109F5"/>
    <w:rsid w:val="00C11342"/>
    <w:rsid w:val="00C11B7D"/>
    <w:rsid w:val="00C11B87"/>
    <w:rsid w:val="00C1209B"/>
    <w:rsid w:val="00C129B1"/>
    <w:rsid w:val="00C12DA9"/>
    <w:rsid w:val="00C12FA6"/>
    <w:rsid w:val="00C13E56"/>
    <w:rsid w:val="00C144AA"/>
    <w:rsid w:val="00C146B6"/>
    <w:rsid w:val="00C14967"/>
    <w:rsid w:val="00C1548E"/>
    <w:rsid w:val="00C163D7"/>
    <w:rsid w:val="00C16699"/>
    <w:rsid w:val="00C167EA"/>
    <w:rsid w:val="00C2025E"/>
    <w:rsid w:val="00C20553"/>
    <w:rsid w:val="00C20CC9"/>
    <w:rsid w:val="00C21DAD"/>
    <w:rsid w:val="00C21EB1"/>
    <w:rsid w:val="00C225F0"/>
    <w:rsid w:val="00C22B53"/>
    <w:rsid w:val="00C23B38"/>
    <w:rsid w:val="00C24A3B"/>
    <w:rsid w:val="00C251FC"/>
    <w:rsid w:val="00C25A07"/>
    <w:rsid w:val="00C264DF"/>
    <w:rsid w:val="00C2697C"/>
    <w:rsid w:val="00C26DE5"/>
    <w:rsid w:val="00C2728E"/>
    <w:rsid w:val="00C27408"/>
    <w:rsid w:val="00C2767D"/>
    <w:rsid w:val="00C279E9"/>
    <w:rsid w:val="00C3006A"/>
    <w:rsid w:val="00C30B15"/>
    <w:rsid w:val="00C30C7D"/>
    <w:rsid w:val="00C311CA"/>
    <w:rsid w:val="00C312EA"/>
    <w:rsid w:val="00C32DAF"/>
    <w:rsid w:val="00C334DA"/>
    <w:rsid w:val="00C34144"/>
    <w:rsid w:val="00C341FE"/>
    <w:rsid w:val="00C3551E"/>
    <w:rsid w:val="00C35743"/>
    <w:rsid w:val="00C361D2"/>
    <w:rsid w:val="00C3683C"/>
    <w:rsid w:val="00C36A12"/>
    <w:rsid w:val="00C36FFD"/>
    <w:rsid w:val="00C3716F"/>
    <w:rsid w:val="00C371D7"/>
    <w:rsid w:val="00C37A47"/>
    <w:rsid w:val="00C4023F"/>
    <w:rsid w:val="00C40E17"/>
    <w:rsid w:val="00C41599"/>
    <w:rsid w:val="00C41F07"/>
    <w:rsid w:val="00C42501"/>
    <w:rsid w:val="00C42E57"/>
    <w:rsid w:val="00C4322C"/>
    <w:rsid w:val="00C43CA7"/>
    <w:rsid w:val="00C43D98"/>
    <w:rsid w:val="00C450BC"/>
    <w:rsid w:val="00C45DFF"/>
    <w:rsid w:val="00C45E2C"/>
    <w:rsid w:val="00C46118"/>
    <w:rsid w:val="00C462C3"/>
    <w:rsid w:val="00C46601"/>
    <w:rsid w:val="00C468FF"/>
    <w:rsid w:val="00C4762D"/>
    <w:rsid w:val="00C476EF"/>
    <w:rsid w:val="00C501CA"/>
    <w:rsid w:val="00C50403"/>
    <w:rsid w:val="00C50536"/>
    <w:rsid w:val="00C50F18"/>
    <w:rsid w:val="00C5153C"/>
    <w:rsid w:val="00C51675"/>
    <w:rsid w:val="00C51929"/>
    <w:rsid w:val="00C51BCD"/>
    <w:rsid w:val="00C5266C"/>
    <w:rsid w:val="00C52C45"/>
    <w:rsid w:val="00C53CDF"/>
    <w:rsid w:val="00C54169"/>
    <w:rsid w:val="00C54879"/>
    <w:rsid w:val="00C55FCC"/>
    <w:rsid w:val="00C5654E"/>
    <w:rsid w:val="00C572BD"/>
    <w:rsid w:val="00C5741A"/>
    <w:rsid w:val="00C57A0A"/>
    <w:rsid w:val="00C60BC5"/>
    <w:rsid w:val="00C611F3"/>
    <w:rsid w:val="00C6154A"/>
    <w:rsid w:val="00C61633"/>
    <w:rsid w:val="00C61CC0"/>
    <w:rsid w:val="00C62DFF"/>
    <w:rsid w:val="00C630E6"/>
    <w:rsid w:val="00C635F0"/>
    <w:rsid w:val="00C638F2"/>
    <w:rsid w:val="00C63918"/>
    <w:rsid w:val="00C63CE3"/>
    <w:rsid w:val="00C6444B"/>
    <w:rsid w:val="00C646C4"/>
    <w:rsid w:val="00C64B85"/>
    <w:rsid w:val="00C64BE8"/>
    <w:rsid w:val="00C65969"/>
    <w:rsid w:val="00C65A0B"/>
    <w:rsid w:val="00C65BC4"/>
    <w:rsid w:val="00C663AA"/>
    <w:rsid w:val="00C67752"/>
    <w:rsid w:val="00C67784"/>
    <w:rsid w:val="00C677D5"/>
    <w:rsid w:val="00C70329"/>
    <w:rsid w:val="00C71A43"/>
    <w:rsid w:val="00C71CD1"/>
    <w:rsid w:val="00C723EE"/>
    <w:rsid w:val="00C7290D"/>
    <w:rsid w:val="00C731F1"/>
    <w:rsid w:val="00C739D9"/>
    <w:rsid w:val="00C73B7D"/>
    <w:rsid w:val="00C73BBC"/>
    <w:rsid w:val="00C74AB7"/>
    <w:rsid w:val="00C75F18"/>
    <w:rsid w:val="00C763B7"/>
    <w:rsid w:val="00C763F4"/>
    <w:rsid w:val="00C767AA"/>
    <w:rsid w:val="00C76A48"/>
    <w:rsid w:val="00C76BC5"/>
    <w:rsid w:val="00C77268"/>
    <w:rsid w:val="00C7737B"/>
    <w:rsid w:val="00C77470"/>
    <w:rsid w:val="00C77D54"/>
    <w:rsid w:val="00C8001B"/>
    <w:rsid w:val="00C80D25"/>
    <w:rsid w:val="00C8142B"/>
    <w:rsid w:val="00C816F4"/>
    <w:rsid w:val="00C81CFF"/>
    <w:rsid w:val="00C82DEF"/>
    <w:rsid w:val="00C82F5E"/>
    <w:rsid w:val="00C83A18"/>
    <w:rsid w:val="00C8436A"/>
    <w:rsid w:val="00C84907"/>
    <w:rsid w:val="00C8523B"/>
    <w:rsid w:val="00C8574A"/>
    <w:rsid w:val="00C8577E"/>
    <w:rsid w:val="00C86105"/>
    <w:rsid w:val="00C86438"/>
    <w:rsid w:val="00C86D68"/>
    <w:rsid w:val="00C878F1"/>
    <w:rsid w:val="00C87E46"/>
    <w:rsid w:val="00C907B6"/>
    <w:rsid w:val="00C90A29"/>
    <w:rsid w:val="00C90D75"/>
    <w:rsid w:val="00C91AD2"/>
    <w:rsid w:val="00C91CDC"/>
    <w:rsid w:val="00C925CE"/>
    <w:rsid w:val="00C934FC"/>
    <w:rsid w:val="00C939EB"/>
    <w:rsid w:val="00C93C19"/>
    <w:rsid w:val="00C9440A"/>
    <w:rsid w:val="00C9733C"/>
    <w:rsid w:val="00C97B08"/>
    <w:rsid w:val="00C97B4E"/>
    <w:rsid w:val="00C97EE8"/>
    <w:rsid w:val="00CA010C"/>
    <w:rsid w:val="00CA0643"/>
    <w:rsid w:val="00CA0723"/>
    <w:rsid w:val="00CA1DE2"/>
    <w:rsid w:val="00CA1F34"/>
    <w:rsid w:val="00CA1FBB"/>
    <w:rsid w:val="00CA298F"/>
    <w:rsid w:val="00CA31BD"/>
    <w:rsid w:val="00CA337A"/>
    <w:rsid w:val="00CA384C"/>
    <w:rsid w:val="00CA3E39"/>
    <w:rsid w:val="00CA4985"/>
    <w:rsid w:val="00CA64DF"/>
    <w:rsid w:val="00CA65D6"/>
    <w:rsid w:val="00CA6E4A"/>
    <w:rsid w:val="00CA7A81"/>
    <w:rsid w:val="00CB018F"/>
    <w:rsid w:val="00CB056A"/>
    <w:rsid w:val="00CB09AF"/>
    <w:rsid w:val="00CB2272"/>
    <w:rsid w:val="00CB269E"/>
    <w:rsid w:val="00CB32C4"/>
    <w:rsid w:val="00CB359E"/>
    <w:rsid w:val="00CB3D24"/>
    <w:rsid w:val="00CB4B21"/>
    <w:rsid w:val="00CB574F"/>
    <w:rsid w:val="00CB6B10"/>
    <w:rsid w:val="00CB7450"/>
    <w:rsid w:val="00CC0716"/>
    <w:rsid w:val="00CC0A81"/>
    <w:rsid w:val="00CC0C18"/>
    <w:rsid w:val="00CC0CE9"/>
    <w:rsid w:val="00CC12CF"/>
    <w:rsid w:val="00CC1634"/>
    <w:rsid w:val="00CC2342"/>
    <w:rsid w:val="00CC2842"/>
    <w:rsid w:val="00CC3523"/>
    <w:rsid w:val="00CC4333"/>
    <w:rsid w:val="00CC4839"/>
    <w:rsid w:val="00CC4FCA"/>
    <w:rsid w:val="00CC51D2"/>
    <w:rsid w:val="00CC6D7E"/>
    <w:rsid w:val="00CC75A0"/>
    <w:rsid w:val="00CC7AF7"/>
    <w:rsid w:val="00CD05EE"/>
    <w:rsid w:val="00CD0D25"/>
    <w:rsid w:val="00CD0F15"/>
    <w:rsid w:val="00CD15BD"/>
    <w:rsid w:val="00CD2337"/>
    <w:rsid w:val="00CD30B2"/>
    <w:rsid w:val="00CD30C2"/>
    <w:rsid w:val="00CD3567"/>
    <w:rsid w:val="00CD38F2"/>
    <w:rsid w:val="00CD3B41"/>
    <w:rsid w:val="00CD433B"/>
    <w:rsid w:val="00CD450E"/>
    <w:rsid w:val="00CD4772"/>
    <w:rsid w:val="00CD4828"/>
    <w:rsid w:val="00CD4A70"/>
    <w:rsid w:val="00CD5029"/>
    <w:rsid w:val="00CD55AA"/>
    <w:rsid w:val="00CD574B"/>
    <w:rsid w:val="00CD5EE5"/>
    <w:rsid w:val="00CD602E"/>
    <w:rsid w:val="00CD645D"/>
    <w:rsid w:val="00CD67D3"/>
    <w:rsid w:val="00CE07B7"/>
    <w:rsid w:val="00CE1090"/>
    <w:rsid w:val="00CE15D5"/>
    <w:rsid w:val="00CE1B3B"/>
    <w:rsid w:val="00CE32CD"/>
    <w:rsid w:val="00CE4520"/>
    <w:rsid w:val="00CE5250"/>
    <w:rsid w:val="00CE5E46"/>
    <w:rsid w:val="00CE6575"/>
    <w:rsid w:val="00CE6A3B"/>
    <w:rsid w:val="00CE74C6"/>
    <w:rsid w:val="00CE7543"/>
    <w:rsid w:val="00CF0A10"/>
    <w:rsid w:val="00CF0B6B"/>
    <w:rsid w:val="00CF0F62"/>
    <w:rsid w:val="00CF2B98"/>
    <w:rsid w:val="00CF2CEF"/>
    <w:rsid w:val="00CF45E3"/>
    <w:rsid w:val="00CF468B"/>
    <w:rsid w:val="00CF54FF"/>
    <w:rsid w:val="00CF55D0"/>
    <w:rsid w:val="00CF7327"/>
    <w:rsid w:val="00CF7600"/>
    <w:rsid w:val="00CF794B"/>
    <w:rsid w:val="00CF7B36"/>
    <w:rsid w:val="00CF7B8D"/>
    <w:rsid w:val="00CF7CDD"/>
    <w:rsid w:val="00D003A3"/>
    <w:rsid w:val="00D010BC"/>
    <w:rsid w:val="00D0127D"/>
    <w:rsid w:val="00D01A84"/>
    <w:rsid w:val="00D01BB5"/>
    <w:rsid w:val="00D020FC"/>
    <w:rsid w:val="00D02467"/>
    <w:rsid w:val="00D02C35"/>
    <w:rsid w:val="00D02D38"/>
    <w:rsid w:val="00D031F7"/>
    <w:rsid w:val="00D03AF2"/>
    <w:rsid w:val="00D03B8F"/>
    <w:rsid w:val="00D03BA5"/>
    <w:rsid w:val="00D04297"/>
    <w:rsid w:val="00D044BA"/>
    <w:rsid w:val="00D044CB"/>
    <w:rsid w:val="00D04863"/>
    <w:rsid w:val="00D049A7"/>
    <w:rsid w:val="00D04AF8"/>
    <w:rsid w:val="00D0530E"/>
    <w:rsid w:val="00D053AF"/>
    <w:rsid w:val="00D0588C"/>
    <w:rsid w:val="00D06CBB"/>
    <w:rsid w:val="00D072B7"/>
    <w:rsid w:val="00D10A7A"/>
    <w:rsid w:val="00D111D4"/>
    <w:rsid w:val="00D11AB2"/>
    <w:rsid w:val="00D129D1"/>
    <w:rsid w:val="00D13451"/>
    <w:rsid w:val="00D1367E"/>
    <w:rsid w:val="00D14C11"/>
    <w:rsid w:val="00D15622"/>
    <w:rsid w:val="00D15FDA"/>
    <w:rsid w:val="00D1612B"/>
    <w:rsid w:val="00D166A3"/>
    <w:rsid w:val="00D169E5"/>
    <w:rsid w:val="00D175BF"/>
    <w:rsid w:val="00D17C22"/>
    <w:rsid w:val="00D20557"/>
    <w:rsid w:val="00D20F0E"/>
    <w:rsid w:val="00D21200"/>
    <w:rsid w:val="00D21483"/>
    <w:rsid w:val="00D21DFC"/>
    <w:rsid w:val="00D22F6F"/>
    <w:rsid w:val="00D2352B"/>
    <w:rsid w:val="00D238A4"/>
    <w:rsid w:val="00D24D14"/>
    <w:rsid w:val="00D24E69"/>
    <w:rsid w:val="00D259CA"/>
    <w:rsid w:val="00D25D2E"/>
    <w:rsid w:val="00D25DC5"/>
    <w:rsid w:val="00D26558"/>
    <w:rsid w:val="00D269AF"/>
    <w:rsid w:val="00D26DB1"/>
    <w:rsid w:val="00D27B5D"/>
    <w:rsid w:val="00D27BC1"/>
    <w:rsid w:val="00D30975"/>
    <w:rsid w:val="00D30E20"/>
    <w:rsid w:val="00D3173D"/>
    <w:rsid w:val="00D31902"/>
    <w:rsid w:val="00D329F1"/>
    <w:rsid w:val="00D32A24"/>
    <w:rsid w:val="00D32D0B"/>
    <w:rsid w:val="00D33889"/>
    <w:rsid w:val="00D339C4"/>
    <w:rsid w:val="00D33B2F"/>
    <w:rsid w:val="00D357A1"/>
    <w:rsid w:val="00D36060"/>
    <w:rsid w:val="00D362DC"/>
    <w:rsid w:val="00D36C25"/>
    <w:rsid w:val="00D37056"/>
    <w:rsid w:val="00D37294"/>
    <w:rsid w:val="00D37948"/>
    <w:rsid w:val="00D37FF9"/>
    <w:rsid w:val="00D40479"/>
    <w:rsid w:val="00D40948"/>
    <w:rsid w:val="00D411D9"/>
    <w:rsid w:val="00D41577"/>
    <w:rsid w:val="00D415F6"/>
    <w:rsid w:val="00D42019"/>
    <w:rsid w:val="00D42500"/>
    <w:rsid w:val="00D42B1F"/>
    <w:rsid w:val="00D43AD0"/>
    <w:rsid w:val="00D43D34"/>
    <w:rsid w:val="00D43D41"/>
    <w:rsid w:val="00D4403F"/>
    <w:rsid w:val="00D44577"/>
    <w:rsid w:val="00D44A22"/>
    <w:rsid w:val="00D44E0D"/>
    <w:rsid w:val="00D45122"/>
    <w:rsid w:val="00D466FA"/>
    <w:rsid w:val="00D46CAD"/>
    <w:rsid w:val="00D47543"/>
    <w:rsid w:val="00D47B9F"/>
    <w:rsid w:val="00D50636"/>
    <w:rsid w:val="00D51AEA"/>
    <w:rsid w:val="00D51F8F"/>
    <w:rsid w:val="00D5247D"/>
    <w:rsid w:val="00D529B7"/>
    <w:rsid w:val="00D52FE5"/>
    <w:rsid w:val="00D53741"/>
    <w:rsid w:val="00D53A34"/>
    <w:rsid w:val="00D53DD8"/>
    <w:rsid w:val="00D5441C"/>
    <w:rsid w:val="00D5502F"/>
    <w:rsid w:val="00D553AF"/>
    <w:rsid w:val="00D557F1"/>
    <w:rsid w:val="00D558F7"/>
    <w:rsid w:val="00D55DAA"/>
    <w:rsid w:val="00D56650"/>
    <w:rsid w:val="00D56737"/>
    <w:rsid w:val="00D56A64"/>
    <w:rsid w:val="00D56D02"/>
    <w:rsid w:val="00D57D3E"/>
    <w:rsid w:val="00D60336"/>
    <w:rsid w:val="00D61BAB"/>
    <w:rsid w:val="00D61BBC"/>
    <w:rsid w:val="00D629D6"/>
    <w:rsid w:val="00D631D9"/>
    <w:rsid w:val="00D6378F"/>
    <w:rsid w:val="00D64D08"/>
    <w:rsid w:val="00D64D0B"/>
    <w:rsid w:val="00D64E7D"/>
    <w:rsid w:val="00D64EB7"/>
    <w:rsid w:val="00D65D8E"/>
    <w:rsid w:val="00D66373"/>
    <w:rsid w:val="00D66FC0"/>
    <w:rsid w:val="00D67A9B"/>
    <w:rsid w:val="00D70091"/>
    <w:rsid w:val="00D70432"/>
    <w:rsid w:val="00D71983"/>
    <w:rsid w:val="00D71B98"/>
    <w:rsid w:val="00D72036"/>
    <w:rsid w:val="00D7206C"/>
    <w:rsid w:val="00D720DA"/>
    <w:rsid w:val="00D7263E"/>
    <w:rsid w:val="00D727F6"/>
    <w:rsid w:val="00D7390F"/>
    <w:rsid w:val="00D745B5"/>
    <w:rsid w:val="00D7533F"/>
    <w:rsid w:val="00D754EE"/>
    <w:rsid w:val="00D7564A"/>
    <w:rsid w:val="00D76313"/>
    <w:rsid w:val="00D76492"/>
    <w:rsid w:val="00D764BB"/>
    <w:rsid w:val="00D76D02"/>
    <w:rsid w:val="00D805D2"/>
    <w:rsid w:val="00D816B4"/>
    <w:rsid w:val="00D819EF"/>
    <w:rsid w:val="00D81B8B"/>
    <w:rsid w:val="00D82AA2"/>
    <w:rsid w:val="00D831D9"/>
    <w:rsid w:val="00D83722"/>
    <w:rsid w:val="00D838E2"/>
    <w:rsid w:val="00D85824"/>
    <w:rsid w:val="00D8688B"/>
    <w:rsid w:val="00D8729C"/>
    <w:rsid w:val="00D8753D"/>
    <w:rsid w:val="00D90C77"/>
    <w:rsid w:val="00D90E05"/>
    <w:rsid w:val="00D91C83"/>
    <w:rsid w:val="00D91F4C"/>
    <w:rsid w:val="00D922BB"/>
    <w:rsid w:val="00D9262E"/>
    <w:rsid w:val="00D927D1"/>
    <w:rsid w:val="00D933C3"/>
    <w:rsid w:val="00D93921"/>
    <w:rsid w:val="00D95241"/>
    <w:rsid w:val="00D956E3"/>
    <w:rsid w:val="00D960E6"/>
    <w:rsid w:val="00D96E8D"/>
    <w:rsid w:val="00D97C20"/>
    <w:rsid w:val="00DA042B"/>
    <w:rsid w:val="00DA0A1C"/>
    <w:rsid w:val="00DA0B21"/>
    <w:rsid w:val="00DA1227"/>
    <w:rsid w:val="00DA15D9"/>
    <w:rsid w:val="00DA1799"/>
    <w:rsid w:val="00DA1B87"/>
    <w:rsid w:val="00DA2178"/>
    <w:rsid w:val="00DA29C5"/>
    <w:rsid w:val="00DA3ED7"/>
    <w:rsid w:val="00DA3EFF"/>
    <w:rsid w:val="00DA4255"/>
    <w:rsid w:val="00DA47C1"/>
    <w:rsid w:val="00DA50C6"/>
    <w:rsid w:val="00DA53B9"/>
    <w:rsid w:val="00DA5AC3"/>
    <w:rsid w:val="00DA646F"/>
    <w:rsid w:val="00DA76B8"/>
    <w:rsid w:val="00DA7738"/>
    <w:rsid w:val="00DA7957"/>
    <w:rsid w:val="00DA7BCA"/>
    <w:rsid w:val="00DB0288"/>
    <w:rsid w:val="00DB02E2"/>
    <w:rsid w:val="00DB1431"/>
    <w:rsid w:val="00DB1F01"/>
    <w:rsid w:val="00DB21CA"/>
    <w:rsid w:val="00DB23A1"/>
    <w:rsid w:val="00DB27A6"/>
    <w:rsid w:val="00DB2A7D"/>
    <w:rsid w:val="00DB2B3E"/>
    <w:rsid w:val="00DB3757"/>
    <w:rsid w:val="00DB38D7"/>
    <w:rsid w:val="00DB3E95"/>
    <w:rsid w:val="00DB4102"/>
    <w:rsid w:val="00DB434D"/>
    <w:rsid w:val="00DB4E5B"/>
    <w:rsid w:val="00DB5079"/>
    <w:rsid w:val="00DB51FC"/>
    <w:rsid w:val="00DB52F2"/>
    <w:rsid w:val="00DB5481"/>
    <w:rsid w:val="00DB5B7E"/>
    <w:rsid w:val="00DB652C"/>
    <w:rsid w:val="00DB6541"/>
    <w:rsid w:val="00DB6834"/>
    <w:rsid w:val="00DB6B42"/>
    <w:rsid w:val="00DC0440"/>
    <w:rsid w:val="00DC0EEE"/>
    <w:rsid w:val="00DC1560"/>
    <w:rsid w:val="00DC1A5E"/>
    <w:rsid w:val="00DC1F46"/>
    <w:rsid w:val="00DC230E"/>
    <w:rsid w:val="00DC26BD"/>
    <w:rsid w:val="00DC2918"/>
    <w:rsid w:val="00DC37B2"/>
    <w:rsid w:val="00DC442A"/>
    <w:rsid w:val="00DC44CC"/>
    <w:rsid w:val="00DC4690"/>
    <w:rsid w:val="00DC4E99"/>
    <w:rsid w:val="00DC55F1"/>
    <w:rsid w:val="00DC58CC"/>
    <w:rsid w:val="00DC5C97"/>
    <w:rsid w:val="00DC5CCE"/>
    <w:rsid w:val="00DC7601"/>
    <w:rsid w:val="00DC7BDE"/>
    <w:rsid w:val="00DD16BB"/>
    <w:rsid w:val="00DD1A84"/>
    <w:rsid w:val="00DD24B9"/>
    <w:rsid w:val="00DD2517"/>
    <w:rsid w:val="00DD299A"/>
    <w:rsid w:val="00DD2D00"/>
    <w:rsid w:val="00DD2F79"/>
    <w:rsid w:val="00DD4349"/>
    <w:rsid w:val="00DD44F0"/>
    <w:rsid w:val="00DD4F3A"/>
    <w:rsid w:val="00DD5066"/>
    <w:rsid w:val="00DD555C"/>
    <w:rsid w:val="00DD617F"/>
    <w:rsid w:val="00DD61C9"/>
    <w:rsid w:val="00DD63C5"/>
    <w:rsid w:val="00DD6760"/>
    <w:rsid w:val="00DD7DEA"/>
    <w:rsid w:val="00DD7F55"/>
    <w:rsid w:val="00DE0CB0"/>
    <w:rsid w:val="00DE160F"/>
    <w:rsid w:val="00DE24D3"/>
    <w:rsid w:val="00DE282E"/>
    <w:rsid w:val="00DE2BB8"/>
    <w:rsid w:val="00DE2E25"/>
    <w:rsid w:val="00DE31B4"/>
    <w:rsid w:val="00DE35CC"/>
    <w:rsid w:val="00DE3C28"/>
    <w:rsid w:val="00DE417B"/>
    <w:rsid w:val="00DE428B"/>
    <w:rsid w:val="00DE4353"/>
    <w:rsid w:val="00DE649A"/>
    <w:rsid w:val="00DE6D11"/>
    <w:rsid w:val="00DE6F58"/>
    <w:rsid w:val="00DE71A2"/>
    <w:rsid w:val="00DE769C"/>
    <w:rsid w:val="00DE7B5B"/>
    <w:rsid w:val="00DE7B8C"/>
    <w:rsid w:val="00DF01B1"/>
    <w:rsid w:val="00DF0522"/>
    <w:rsid w:val="00DF086D"/>
    <w:rsid w:val="00DF1CD4"/>
    <w:rsid w:val="00DF2C14"/>
    <w:rsid w:val="00DF40A4"/>
    <w:rsid w:val="00DF4913"/>
    <w:rsid w:val="00DF511D"/>
    <w:rsid w:val="00DF5187"/>
    <w:rsid w:val="00DF56BE"/>
    <w:rsid w:val="00DF65A8"/>
    <w:rsid w:val="00DF65CF"/>
    <w:rsid w:val="00DF6A03"/>
    <w:rsid w:val="00DF6D81"/>
    <w:rsid w:val="00DF70D5"/>
    <w:rsid w:val="00DF752E"/>
    <w:rsid w:val="00DF7904"/>
    <w:rsid w:val="00DF7FD7"/>
    <w:rsid w:val="00E004FB"/>
    <w:rsid w:val="00E00CDD"/>
    <w:rsid w:val="00E00FA4"/>
    <w:rsid w:val="00E0227C"/>
    <w:rsid w:val="00E02B4D"/>
    <w:rsid w:val="00E02E5F"/>
    <w:rsid w:val="00E0326C"/>
    <w:rsid w:val="00E03F6F"/>
    <w:rsid w:val="00E04C1A"/>
    <w:rsid w:val="00E056A6"/>
    <w:rsid w:val="00E057E5"/>
    <w:rsid w:val="00E05D29"/>
    <w:rsid w:val="00E07A04"/>
    <w:rsid w:val="00E07D4A"/>
    <w:rsid w:val="00E07ED6"/>
    <w:rsid w:val="00E07F1C"/>
    <w:rsid w:val="00E1018E"/>
    <w:rsid w:val="00E101E5"/>
    <w:rsid w:val="00E101E8"/>
    <w:rsid w:val="00E1034C"/>
    <w:rsid w:val="00E10726"/>
    <w:rsid w:val="00E10AC8"/>
    <w:rsid w:val="00E10F80"/>
    <w:rsid w:val="00E12710"/>
    <w:rsid w:val="00E1389E"/>
    <w:rsid w:val="00E139C5"/>
    <w:rsid w:val="00E13CC5"/>
    <w:rsid w:val="00E14293"/>
    <w:rsid w:val="00E15219"/>
    <w:rsid w:val="00E15516"/>
    <w:rsid w:val="00E155C8"/>
    <w:rsid w:val="00E167C3"/>
    <w:rsid w:val="00E177B5"/>
    <w:rsid w:val="00E177B6"/>
    <w:rsid w:val="00E179CA"/>
    <w:rsid w:val="00E203B9"/>
    <w:rsid w:val="00E20756"/>
    <w:rsid w:val="00E2132F"/>
    <w:rsid w:val="00E21BCE"/>
    <w:rsid w:val="00E22369"/>
    <w:rsid w:val="00E23B0D"/>
    <w:rsid w:val="00E23C74"/>
    <w:rsid w:val="00E23CE5"/>
    <w:rsid w:val="00E2414F"/>
    <w:rsid w:val="00E251A3"/>
    <w:rsid w:val="00E251AB"/>
    <w:rsid w:val="00E25587"/>
    <w:rsid w:val="00E2559E"/>
    <w:rsid w:val="00E2651D"/>
    <w:rsid w:val="00E26805"/>
    <w:rsid w:val="00E268AB"/>
    <w:rsid w:val="00E27336"/>
    <w:rsid w:val="00E2764A"/>
    <w:rsid w:val="00E2765A"/>
    <w:rsid w:val="00E3039E"/>
    <w:rsid w:val="00E306D4"/>
    <w:rsid w:val="00E3103F"/>
    <w:rsid w:val="00E31A15"/>
    <w:rsid w:val="00E31A57"/>
    <w:rsid w:val="00E3219F"/>
    <w:rsid w:val="00E32721"/>
    <w:rsid w:val="00E3298B"/>
    <w:rsid w:val="00E32EF8"/>
    <w:rsid w:val="00E33467"/>
    <w:rsid w:val="00E33CC3"/>
    <w:rsid w:val="00E33D02"/>
    <w:rsid w:val="00E341A4"/>
    <w:rsid w:val="00E343FC"/>
    <w:rsid w:val="00E34EDB"/>
    <w:rsid w:val="00E37C74"/>
    <w:rsid w:val="00E37E24"/>
    <w:rsid w:val="00E41431"/>
    <w:rsid w:val="00E41B87"/>
    <w:rsid w:val="00E420C3"/>
    <w:rsid w:val="00E4239B"/>
    <w:rsid w:val="00E42764"/>
    <w:rsid w:val="00E427CD"/>
    <w:rsid w:val="00E4284E"/>
    <w:rsid w:val="00E42913"/>
    <w:rsid w:val="00E42B09"/>
    <w:rsid w:val="00E43939"/>
    <w:rsid w:val="00E43ED6"/>
    <w:rsid w:val="00E43F33"/>
    <w:rsid w:val="00E44124"/>
    <w:rsid w:val="00E44768"/>
    <w:rsid w:val="00E4544D"/>
    <w:rsid w:val="00E45593"/>
    <w:rsid w:val="00E45B25"/>
    <w:rsid w:val="00E46635"/>
    <w:rsid w:val="00E468D4"/>
    <w:rsid w:val="00E47178"/>
    <w:rsid w:val="00E472AE"/>
    <w:rsid w:val="00E47F34"/>
    <w:rsid w:val="00E5043A"/>
    <w:rsid w:val="00E50D5B"/>
    <w:rsid w:val="00E50F8E"/>
    <w:rsid w:val="00E510B5"/>
    <w:rsid w:val="00E515EA"/>
    <w:rsid w:val="00E518C1"/>
    <w:rsid w:val="00E521BC"/>
    <w:rsid w:val="00E52865"/>
    <w:rsid w:val="00E534E3"/>
    <w:rsid w:val="00E54000"/>
    <w:rsid w:val="00E54965"/>
    <w:rsid w:val="00E54B3D"/>
    <w:rsid w:val="00E54BB1"/>
    <w:rsid w:val="00E54D02"/>
    <w:rsid w:val="00E55807"/>
    <w:rsid w:val="00E55F7A"/>
    <w:rsid w:val="00E56667"/>
    <w:rsid w:val="00E56BBB"/>
    <w:rsid w:val="00E572B8"/>
    <w:rsid w:val="00E57843"/>
    <w:rsid w:val="00E57885"/>
    <w:rsid w:val="00E57E93"/>
    <w:rsid w:val="00E6535A"/>
    <w:rsid w:val="00E659D3"/>
    <w:rsid w:val="00E6720B"/>
    <w:rsid w:val="00E67960"/>
    <w:rsid w:val="00E67B60"/>
    <w:rsid w:val="00E705A9"/>
    <w:rsid w:val="00E706D8"/>
    <w:rsid w:val="00E70986"/>
    <w:rsid w:val="00E70CEC"/>
    <w:rsid w:val="00E70DB1"/>
    <w:rsid w:val="00E727AB"/>
    <w:rsid w:val="00E72CAE"/>
    <w:rsid w:val="00E7503A"/>
    <w:rsid w:val="00E75737"/>
    <w:rsid w:val="00E759F0"/>
    <w:rsid w:val="00E762CC"/>
    <w:rsid w:val="00E76E37"/>
    <w:rsid w:val="00E77107"/>
    <w:rsid w:val="00E778D0"/>
    <w:rsid w:val="00E77F83"/>
    <w:rsid w:val="00E800DF"/>
    <w:rsid w:val="00E808D0"/>
    <w:rsid w:val="00E80952"/>
    <w:rsid w:val="00E80C09"/>
    <w:rsid w:val="00E818AB"/>
    <w:rsid w:val="00E8198D"/>
    <w:rsid w:val="00E81E01"/>
    <w:rsid w:val="00E82506"/>
    <w:rsid w:val="00E83C88"/>
    <w:rsid w:val="00E8465D"/>
    <w:rsid w:val="00E84D68"/>
    <w:rsid w:val="00E84D88"/>
    <w:rsid w:val="00E861BD"/>
    <w:rsid w:val="00E8660B"/>
    <w:rsid w:val="00E868C9"/>
    <w:rsid w:val="00E86A95"/>
    <w:rsid w:val="00E86B0E"/>
    <w:rsid w:val="00E86D04"/>
    <w:rsid w:val="00E877D4"/>
    <w:rsid w:val="00E879AB"/>
    <w:rsid w:val="00E87E6D"/>
    <w:rsid w:val="00E9002C"/>
    <w:rsid w:val="00E903A5"/>
    <w:rsid w:val="00E90672"/>
    <w:rsid w:val="00E906FB"/>
    <w:rsid w:val="00E917AE"/>
    <w:rsid w:val="00E9230E"/>
    <w:rsid w:val="00E9232C"/>
    <w:rsid w:val="00E92F8E"/>
    <w:rsid w:val="00E934EF"/>
    <w:rsid w:val="00E93834"/>
    <w:rsid w:val="00E93967"/>
    <w:rsid w:val="00E943AC"/>
    <w:rsid w:val="00E95BD8"/>
    <w:rsid w:val="00E964C9"/>
    <w:rsid w:val="00E97171"/>
    <w:rsid w:val="00E97743"/>
    <w:rsid w:val="00E97954"/>
    <w:rsid w:val="00EA044F"/>
    <w:rsid w:val="00EA0CC4"/>
    <w:rsid w:val="00EA24C3"/>
    <w:rsid w:val="00EA2F14"/>
    <w:rsid w:val="00EA3239"/>
    <w:rsid w:val="00EA3475"/>
    <w:rsid w:val="00EA4C3A"/>
    <w:rsid w:val="00EA4C53"/>
    <w:rsid w:val="00EA4E72"/>
    <w:rsid w:val="00EA500A"/>
    <w:rsid w:val="00EA500B"/>
    <w:rsid w:val="00EA52CB"/>
    <w:rsid w:val="00EA558A"/>
    <w:rsid w:val="00EA5C59"/>
    <w:rsid w:val="00EA653B"/>
    <w:rsid w:val="00EA6766"/>
    <w:rsid w:val="00EA6C3C"/>
    <w:rsid w:val="00EA7540"/>
    <w:rsid w:val="00EA7F55"/>
    <w:rsid w:val="00EB03AA"/>
    <w:rsid w:val="00EB14B7"/>
    <w:rsid w:val="00EB1840"/>
    <w:rsid w:val="00EB18AC"/>
    <w:rsid w:val="00EB19F8"/>
    <w:rsid w:val="00EB2F4F"/>
    <w:rsid w:val="00EB3603"/>
    <w:rsid w:val="00EB39B6"/>
    <w:rsid w:val="00EB4474"/>
    <w:rsid w:val="00EB4ADC"/>
    <w:rsid w:val="00EB4FBF"/>
    <w:rsid w:val="00EB55CC"/>
    <w:rsid w:val="00EB63F5"/>
    <w:rsid w:val="00EB6947"/>
    <w:rsid w:val="00EB6D57"/>
    <w:rsid w:val="00EC11BD"/>
    <w:rsid w:val="00EC1840"/>
    <w:rsid w:val="00EC1AC6"/>
    <w:rsid w:val="00EC1E89"/>
    <w:rsid w:val="00EC21D4"/>
    <w:rsid w:val="00EC2864"/>
    <w:rsid w:val="00EC31B3"/>
    <w:rsid w:val="00EC34FA"/>
    <w:rsid w:val="00EC45F3"/>
    <w:rsid w:val="00EC676F"/>
    <w:rsid w:val="00EC67E6"/>
    <w:rsid w:val="00ED01D7"/>
    <w:rsid w:val="00ED0A37"/>
    <w:rsid w:val="00ED1251"/>
    <w:rsid w:val="00ED12D1"/>
    <w:rsid w:val="00ED1530"/>
    <w:rsid w:val="00ED1865"/>
    <w:rsid w:val="00ED298A"/>
    <w:rsid w:val="00ED2B1F"/>
    <w:rsid w:val="00ED3439"/>
    <w:rsid w:val="00ED35E3"/>
    <w:rsid w:val="00ED3879"/>
    <w:rsid w:val="00ED39E6"/>
    <w:rsid w:val="00ED3AB4"/>
    <w:rsid w:val="00ED3DB9"/>
    <w:rsid w:val="00ED5228"/>
    <w:rsid w:val="00ED6412"/>
    <w:rsid w:val="00ED6518"/>
    <w:rsid w:val="00ED75AC"/>
    <w:rsid w:val="00ED79EF"/>
    <w:rsid w:val="00EE06D6"/>
    <w:rsid w:val="00EE0770"/>
    <w:rsid w:val="00EE07AB"/>
    <w:rsid w:val="00EE0E77"/>
    <w:rsid w:val="00EE1745"/>
    <w:rsid w:val="00EE1A78"/>
    <w:rsid w:val="00EE1BCA"/>
    <w:rsid w:val="00EE237B"/>
    <w:rsid w:val="00EE29CA"/>
    <w:rsid w:val="00EE3051"/>
    <w:rsid w:val="00EE42C5"/>
    <w:rsid w:val="00EE43E8"/>
    <w:rsid w:val="00EE489C"/>
    <w:rsid w:val="00EE4A07"/>
    <w:rsid w:val="00EE4BD1"/>
    <w:rsid w:val="00EE5838"/>
    <w:rsid w:val="00EE6B14"/>
    <w:rsid w:val="00EE7168"/>
    <w:rsid w:val="00EE7442"/>
    <w:rsid w:val="00EE796A"/>
    <w:rsid w:val="00EE7E50"/>
    <w:rsid w:val="00EE7E77"/>
    <w:rsid w:val="00EF06FB"/>
    <w:rsid w:val="00EF0DC0"/>
    <w:rsid w:val="00EF18D3"/>
    <w:rsid w:val="00EF211E"/>
    <w:rsid w:val="00EF2A0B"/>
    <w:rsid w:val="00EF3EB5"/>
    <w:rsid w:val="00EF4492"/>
    <w:rsid w:val="00EF4E95"/>
    <w:rsid w:val="00EF5873"/>
    <w:rsid w:val="00EF5AFB"/>
    <w:rsid w:val="00EF5FAA"/>
    <w:rsid w:val="00EF64DC"/>
    <w:rsid w:val="00EF6751"/>
    <w:rsid w:val="00EF68AB"/>
    <w:rsid w:val="00EF7721"/>
    <w:rsid w:val="00EF7A31"/>
    <w:rsid w:val="00F001D0"/>
    <w:rsid w:val="00F00496"/>
    <w:rsid w:val="00F005CD"/>
    <w:rsid w:val="00F010E2"/>
    <w:rsid w:val="00F0201F"/>
    <w:rsid w:val="00F020E2"/>
    <w:rsid w:val="00F02104"/>
    <w:rsid w:val="00F02D48"/>
    <w:rsid w:val="00F03935"/>
    <w:rsid w:val="00F04C7B"/>
    <w:rsid w:val="00F054FC"/>
    <w:rsid w:val="00F05916"/>
    <w:rsid w:val="00F05C38"/>
    <w:rsid w:val="00F0631D"/>
    <w:rsid w:val="00F06661"/>
    <w:rsid w:val="00F06701"/>
    <w:rsid w:val="00F06B32"/>
    <w:rsid w:val="00F07E3C"/>
    <w:rsid w:val="00F101F2"/>
    <w:rsid w:val="00F1062A"/>
    <w:rsid w:val="00F11034"/>
    <w:rsid w:val="00F11293"/>
    <w:rsid w:val="00F11799"/>
    <w:rsid w:val="00F11F0D"/>
    <w:rsid w:val="00F12B95"/>
    <w:rsid w:val="00F141AF"/>
    <w:rsid w:val="00F14622"/>
    <w:rsid w:val="00F14E76"/>
    <w:rsid w:val="00F15769"/>
    <w:rsid w:val="00F15852"/>
    <w:rsid w:val="00F17592"/>
    <w:rsid w:val="00F176F0"/>
    <w:rsid w:val="00F177ED"/>
    <w:rsid w:val="00F17959"/>
    <w:rsid w:val="00F20246"/>
    <w:rsid w:val="00F21842"/>
    <w:rsid w:val="00F21B66"/>
    <w:rsid w:val="00F21BF1"/>
    <w:rsid w:val="00F21C04"/>
    <w:rsid w:val="00F21FFC"/>
    <w:rsid w:val="00F23723"/>
    <w:rsid w:val="00F23A1C"/>
    <w:rsid w:val="00F24334"/>
    <w:rsid w:val="00F244CB"/>
    <w:rsid w:val="00F246A9"/>
    <w:rsid w:val="00F25114"/>
    <w:rsid w:val="00F2516B"/>
    <w:rsid w:val="00F25A11"/>
    <w:rsid w:val="00F2615E"/>
    <w:rsid w:val="00F266AC"/>
    <w:rsid w:val="00F26730"/>
    <w:rsid w:val="00F27DE8"/>
    <w:rsid w:val="00F3158F"/>
    <w:rsid w:val="00F322ED"/>
    <w:rsid w:val="00F33949"/>
    <w:rsid w:val="00F33E01"/>
    <w:rsid w:val="00F35B90"/>
    <w:rsid w:val="00F35E7C"/>
    <w:rsid w:val="00F360CA"/>
    <w:rsid w:val="00F360CF"/>
    <w:rsid w:val="00F36173"/>
    <w:rsid w:val="00F362A1"/>
    <w:rsid w:val="00F36851"/>
    <w:rsid w:val="00F37565"/>
    <w:rsid w:val="00F37A80"/>
    <w:rsid w:val="00F37E2F"/>
    <w:rsid w:val="00F37FA2"/>
    <w:rsid w:val="00F40630"/>
    <w:rsid w:val="00F40A93"/>
    <w:rsid w:val="00F4101C"/>
    <w:rsid w:val="00F4115A"/>
    <w:rsid w:val="00F417D5"/>
    <w:rsid w:val="00F42FA5"/>
    <w:rsid w:val="00F43123"/>
    <w:rsid w:val="00F437D2"/>
    <w:rsid w:val="00F43B27"/>
    <w:rsid w:val="00F43D50"/>
    <w:rsid w:val="00F4452B"/>
    <w:rsid w:val="00F44C0A"/>
    <w:rsid w:val="00F45373"/>
    <w:rsid w:val="00F45DD5"/>
    <w:rsid w:val="00F4635D"/>
    <w:rsid w:val="00F4704A"/>
    <w:rsid w:val="00F470BE"/>
    <w:rsid w:val="00F47438"/>
    <w:rsid w:val="00F47764"/>
    <w:rsid w:val="00F509C6"/>
    <w:rsid w:val="00F51238"/>
    <w:rsid w:val="00F51A85"/>
    <w:rsid w:val="00F51E3C"/>
    <w:rsid w:val="00F525CB"/>
    <w:rsid w:val="00F526EF"/>
    <w:rsid w:val="00F52710"/>
    <w:rsid w:val="00F5309D"/>
    <w:rsid w:val="00F5313A"/>
    <w:rsid w:val="00F5370D"/>
    <w:rsid w:val="00F53915"/>
    <w:rsid w:val="00F53956"/>
    <w:rsid w:val="00F5407A"/>
    <w:rsid w:val="00F54A58"/>
    <w:rsid w:val="00F55268"/>
    <w:rsid w:val="00F554B1"/>
    <w:rsid w:val="00F56525"/>
    <w:rsid w:val="00F579B6"/>
    <w:rsid w:val="00F57B33"/>
    <w:rsid w:val="00F57CDC"/>
    <w:rsid w:val="00F605AC"/>
    <w:rsid w:val="00F60F4B"/>
    <w:rsid w:val="00F610F9"/>
    <w:rsid w:val="00F61449"/>
    <w:rsid w:val="00F617D2"/>
    <w:rsid w:val="00F62B99"/>
    <w:rsid w:val="00F64800"/>
    <w:rsid w:val="00F65055"/>
    <w:rsid w:val="00F6554E"/>
    <w:rsid w:val="00F66076"/>
    <w:rsid w:val="00F66E43"/>
    <w:rsid w:val="00F67274"/>
    <w:rsid w:val="00F71652"/>
    <w:rsid w:val="00F71705"/>
    <w:rsid w:val="00F717D5"/>
    <w:rsid w:val="00F71D8C"/>
    <w:rsid w:val="00F724CF"/>
    <w:rsid w:val="00F72E0B"/>
    <w:rsid w:val="00F7300D"/>
    <w:rsid w:val="00F7385A"/>
    <w:rsid w:val="00F7392B"/>
    <w:rsid w:val="00F741B2"/>
    <w:rsid w:val="00F7496C"/>
    <w:rsid w:val="00F758A5"/>
    <w:rsid w:val="00F76B13"/>
    <w:rsid w:val="00F77BB4"/>
    <w:rsid w:val="00F77D7C"/>
    <w:rsid w:val="00F804A0"/>
    <w:rsid w:val="00F805E7"/>
    <w:rsid w:val="00F80A24"/>
    <w:rsid w:val="00F80FB2"/>
    <w:rsid w:val="00F81800"/>
    <w:rsid w:val="00F81A20"/>
    <w:rsid w:val="00F820C0"/>
    <w:rsid w:val="00F826FC"/>
    <w:rsid w:val="00F83B66"/>
    <w:rsid w:val="00F83F55"/>
    <w:rsid w:val="00F84600"/>
    <w:rsid w:val="00F858EE"/>
    <w:rsid w:val="00F85EC1"/>
    <w:rsid w:val="00F866DF"/>
    <w:rsid w:val="00F9015B"/>
    <w:rsid w:val="00F910CF"/>
    <w:rsid w:val="00F910FE"/>
    <w:rsid w:val="00F91878"/>
    <w:rsid w:val="00F92440"/>
    <w:rsid w:val="00F93065"/>
    <w:rsid w:val="00F93324"/>
    <w:rsid w:val="00F93C17"/>
    <w:rsid w:val="00F93E6B"/>
    <w:rsid w:val="00F948B2"/>
    <w:rsid w:val="00F94A9F"/>
    <w:rsid w:val="00F954DA"/>
    <w:rsid w:val="00F958EE"/>
    <w:rsid w:val="00F95F70"/>
    <w:rsid w:val="00F96BF2"/>
    <w:rsid w:val="00F96D20"/>
    <w:rsid w:val="00F9703C"/>
    <w:rsid w:val="00FA02E0"/>
    <w:rsid w:val="00FA0456"/>
    <w:rsid w:val="00FA141B"/>
    <w:rsid w:val="00FA152E"/>
    <w:rsid w:val="00FA1B3F"/>
    <w:rsid w:val="00FA1DFF"/>
    <w:rsid w:val="00FA1F84"/>
    <w:rsid w:val="00FA22C2"/>
    <w:rsid w:val="00FA40A7"/>
    <w:rsid w:val="00FA42F5"/>
    <w:rsid w:val="00FA4617"/>
    <w:rsid w:val="00FA4783"/>
    <w:rsid w:val="00FA4E30"/>
    <w:rsid w:val="00FA52DE"/>
    <w:rsid w:val="00FA57C8"/>
    <w:rsid w:val="00FA5A5A"/>
    <w:rsid w:val="00FA5B8C"/>
    <w:rsid w:val="00FA6347"/>
    <w:rsid w:val="00FA6774"/>
    <w:rsid w:val="00FA6B14"/>
    <w:rsid w:val="00FA715D"/>
    <w:rsid w:val="00FA76E7"/>
    <w:rsid w:val="00FA7F8F"/>
    <w:rsid w:val="00FB01C4"/>
    <w:rsid w:val="00FB08DB"/>
    <w:rsid w:val="00FB187F"/>
    <w:rsid w:val="00FB2550"/>
    <w:rsid w:val="00FB313F"/>
    <w:rsid w:val="00FB379E"/>
    <w:rsid w:val="00FB383A"/>
    <w:rsid w:val="00FB3E53"/>
    <w:rsid w:val="00FB418B"/>
    <w:rsid w:val="00FB4612"/>
    <w:rsid w:val="00FB520E"/>
    <w:rsid w:val="00FB551C"/>
    <w:rsid w:val="00FB5649"/>
    <w:rsid w:val="00FB623E"/>
    <w:rsid w:val="00FB753E"/>
    <w:rsid w:val="00FB7769"/>
    <w:rsid w:val="00FC06D3"/>
    <w:rsid w:val="00FC0D0F"/>
    <w:rsid w:val="00FC1348"/>
    <w:rsid w:val="00FC187E"/>
    <w:rsid w:val="00FC1AEC"/>
    <w:rsid w:val="00FC1D77"/>
    <w:rsid w:val="00FC2070"/>
    <w:rsid w:val="00FC20DC"/>
    <w:rsid w:val="00FC230A"/>
    <w:rsid w:val="00FC2D66"/>
    <w:rsid w:val="00FC2E13"/>
    <w:rsid w:val="00FC3E3E"/>
    <w:rsid w:val="00FC506B"/>
    <w:rsid w:val="00FC518E"/>
    <w:rsid w:val="00FC5246"/>
    <w:rsid w:val="00FC56C6"/>
    <w:rsid w:val="00FC69B3"/>
    <w:rsid w:val="00FC70E2"/>
    <w:rsid w:val="00FC7298"/>
    <w:rsid w:val="00FC740B"/>
    <w:rsid w:val="00FD0E04"/>
    <w:rsid w:val="00FD10B8"/>
    <w:rsid w:val="00FD1109"/>
    <w:rsid w:val="00FD1AFB"/>
    <w:rsid w:val="00FD1CC6"/>
    <w:rsid w:val="00FD1FCE"/>
    <w:rsid w:val="00FD369A"/>
    <w:rsid w:val="00FD37A1"/>
    <w:rsid w:val="00FD3D38"/>
    <w:rsid w:val="00FD4DB8"/>
    <w:rsid w:val="00FD5CA8"/>
    <w:rsid w:val="00FD6135"/>
    <w:rsid w:val="00FD6276"/>
    <w:rsid w:val="00FD6C9F"/>
    <w:rsid w:val="00FD7AC9"/>
    <w:rsid w:val="00FE0571"/>
    <w:rsid w:val="00FE0C5C"/>
    <w:rsid w:val="00FE204B"/>
    <w:rsid w:val="00FE23E1"/>
    <w:rsid w:val="00FE2771"/>
    <w:rsid w:val="00FE27AA"/>
    <w:rsid w:val="00FE31AD"/>
    <w:rsid w:val="00FE3AEB"/>
    <w:rsid w:val="00FE3AF4"/>
    <w:rsid w:val="00FE44A5"/>
    <w:rsid w:val="00FE4970"/>
    <w:rsid w:val="00FE6528"/>
    <w:rsid w:val="00FE770D"/>
    <w:rsid w:val="00FE7B43"/>
    <w:rsid w:val="00FF00BB"/>
    <w:rsid w:val="00FF05D6"/>
    <w:rsid w:val="00FF0F0A"/>
    <w:rsid w:val="00FF0F68"/>
    <w:rsid w:val="00FF1358"/>
    <w:rsid w:val="00FF1469"/>
    <w:rsid w:val="00FF1A24"/>
    <w:rsid w:val="00FF2778"/>
    <w:rsid w:val="00FF2E8E"/>
    <w:rsid w:val="00FF35F0"/>
    <w:rsid w:val="00FF371E"/>
    <w:rsid w:val="00FF3A2F"/>
    <w:rsid w:val="00FF5309"/>
    <w:rsid w:val="00FF5689"/>
    <w:rsid w:val="00FF5BE4"/>
    <w:rsid w:val="02E96744"/>
    <w:rsid w:val="03793B31"/>
    <w:rsid w:val="097E50A4"/>
    <w:rsid w:val="0B8642B3"/>
    <w:rsid w:val="0C2B1162"/>
    <w:rsid w:val="0C6C00A7"/>
    <w:rsid w:val="0CF74903"/>
    <w:rsid w:val="0E347C3F"/>
    <w:rsid w:val="0EB977F0"/>
    <w:rsid w:val="11CC5FF5"/>
    <w:rsid w:val="12404118"/>
    <w:rsid w:val="132A4818"/>
    <w:rsid w:val="161672D6"/>
    <w:rsid w:val="169364F8"/>
    <w:rsid w:val="17A76EBB"/>
    <w:rsid w:val="189B158C"/>
    <w:rsid w:val="197F74EB"/>
    <w:rsid w:val="1A594F14"/>
    <w:rsid w:val="1B7D64C7"/>
    <w:rsid w:val="1EF74148"/>
    <w:rsid w:val="1F6D6158"/>
    <w:rsid w:val="1FCA0401"/>
    <w:rsid w:val="22401878"/>
    <w:rsid w:val="230845D2"/>
    <w:rsid w:val="25245AC9"/>
    <w:rsid w:val="26321F0A"/>
    <w:rsid w:val="26CF1507"/>
    <w:rsid w:val="27146AFB"/>
    <w:rsid w:val="299176A2"/>
    <w:rsid w:val="29F21703"/>
    <w:rsid w:val="2A473AAA"/>
    <w:rsid w:val="2CDF382A"/>
    <w:rsid w:val="2D503B67"/>
    <w:rsid w:val="2DC14F9C"/>
    <w:rsid w:val="3086341C"/>
    <w:rsid w:val="316867E0"/>
    <w:rsid w:val="328A62B4"/>
    <w:rsid w:val="33C31181"/>
    <w:rsid w:val="34BD5F0E"/>
    <w:rsid w:val="34F07218"/>
    <w:rsid w:val="3688462D"/>
    <w:rsid w:val="37441A9D"/>
    <w:rsid w:val="383E56E7"/>
    <w:rsid w:val="38C52DC0"/>
    <w:rsid w:val="3B207061"/>
    <w:rsid w:val="3BF42E05"/>
    <w:rsid w:val="3D863448"/>
    <w:rsid w:val="417E7959"/>
    <w:rsid w:val="4326474D"/>
    <w:rsid w:val="446C7D08"/>
    <w:rsid w:val="44953045"/>
    <w:rsid w:val="4594599D"/>
    <w:rsid w:val="466854D5"/>
    <w:rsid w:val="46FB05B0"/>
    <w:rsid w:val="48003EE9"/>
    <w:rsid w:val="48DE013C"/>
    <w:rsid w:val="49911558"/>
    <w:rsid w:val="4A6C0C97"/>
    <w:rsid w:val="4B364E1A"/>
    <w:rsid w:val="4B3B2391"/>
    <w:rsid w:val="4BB61631"/>
    <w:rsid w:val="4BCA3814"/>
    <w:rsid w:val="4EA36C51"/>
    <w:rsid w:val="50720FD1"/>
    <w:rsid w:val="51FE5EF8"/>
    <w:rsid w:val="56E859DE"/>
    <w:rsid w:val="576A2A02"/>
    <w:rsid w:val="5ACC7530"/>
    <w:rsid w:val="5BC62511"/>
    <w:rsid w:val="5C217E2B"/>
    <w:rsid w:val="5E3C760B"/>
    <w:rsid w:val="5E7B3E52"/>
    <w:rsid w:val="5FA95783"/>
    <w:rsid w:val="5FE8655F"/>
    <w:rsid w:val="60837EFB"/>
    <w:rsid w:val="628030DA"/>
    <w:rsid w:val="63F21DB5"/>
    <w:rsid w:val="645F32B0"/>
    <w:rsid w:val="65C35AF1"/>
    <w:rsid w:val="68B33150"/>
    <w:rsid w:val="6DA85BDA"/>
    <w:rsid w:val="6E414065"/>
    <w:rsid w:val="7233023A"/>
    <w:rsid w:val="73FC458A"/>
    <w:rsid w:val="74395BFA"/>
    <w:rsid w:val="750C503E"/>
    <w:rsid w:val="75A62440"/>
    <w:rsid w:val="75BE68B9"/>
    <w:rsid w:val="774626EC"/>
    <w:rsid w:val="782C2F92"/>
    <w:rsid w:val="78BD3A27"/>
    <w:rsid w:val="7A813A3B"/>
    <w:rsid w:val="7B66335D"/>
    <w:rsid w:val="7B8D0A37"/>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qFormat="1" w:uiPriority="99" w:semiHidden="0" w:name="index 2"/>
    <w:lsdException w:qFormat="1" w:uiPriority="99" w:semiHidden="0" w:name="index 3"/>
    <w:lsdException w:qFormat="1" w:uiPriority="99" w:semiHidden="0" w:name="index 4"/>
    <w:lsdException w:qFormat="1" w:uiPriority="99" w:semiHidden="0" w:name="index 5"/>
    <w:lsdException w:qFormat="1" w:uiPriority="99" w:semiHidden="0" w:name="index 6"/>
    <w:lsdException w:qFormat="1" w:uiPriority="99" w:semiHidden="0" w:name="index 7"/>
    <w:lsdException w:qFormat="1" w:uiPriority="99" w:semiHidden="0" w:name="index 8"/>
    <w:lsdException w:qFormat="1" w:uiPriority="99"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qFormat="1" w:uiPriority="99" w:semiHidden="0" w:name="index heading"/>
    <w:lsdException w:qFormat="1" w:uiPriority="68" w:semiHidden="0" w:name="caption"/>
    <w:lsdException w:qFormat="1" w:uiPriority="99" w:semiHidden="0"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nhideWhenUsed="0" w:uiPriority="99"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before="240" w:after="120" w:line="360" w:lineRule="auto"/>
      <w:jc w:val="both"/>
    </w:pPr>
    <w:rPr>
      <w:rFonts w:ascii="Arial" w:hAnsi="Arial" w:cs="Arial" w:eastAsiaTheme="minorHAnsi"/>
      <w:sz w:val="22"/>
      <w:szCs w:val="22"/>
      <w:lang w:val="es-ES" w:eastAsia="en-US" w:bidi="ar-SA"/>
    </w:rPr>
  </w:style>
  <w:style w:type="paragraph" w:styleId="2">
    <w:name w:val="heading 1"/>
    <w:basedOn w:val="3"/>
    <w:next w:val="1"/>
    <w:link w:val="51"/>
    <w:autoRedefine/>
    <w:qFormat/>
    <w:uiPriority w:val="9"/>
    <w:pPr>
      <w:spacing w:after="360"/>
      <w:outlineLvl w:val="0"/>
    </w:pPr>
    <w:rPr>
      <w:lang w:val="en-GB"/>
    </w:rPr>
  </w:style>
  <w:style w:type="paragraph" w:styleId="4">
    <w:name w:val="heading 2"/>
    <w:basedOn w:val="5"/>
    <w:next w:val="1"/>
    <w:link w:val="52"/>
    <w:autoRedefine/>
    <w:unhideWhenUsed/>
    <w:qFormat/>
    <w:uiPriority w:val="9"/>
    <w:pPr>
      <w:outlineLvl w:val="1"/>
    </w:pPr>
  </w:style>
  <w:style w:type="paragraph" w:styleId="6">
    <w:name w:val="heading 3"/>
    <w:basedOn w:val="7"/>
    <w:next w:val="1"/>
    <w:link w:val="53"/>
    <w:autoRedefine/>
    <w:unhideWhenUsed/>
    <w:qFormat/>
    <w:uiPriority w:val="9"/>
    <w:pPr>
      <w:outlineLvl w:val="2"/>
    </w:pPr>
  </w:style>
  <w:style w:type="paragraph" w:styleId="8">
    <w:name w:val="heading 4"/>
    <w:basedOn w:val="1"/>
    <w:next w:val="1"/>
    <w:link w:val="54"/>
    <w:autoRedefine/>
    <w:unhideWhenUsed/>
    <w:qFormat/>
    <w:uiPriority w:val="9"/>
    <w:pPr>
      <w:keepNext/>
      <w:keepLines/>
      <w:spacing w:before="40" w:after="0"/>
      <w:outlineLvl w:val="3"/>
    </w:pPr>
    <w:rPr>
      <w:rFonts w:asciiTheme="majorHAnsi" w:hAnsiTheme="majorHAnsi" w:eastAsiaTheme="majorEastAsia" w:cstheme="majorBidi"/>
      <w:i/>
      <w:iCs/>
      <w:color w:val="2F5597" w:themeColor="accent1" w:themeShade="BF"/>
    </w:rPr>
  </w:style>
  <w:style w:type="paragraph" w:styleId="9">
    <w:name w:val="heading 5"/>
    <w:basedOn w:val="1"/>
    <w:next w:val="1"/>
    <w:link w:val="93"/>
    <w:autoRedefine/>
    <w:unhideWhenUsed/>
    <w:qFormat/>
    <w:uiPriority w:val="9"/>
    <w:pPr>
      <w:keepNext/>
      <w:keepLines/>
      <w:spacing w:before="40" w:after="0"/>
      <w:outlineLvl w:val="4"/>
    </w:pPr>
    <w:rPr>
      <w:rFonts w:asciiTheme="majorHAnsi" w:hAnsiTheme="majorHAnsi" w:eastAsiaTheme="majorEastAsia" w:cstheme="majorBidi"/>
      <w:color w:val="2F5597" w:themeColor="accent1" w:themeShade="BF"/>
    </w:rPr>
  </w:style>
  <w:style w:type="character" w:default="1" w:styleId="42">
    <w:name w:val="Default Paragraph Font"/>
    <w:autoRedefine/>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customStyle="1" w:styleId="3">
    <w:name w:val="TITULO DE INICIO"/>
    <w:basedOn w:val="1"/>
    <w:link w:val="50"/>
    <w:autoRedefine/>
    <w:qFormat/>
    <w:uiPriority w:val="0"/>
    <w:pPr>
      <w:spacing w:line="240" w:lineRule="auto"/>
    </w:pPr>
    <w:rPr>
      <w:rFonts w:ascii="Arial Narrow" w:hAnsi="Arial Narrow" w:cs="Times New Roman (Títulos en alf"/>
      <w:color w:val="4A4F96"/>
      <w:spacing w:val="-10"/>
      <w:kern w:val="28"/>
      <w:sz w:val="56"/>
      <w:szCs w:val="56"/>
    </w:rPr>
  </w:style>
  <w:style w:type="paragraph" w:customStyle="1" w:styleId="5">
    <w:name w:val="LADILLO 1"/>
    <w:link w:val="81"/>
    <w:autoRedefine/>
    <w:qFormat/>
    <w:uiPriority w:val="0"/>
    <w:pPr>
      <w:spacing w:before="240" w:after="120" w:line="360" w:lineRule="auto"/>
    </w:pPr>
    <w:rPr>
      <w:rFonts w:ascii="Arial Narrow" w:hAnsi="Arial Narrow" w:eastAsiaTheme="majorEastAsia" w:cstheme="majorBidi"/>
      <w:smallCaps/>
      <w:color w:val="4A4F96"/>
      <w:spacing w:val="5"/>
      <w:sz w:val="32"/>
      <w:szCs w:val="60"/>
      <w:lang w:eastAsia="en-US" w:bidi="ar-SA"/>
    </w:rPr>
  </w:style>
  <w:style w:type="paragraph" w:customStyle="1" w:styleId="7">
    <w:name w:val="LADILLO 2"/>
    <w:basedOn w:val="5"/>
    <w:link w:val="84"/>
    <w:autoRedefine/>
    <w:qFormat/>
    <w:uiPriority w:val="0"/>
    <w:rPr>
      <w:sz w:val="28"/>
    </w:rPr>
  </w:style>
  <w:style w:type="paragraph" w:styleId="10">
    <w:name w:val="toc 7"/>
    <w:basedOn w:val="1"/>
    <w:next w:val="1"/>
    <w:autoRedefine/>
    <w:unhideWhenUsed/>
    <w:qFormat/>
    <w:uiPriority w:val="39"/>
    <w:pPr>
      <w:spacing w:before="0" w:after="0"/>
      <w:ind w:left="1320"/>
      <w:jc w:val="left"/>
    </w:pPr>
    <w:rPr>
      <w:rFonts w:asciiTheme="minorHAnsi" w:hAnsiTheme="minorHAnsi" w:cstheme="minorHAnsi"/>
      <w:sz w:val="20"/>
      <w:szCs w:val="20"/>
    </w:rPr>
  </w:style>
  <w:style w:type="paragraph" w:styleId="11">
    <w:name w:val="index 8"/>
    <w:basedOn w:val="1"/>
    <w:next w:val="1"/>
    <w:autoRedefine/>
    <w:unhideWhenUsed/>
    <w:qFormat/>
    <w:uiPriority w:val="99"/>
    <w:pPr>
      <w:spacing w:before="0" w:after="0"/>
      <w:ind w:left="1760" w:hanging="220"/>
      <w:jc w:val="left"/>
    </w:pPr>
    <w:rPr>
      <w:rFonts w:asciiTheme="minorHAnsi" w:hAnsiTheme="minorHAnsi" w:cstheme="minorHAnsi"/>
      <w:sz w:val="18"/>
      <w:szCs w:val="18"/>
    </w:rPr>
  </w:style>
  <w:style w:type="paragraph" w:styleId="12">
    <w:name w:val="caption"/>
    <w:basedOn w:val="1"/>
    <w:next w:val="1"/>
    <w:link w:val="98"/>
    <w:autoRedefine/>
    <w:unhideWhenUsed/>
    <w:qFormat/>
    <w:uiPriority w:val="68"/>
    <w:pPr>
      <w:pBdr>
        <w:bottom w:val="single" w:color="auto" w:sz="4" w:space="1"/>
      </w:pBdr>
      <w:shd w:val="clear" w:color="auto" w:fill="F0F2FF"/>
      <w:spacing w:after="200" w:line="240" w:lineRule="auto"/>
    </w:pPr>
    <w:rPr>
      <w:sz w:val="18"/>
      <w:szCs w:val="18"/>
    </w:rPr>
  </w:style>
  <w:style w:type="paragraph" w:styleId="13">
    <w:name w:val="index 5"/>
    <w:basedOn w:val="1"/>
    <w:next w:val="1"/>
    <w:autoRedefine/>
    <w:unhideWhenUsed/>
    <w:qFormat/>
    <w:uiPriority w:val="99"/>
    <w:pPr>
      <w:spacing w:before="0" w:after="0"/>
      <w:ind w:left="1100" w:hanging="220"/>
      <w:jc w:val="left"/>
    </w:pPr>
    <w:rPr>
      <w:rFonts w:asciiTheme="minorHAnsi" w:hAnsiTheme="minorHAnsi" w:cstheme="minorHAnsi"/>
      <w:sz w:val="18"/>
      <w:szCs w:val="18"/>
    </w:rPr>
  </w:style>
  <w:style w:type="paragraph" w:styleId="14">
    <w:name w:val="annotation text"/>
    <w:basedOn w:val="1"/>
    <w:link w:val="70"/>
    <w:autoRedefine/>
    <w:unhideWhenUsed/>
    <w:qFormat/>
    <w:uiPriority w:val="99"/>
    <w:pPr>
      <w:spacing w:line="240" w:lineRule="auto"/>
    </w:pPr>
    <w:rPr>
      <w:sz w:val="20"/>
      <w:szCs w:val="20"/>
    </w:rPr>
  </w:style>
  <w:style w:type="paragraph" w:styleId="15">
    <w:name w:val="index 6"/>
    <w:basedOn w:val="1"/>
    <w:next w:val="1"/>
    <w:autoRedefine/>
    <w:unhideWhenUsed/>
    <w:qFormat/>
    <w:uiPriority w:val="99"/>
    <w:pPr>
      <w:spacing w:before="0" w:after="0"/>
      <w:ind w:left="1320" w:hanging="220"/>
      <w:jc w:val="left"/>
    </w:pPr>
    <w:rPr>
      <w:rFonts w:asciiTheme="minorHAnsi" w:hAnsiTheme="minorHAnsi" w:cstheme="minorHAnsi"/>
      <w:sz w:val="18"/>
      <w:szCs w:val="18"/>
    </w:rPr>
  </w:style>
  <w:style w:type="paragraph" w:styleId="16">
    <w:name w:val="index 4"/>
    <w:basedOn w:val="1"/>
    <w:next w:val="1"/>
    <w:autoRedefine/>
    <w:unhideWhenUsed/>
    <w:qFormat/>
    <w:uiPriority w:val="99"/>
    <w:pPr>
      <w:spacing w:before="0" w:after="0"/>
      <w:ind w:left="880" w:hanging="220"/>
      <w:jc w:val="left"/>
    </w:pPr>
    <w:rPr>
      <w:rFonts w:asciiTheme="minorHAnsi" w:hAnsiTheme="minorHAnsi" w:cstheme="minorHAnsi"/>
      <w:sz w:val="18"/>
      <w:szCs w:val="18"/>
    </w:rPr>
  </w:style>
  <w:style w:type="paragraph" w:styleId="17">
    <w:name w:val="toc 5"/>
    <w:basedOn w:val="1"/>
    <w:next w:val="1"/>
    <w:autoRedefine/>
    <w:unhideWhenUsed/>
    <w:qFormat/>
    <w:uiPriority w:val="39"/>
    <w:pPr>
      <w:spacing w:before="0" w:after="0"/>
      <w:ind w:left="880"/>
      <w:jc w:val="left"/>
    </w:pPr>
    <w:rPr>
      <w:rFonts w:asciiTheme="minorHAnsi" w:hAnsiTheme="minorHAnsi" w:cstheme="minorHAnsi"/>
      <w:sz w:val="20"/>
      <w:szCs w:val="20"/>
    </w:rPr>
  </w:style>
  <w:style w:type="paragraph" w:styleId="18">
    <w:name w:val="toc 3"/>
    <w:basedOn w:val="1"/>
    <w:next w:val="1"/>
    <w:autoRedefine/>
    <w:unhideWhenUsed/>
    <w:qFormat/>
    <w:uiPriority w:val="39"/>
    <w:pPr>
      <w:spacing w:before="0" w:after="0"/>
      <w:ind w:left="440"/>
      <w:jc w:val="left"/>
    </w:pPr>
    <w:rPr>
      <w:rFonts w:asciiTheme="minorHAnsi" w:hAnsiTheme="minorHAnsi" w:cstheme="minorHAnsi"/>
      <w:sz w:val="20"/>
      <w:szCs w:val="20"/>
    </w:rPr>
  </w:style>
  <w:style w:type="paragraph" w:styleId="19">
    <w:name w:val="toc 8"/>
    <w:basedOn w:val="1"/>
    <w:next w:val="1"/>
    <w:autoRedefine/>
    <w:unhideWhenUsed/>
    <w:qFormat/>
    <w:uiPriority w:val="39"/>
    <w:pPr>
      <w:spacing w:before="0" w:after="0"/>
      <w:ind w:left="1540"/>
      <w:jc w:val="left"/>
    </w:pPr>
    <w:rPr>
      <w:rFonts w:asciiTheme="minorHAnsi" w:hAnsiTheme="minorHAnsi" w:cstheme="minorHAnsi"/>
      <w:sz w:val="20"/>
      <w:szCs w:val="20"/>
    </w:rPr>
  </w:style>
  <w:style w:type="paragraph" w:styleId="20">
    <w:name w:val="index 3"/>
    <w:basedOn w:val="1"/>
    <w:next w:val="1"/>
    <w:autoRedefine/>
    <w:unhideWhenUsed/>
    <w:qFormat/>
    <w:uiPriority w:val="99"/>
    <w:pPr>
      <w:spacing w:before="0" w:after="0"/>
      <w:ind w:left="660" w:hanging="220"/>
      <w:jc w:val="left"/>
    </w:pPr>
    <w:rPr>
      <w:rFonts w:asciiTheme="minorHAnsi" w:hAnsiTheme="minorHAnsi" w:cstheme="minorHAnsi"/>
      <w:sz w:val="18"/>
      <w:szCs w:val="18"/>
    </w:rPr>
  </w:style>
  <w:style w:type="paragraph" w:styleId="21">
    <w:name w:val="endnote text"/>
    <w:basedOn w:val="1"/>
    <w:link w:val="97"/>
    <w:autoRedefine/>
    <w:semiHidden/>
    <w:unhideWhenUsed/>
    <w:qFormat/>
    <w:uiPriority w:val="99"/>
    <w:pPr>
      <w:spacing w:before="0" w:after="0" w:line="240" w:lineRule="auto"/>
    </w:pPr>
    <w:rPr>
      <w:sz w:val="20"/>
      <w:szCs w:val="20"/>
    </w:rPr>
  </w:style>
  <w:style w:type="paragraph" w:styleId="22">
    <w:name w:val="Balloon Text"/>
    <w:basedOn w:val="1"/>
    <w:link w:val="59"/>
    <w:autoRedefine/>
    <w:semiHidden/>
    <w:unhideWhenUsed/>
    <w:qFormat/>
    <w:uiPriority w:val="99"/>
    <w:pPr>
      <w:spacing w:after="0" w:line="240" w:lineRule="auto"/>
    </w:pPr>
    <w:rPr>
      <w:rFonts w:ascii="Segoe UI" w:hAnsi="Segoe UI" w:cs="Segoe UI"/>
      <w:sz w:val="18"/>
      <w:szCs w:val="18"/>
    </w:rPr>
  </w:style>
  <w:style w:type="paragraph" w:styleId="23">
    <w:name w:val="footer"/>
    <w:basedOn w:val="1"/>
    <w:link w:val="61"/>
    <w:autoRedefine/>
    <w:unhideWhenUsed/>
    <w:qFormat/>
    <w:uiPriority w:val="99"/>
    <w:pPr>
      <w:tabs>
        <w:tab w:val="center" w:pos="4252"/>
        <w:tab w:val="right" w:pos="8504"/>
      </w:tabs>
      <w:spacing w:after="0" w:line="240" w:lineRule="auto"/>
    </w:pPr>
  </w:style>
  <w:style w:type="paragraph" w:styleId="24">
    <w:name w:val="header"/>
    <w:basedOn w:val="1"/>
    <w:link w:val="60"/>
    <w:autoRedefine/>
    <w:unhideWhenUsed/>
    <w:qFormat/>
    <w:uiPriority w:val="99"/>
    <w:pPr>
      <w:tabs>
        <w:tab w:val="center" w:pos="4252"/>
        <w:tab w:val="right" w:pos="8504"/>
      </w:tabs>
      <w:spacing w:after="0" w:line="240" w:lineRule="auto"/>
    </w:pPr>
  </w:style>
  <w:style w:type="paragraph" w:styleId="25">
    <w:name w:val="toc 1"/>
    <w:basedOn w:val="1"/>
    <w:next w:val="1"/>
    <w:autoRedefine/>
    <w:unhideWhenUsed/>
    <w:qFormat/>
    <w:uiPriority w:val="39"/>
    <w:pPr>
      <w:tabs>
        <w:tab w:val="right" w:leader="underscore" w:pos="15628"/>
      </w:tabs>
      <w:spacing w:before="60" w:after="60" w:line="276" w:lineRule="auto"/>
      <w:jc w:val="left"/>
    </w:pPr>
    <w:rPr>
      <w:rFonts w:ascii="Times New Roman" w:hAnsi="Times New Roman" w:cstheme="minorHAnsi"/>
      <w:b/>
      <w:bCs/>
      <w:i/>
      <w:iCs/>
      <w:sz w:val="24"/>
      <w:szCs w:val="24"/>
    </w:rPr>
  </w:style>
  <w:style w:type="paragraph" w:styleId="26">
    <w:name w:val="toc 4"/>
    <w:basedOn w:val="1"/>
    <w:next w:val="1"/>
    <w:autoRedefine/>
    <w:unhideWhenUsed/>
    <w:qFormat/>
    <w:uiPriority w:val="39"/>
    <w:pPr>
      <w:spacing w:before="0" w:after="0"/>
      <w:ind w:left="660"/>
      <w:jc w:val="left"/>
    </w:pPr>
    <w:rPr>
      <w:rFonts w:asciiTheme="minorHAnsi" w:hAnsiTheme="minorHAnsi" w:cstheme="minorHAnsi"/>
      <w:sz w:val="20"/>
      <w:szCs w:val="20"/>
    </w:rPr>
  </w:style>
  <w:style w:type="paragraph" w:styleId="27">
    <w:name w:val="index heading"/>
    <w:basedOn w:val="1"/>
    <w:next w:val="28"/>
    <w:autoRedefine/>
    <w:unhideWhenUsed/>
    <w:qFormat/>
    <w:uiPriority w:val="99"/>
    <w:pPr>
      <w:ind w:left="140"/>
      <w:jc w:val="left"/>
    </w:pPr>
    <w:rPr>
      <w:rFonts w:asciiTheme="majorHAnsi" w:hAnsiTheme="majorHAnsi" w:cstheme="majorHAnsi"/>
      <w:b/>
      <w:bCs/>
      <w:sz w:val="28"/>
      <w:szCs w:val="28"/>
    </w:rPr>
  </w:style>
  <w:style w:type="paragraph" w:styleId="28">
    <w:name w:val="index 1"/>
    <w:basedOn w:val="1"/>
    <w:next w:val="1"/>
    <w:autoRedefine/>
    <w:unhideWhenUsed/>
    <w:qFormat/>
    <w:uiPriority w:val="99"/>
    <w:pPr>
      <w:spacing w:before="0" w:after="0"/>
      <w:ind w:left="220" w:hanging="220"/>
      <w:jc w:val="left"/>
    </w:pPr>
    <w:rPr>
      <w:rFonts w:asciiTheme="minorHAnsi" w:hAnsiTheme="minorHAnsi" w:cstheme="minorHAnsi"/>
      <w:sz w:val="18"/>
      <w:szCs w:val="18"/>
    </w:rPr>
  </w:style>
  <w:style w:type="paragraph" w:styleId="29">
    <w:name w:val="footnote text"/>
    <w:basedOn w:val="1"/>
    <w:link w:val="78"/>
    <w:autoRedefine/>
    <w:semiHidden/>
    <w:unhideWhenUsed/>
    <w:qFormat/>
    <w:uiPriority w:val="99"/>
    <w:pPr>
      <w:spacing w:after="0" w:line="240" w:lineRule="auto"/>
    </w:pPr>
    <w:rPr>
      <w:sz w:val="20"/>
      <w:szCs w:val="20"/>
    </w:rPr>
  </w:style>
  <w:style w:type="paragraph" w:styleId="30">
    <w:name w:val="toc 6"/>
    <w:basedOn w:val="1"/>
    <w:next w:val="1"/>
    <w:autoRedefine/>
    <w:unhideWhenUsed/>
    <w:qFormat/>
    <w:uiPriority w:val="39"/>
    <w:pPr>
      <w:spacing w:before="0" w:after="0"/>
      <w:ind w:left="1100"/>
      <w:jc w:val="left"/>
    </w:pPr>
    <w:rPr>
      <w:rFonts w:asciiTheme="minorHAnsi" w:hAnsiTheme="minorHAnsi" w:cstheme="minorHAnsi"/>
      <w:sz w:val="20"/>
      <w:szCs w:val="20"/>
    </w:rPr>
  </w:style>
  <w:style w:type="paragraph" w:styleId="31">
    <w:name w:val="index 7"/>
    <w:basedOn w:val="1"/>
    <w:next w:val="1"/>
    <w:autoRedefine/>
    <w:unhideWhenUsed/>
    <w:qFormat/>
    <w:uiPriority w:val="99"/>
    <w:pPr>
      <w:spacing w:before="0" w:after="0"/>
      <w:ind w:left="1540" w:hanging="220"/>
      <w:jc w:val="left"/>
    </w:pPr>
    <w:rPr>
      <w:rFonts w:asciiTheme="minorHAnsi" w:hAnsiTheme="minorHAnsi" w:cstheme="minorHAnsi"/>
      <w:sz w:val="18"/>
      <w:szCs w:val="18"/>
    </w:rPr>
  </w:style>
  <w:style w:type="paragraph" w:styleId="32">
    <w:name w:val="index 9"/>
    <w:basedOn w:val="1"/>
    <w:next w:val="1"/>
    <w:autoRedefine/>
    <w:unhideWhenUsed/>
    <w:qFormat/>
    <w:uiPriority w:val="99"/>
    <w:pPr>
      <w:spacing w:before="0" w:after="0"/>
      <w:ind w:left="1980" w:hanging="220"/>
      <w:jc w:val="left"/>
    </w:pPr>
    <w:rPr>
      <w:rFonts w:asciiTheme="minorHAnsi" w:hAnsiTheme="minorHAnsi" w:cstheme="minorHAnsi"/>
      <w:sz w:val="18"/>
      <w:szCs w:val="18"/>
    </w:rPr>
  </w:style>
  <w:style w:type="paragraph" w:styleId="33">
    <w:name w:val="table of figures"/>
    <w:basedOn w:val="1"/>
    <w:next w:val="1"/>
    <w:autoRedefine/>
    <w:unhideWhenUsed/>
    <w:qFormat/>
    <w:uiPriority w:val="99"/>
    <w:pPr>
      <w:spacing w:before="60" w:after="60"/>
      <w:jc w:val="left"/>
    </w:pPr>
    <w:rPr>
      <w:rFonts w:ascii="Times New Roman" w:hAnsi="Times New Roman" w:cstheme="minorHAnsi"/>
      <w:b/>
      <w:i/>
      <w:iCs/>
      <w:szCs w:val="20"/>
    </w:rPr>
  </w:style>
  <w:style w:type="paragraph" w:styleId="34">
    <w:name w:val="toc 2"/>
    <w:next w:val="1"/>
    <w:autoRedefine/>
    <w:unhideWhenUsed/>
    <w:qFormat/>
    <w:uiPriority w:val="39"/>
    <w:pPr>
      <w:spacing w:before="60" w:after="60" w:line="276" w:lineRule="auto"/>
      <w:ind w:left="221"/>
    </w:pPr>
    <w:rPr>
      <w:rFonts w:ascii="Times New Roman" w:hAnsi="Times New Roman" w:eastAsiaTheme="minorHAnsi" w:cstheme="minorHAnsi"/>
      <w:bCs/>
      <w:sz w:val="22"/>
      <w:szCs w:val="22"/>
      <w:lang w:val="es-ES" w:eastAsia="en-US" w:bidi="ar-SA"/>
    </w:rPr>
  </w:style>
  <w:style w:type="paragraph" w:styleId="35">
    <w:name w:val="toc 9"/>
    <w:basedOn w:val="1"/>
    <w:next w:val="1"/>
    <w:autoRedefine/>
    <w:unhideWhenUsed/>
    <w:qFormat/>
    <w:uiPriority w:val="39"/>
    <w:pPr>
      <w:spacing w:before="0" w:after="0"/>
      <w:ind w:left="1760"/>
      <w:jc w:val="left"/>
    </w:pPr>
    <w:rPr>
      <w:rFonts w:asciiTheme="minorHAnsi" w:hAnsiTheme="minorHAnsi" w:cstheme="minorHAnsi"/>
      <w:sz w:val="20"/>
      <w:szCs w:val="20"/>
    </w:rPr>
  </w:style>
  <w:style w:type="paragraph" w:styleId="36">
    <w:name w:val="Normal (Web)"/>
    <w:basedOn w:val="1"/>
    <w:autoRedefine/>
    <w:semiHidden/>
    <w:unhideWhenUsed/>
    <w:qFormat/>
    <w:uiPriority w:val="99"/>
    <w:rPr>
      <w:rFonts w:ascii="Times New Roman" w:hAnsi="Times New Roman" w:cs="Times New Roman"/>
      <w:sz w:val="24"/>
      <w:szCs w:val="24"/>
    </w:rPr>
  </w:style>
  <w:style w:type="paragraph" w:styleId="37">
    <w:name w:val="index 2"/>
    <w:basedOn w:val="1"/>
    <w:next w:val="1"/>
    <w:autoRedefine/>
    <w:unhideWhenUsed/>
    <w:qFormat/>
    <w:uiPriority w:val="99"/>
    <w:pPr>
      <w:spacing w:before="0" w:after="0"/>
      <w:ind w:left="440" w:hanging="220"/>
      <w:jc w:val="left"/>
    </w:pPr>
    <w:rPr>
      <w:rFonts w:asciiTheme="minorHAnsi" w:hAnsiTheme="minorHAnsi" w:cstheme="minorHAnsi"/>
      <w:sz w:val="18"/>
      <w:szCs w:val="18"/>
    </w:rPr>
  </w:style>
  <w:style w:type="paragraph" w:styleId="38">
    <w:name w:val="Title"/>
    <w:basedOn w:val="1"/>
    <w:next w:val="1"/>
    <w:link w:val="68"/>
    <w:autoRedefine/>
    <w:qFormat/>
    <w:uiPriority w:val="10"/>
    <w:pPr>
      <w:spacing w:after="0" w:line="240" w:lineRule="auto"/>
      <w:contextualSpacing/>
      <w:jc w:val="center"/>
    </w:pPr>
    <w:rPr>
      <w:rFonts w:ascii="Arial Narrow" w:hAnsi="Arial Narrow" w:cs="Times New Roman (Títulos en alf" w:eastAsiaTheme="majorEastAsia"/>
      <w:smallCaps/>
      <w:color w:val="7030A0"/>
      <w:spacing w:val="-10"/>
      <w:kern w:val="28"/>
      <w:sz w:val="60"/>
      <w:szCs w:val="56"/>
    </w:rPr>
  </w:style>
  <w:style w:type="paragraph" w:styleId="39">
    <w:name w:val="annotation subject"/>
    <w:basedOn w:val="14"/>
    <w:next w:val="14"/>
    <w:link w:val="71"/>
    <w:autoRedefine/>
    <w:semiHidden/>
    <w:unhideWhenUsed/>
    <w:qFormat/>
    <w:uiPriority w:val="99"/>
    <w:rPr>
      <w:b/>
      <w:bCs/>
    </w:rPr>
  </w:style>
  <w:style w:type="table" w:styleId="41">
    <w:name w:val="Table Grid"/>
    <w:basedOn w:val="40"/>
    <w:autoRedefine/>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basedOn w:val="42"/>
    <w:autoRedefine/>
    <w:qFormat/>
    <w:uiPriority w:val="22"/>
    <w:rPr>
      <w:b/>
      <w:bCs/>
    </w:rPr>
  </w:style>
  <w:style w:type="character" w:styleId="44">
    <w:name w:val="endnote reference"/>
    <w:basedOn w:val="42"/>
    <w:autoRedefine/>
    <w:semiHidden/>
    <w:unhideWhenUsed/>
    <w:qFormat/>
    <w:uiPriority w:val="99"/>
    <w:rPr>
      <w:vertAlign w:val="superscript"/>
    </w:rPr>
  </w:style>
  <w:style w:type="character" w:styleId="45">
    <w:name w:val="page number"/>
    <w:basedOn w:val="42"/>
    <w:autoRedefine/>
    <w:semiHidden/>
    <w:unhideWhenUsed/>
    <w:qFormat/>
    <w:uiPriority w:val="99"/>
  </w:style>
  <w:style w:type="character" w:styleId="46">
    <w:name w:val="Emphasis"/>
    <w:autoRedefine/>
    <w:qFormat/>
    <w:uiPriority w:val="20"/>
    <w:rPr>
      <w:rFonts w:asciiTheme="minorHAnsi" w:hAnsiTheme="minorHAnsi"/>
      <w:b/>
      <w:iCs/>
      <w:color w:val="4A489B"/>
      <w:sz w:val="22"/>
    </w:rPr>
  </w:style>
  <w:style w:type="character" w:styleId="47">
    <w:name w:val="Hyperlink"/>
    <w:basedOn w:val="42"/>
    <w:autoRedefine/>
    <w:unhideWhenUsed/>
    <w:qFormat/>
    <w:uiPriority w:val="99"/>
    <w:rPr>
      <w:color w:val="0000FF"/>
      <w:u w:val="single"/>
    </w:rPr>
  </w:style>
  <w:style w:type="character" w:styleId="48">
    <w:name w:val="annotation reference"/>
    <w:basedOn w:val="42"/>
    <w:autoRedefine/>
    <w:semiHidden/>
    <w:unhideWhenUsed/>
    <w:qFormat/>
    <w:uiPriority w:val="99"/>
    <w:rPr>
      <w:sz w:val="16"/>
      <w:szCs w:val="16"/>
    </w:rPr>
  </w:style>
  <w:style w:type="character" w:styleId="49">
    <w:name w:val="footnote reference"/>
    <w:basedOn w:val="42"/>
    <w:autoRedefine/>
    <w:semiHidden/>
    <w:unhideWhenUsed/>
    <w:qFormat/>
    <w:uiPriority w:val="99"/>
    <w:rPr>
      <w:vertAlign w:val="superscript"/>
    </w:rPr>
  </w:style>
  <w:style w:type="character" w:customStyle="1" w:styleId="50">
    <w:name w:val="TITULO DE INICIO Car"/>
    <w:basedOn w:val="42"/>
    <w:link w:val="3"/>
    <w:autoRedefine/>
    <w:qFormat/>
    <w:uiPriority w:val="0"/>
    <w:rPr>
      <w:rFonts w:ascii="Arial Narrow" w:hAnsi="Arial Narrow" w:cs="Times New Roman (Títulos en alf"/>
      <w:color w:val="4A4F96"/>
      <w:spacing w:val="-10"/>
      <w:kern w:val="28"/>
      <w:sz w:val="56"/>
      <w:szCs w:val="56"/>
    </w:rPr>
  </w:style>
  <w:style w:type="character" w:customStyle="1" w:styleId="51">
    <w:name w:val="Título 1 Car"/>
    <w:basedOn w:val="42"/>
    <w:link w:val="2"/>
    <w:autoRedefine/>
    <w:qFormat/>
    <w:uiPriority w:val="9"/>
    <w:rPr>
      <w:rFonts w:ascii="Arial Narrow" w:hAnsi="Arial Narrow" w:cs="Times New Roman (Títulos en alf"/>
      <w:color w:val="4A4F96"/>
      <w:spacing w:val="-10"/>
      <w:kern w:val="28"/>
      <w:sz w:val="56"/>
      <w:szCs w:val="56"/>
      <w:lang w:val="en-GB"/>
    </w:rPr>
  </w:style>
  <w:style w:type="character" w:customStyle="1" w:styleId="52">
    <w:name w:val="Título 2 Car"/>
    <w:basedOn w:val="42"/>
    <w:link w:val="4"/>
    <w:autoRedefine/>
    <w:qFormat/>
    <w:uiPriority w:val="9"/>
    <w:rPr>
      <w:rFonts w:ascii="Arial Narrow" w:hAnsi="Arial Narrow" w:eastAsiaTheme="majorEastAsia" w:cstheme="majorBidi"/>
      <w:smallCaps/>
      <w:color w:val="4A4F96"/>
      <w:spacing w:val="5"/>
      <w:sz w:val="32"/>
      <w:szCs w:val="60"/>
    </w:rPr>
  </w:style>
  <w:style w:type="character" w:customStyle="1" w:styleId="53">
    <w:name w:val="Título 3 Car"/>
    <w:basedOn w:val="42"/>
    <w:link w:val="6"/>
    <w:autoRedefine/>
    <w:qFormat/>
    <w:uiPriority w:val="9"/>
    <w:rPr>
      <w:rFonts w:ascii="Arial Narrow" w:hAnsi="Arial Narrow" w:eastAsiaTheme="majorEastAsia" w:cstheme="majorBidi"/>
      <w:smallCaps/>
      <w:color w:val="4A4F96"/>
      <w:spacing w:val="5"/>
      <w:sz w:val="28"/>
      <w:szCs w:val="60"/>
    </w:rPr>
  </w:style>
  <w:style w:type="character" w:customStyle="1" w:styleId="54">
    <w:name w:val="Título 4 Car"/>
    <w:basedOn w:val="42"/>
    <w:link w:val="8"/>
    <w:autoRedefine/>
    <w:qFormat/>
    <w:uiPriority w:val="9"/>
    <w:rPr>
      <w:rFonts w:asciiTheme="majorHAnsi" w:hAnsiTheme="majorHAnsi" w:eastAsiaTheme="majorEastAsia" w:cstheme="majorBidi"/>
      <w:i/>
      <w:iCs/>
      <w:color w:val="2F5597" w:themeColor="accent1" w:themeShade="BF"/>
    </w:rPr>
  </w:style>
  <w:style w:type="paragraph" w:styleId="55">
    <w:name w:val="No Spacing"/>
    <w:autoRedefine/>
    <w:qFormat/>
    <w:uiPriority w:val="1"/>
    <w:pPr>
      <w:spacing w:after="0" w:line="240" w:lineRule="auto"/>
    </w:pPr>
    <w:rPr>
      <w:rFonts w:asciiTheme="minorHAnsi" w:hAnsiTheme="minorHAnsi" w:eastAsiaTheme="minorHAnsi" w:cstheme="minorBidi"/>
      <w:sz w:val="22"/>
      <w:szCs w:val="22"/>
      <w:lang w:val="es-ES" w:eastAsia="en-US" w:bidi="ar-SA"/>
    </w:rPr>
  </w:style>
  <w:style w:type="paragraph" w:styleId="56">
    <w:name w:val="List Paragraph"/>
    <w:basedOn w:val="1"/>
    <w:autoRedefine/>
    <w:qFormat/>
    <w:uiPriority w:val="34"/>
    <w:pPr>
      <w:ind w:left="720"/>
      <w:contextualSpacing/>
    </w:pPr>
  </w:style>
  <w:style w:type="paragraph" w:customStyle="1" w:styleId="57">
    <w:name w:val="Bibliography"/>
    <w:basedOn w:val="1"/>
    <w:next w:val="1"/>
    <w:autoRedefine/>
    <w:unhideWhenUsed/>
    <w:qFormat/>
    <w:uiPriority w:val="37"/>
    <w:pPr>
      <w:tabs>
        <w:tab w:val="left" w:pos="384"/>
      </w:tabs>
      <w:spacing w:after="240" w:line="240" w:lineRule="auto"/>
      <w:ind w:left="384" w:hanging="384"/>
    </w:pPr>
  </w:style>
  <w:style w:type="table" w:customStyle="1" w:styleId="58">
    <w:name w:val="List Table 4 Accent 6"/>
    <w:basedOn w:val="40"/>
    <w:autoRedefine/>
    <w:qFormat/>
    <w:uiPriority w:val="49"/>
    <w:pPr>
      <w:spacing w:after="0" w:line="240" w:lineRule="auto"/>
    </w:p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tblBorders>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tcBorders>
        <w:shd w:val="clear" w:color="auto" w:fill="70AD47" w:themeFill="accent6"/>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character" w:customStyle="1" w:styleId="59">
    <w:name w:val="Texto de globo Car"/>
    <w:basedOn w:val="42"/>
    <w:link w:val="22"/>
    <w:autoRedefine/>
    <w:semiHidden/>
    <w:qFormat/>
    <w:uiPriority w:val="99"/>
    <w:rPr>
      <w:rFonts w:ascii="Segoe UI" w:hAnsi="Segoe UI" w:cs="Segoe UI"/>
      <w:sz w:val="18"/>
      <w:szCs w:val="18"/>
    </w:rPr>
  </w:style>
  <w:style w:type="character" w:customStyle="1" w:styleId="60">
    <w:name w:val="Encabezado Car"/>
    <w:basedOn w:val="42"/>
    <w:link w:val="24"/>
    <w:autoRedefine/>
    <w:qFormat/>
    <w:uiPriority w:val="99"/>
  </w:style>
  <w:style w:type="character" w:customStyle="1" w:styleId="61">
    <w:name w:val="Pie de página Car"/>
    <w:basedOn w:val="42"/>
    <w:link w:val="23"/>
    <w:autoRedefine/>
    <w:qFormat/>
    <w:uiPriority w:val="99"/>
  </w:style>
  <w:style w:type="paragraph" w:customStyle="1" w:styleId="62">
    <w:name w:val="parrafo"/>
    <w:basedOn w:val="1"/>
    <w:autoRedefine/>
    <w:qFormat/>
    <w:uiPriority w:val="0"/>
    <w:pPr>
      <w:spacing w:before="100" w:beforeAutospacing="1" w:after="100" w:afterAutospacing="1" w:line="240" w:lineRule="auto"/>
    </w:pPr>
    <w:rPr>
      <w:rFonts w:ascii="Times New Roman" w:hAnsi="Times New Roman" w:eastAsia="Times New Roman" w:cs="Times New Roman"/>
      <w:sz w:val="24"/>
      <w:szCs w:val="24"/>
      <w:lang w:eastAsia="es-ES"/>
    </w:rPr>
  </w:style>
  <w:style w:type="paragraph" w:customStyle="1" w:styleId="63">
    <w:name w:val="parrafo_2"/>
    <w:basedOn w:val="1"/>
    <w:autoRedefine/>
    <w:qFormat/>
    <w:uiPriority w:val="0"/>
    <w:pPr>
      <w:spacing w:before="100" w:beforeAutospacing="1" w:after="100" w:afterAutospacing="1" w:line="240" w:lineRule="auto"/>
    </w:pPr>
    <w:rPr>
      <w:rFonts w:ascii="Times New Roman" w:hAnsi="Times New Roman" w:eastAsia="Times New Roman" w:cs="Times New Roman"/>
      <w:sz w:val="24"/>
      <w:szCs w:val="24"/>
      <w:lang w:eastAsia="es-ES"/>
    </w:rPr>
  </w:style>
  <w:style w:type="paragraph" w:customStyle="1" w:styleId="64">
    <w:name w:val="Default"/>
    <w:autoRedefine/>
    <w:qFormat/>
    <w:uiPriority w:val="0"/>
    <w:pPr>
      <w:autoSpaceDE w:val="0"/>
      <w:autoSpaceDN w:val="0"/>
      <w:adjustRightInd w:val="0"/>
      <w:spacing w:after="0" w:line="240" w:lineRule="auto"/>
    </w:pPr>
    <w:rPr>
      <w:rFonts w:ascii="Calibri" w:hAnsi="Calibri" w:cs="Calibri" w:eastAsiaTheme="majorEastAsia"/>
      <w:color w:val="000000"/>
      <w:sz w:val="24"/>
      <w:szCs w:val="24"/>
      <w:lang w:val="es-ES" w:eastAsia="en-US" w:bidi="ar-SA"/>
    </w:rPr>
  </w:style>
  <w:style w:type="paragraph" w:customStyle="1" w:styleId="65">
    <w:name w:val="selectionshareable"/>
    <w:basedOn w:val="1"/>
    <w:autoRedefine/>
    <w:qFormat/>
    <w:uiPriority w:val="0"/>
    <w:pPr>
      <w:spacing w:before="100" w:beforeAutospacing="1" w:after="100" w:afterAutospacing="1" w:line="240" w:lineRule="auto"/>
    </w:pPr>
    <w:rPr>
      <w:rFonts w:ascii="Times New Roman" w:hAnsi="Times New Roman" w:eastAsia="Times New Roman" w:cs="Times New Roman"/>
      <w:sz w:val="24"/>
      <w:szCs w:val="24"/>
      <w:lang w:eastAsia="es-ES"/>
    </w:rPr>
  </w:style>
  <w:style w:type="paragraph" w:customStyle="1" w:styleId="66">
    <w:name w:val="TEXTO GENERAL"/>
    <w:link w:val="67"/>
    <w:autoRedefine/>
    <w:qFormat/>
    <w:uiPriority w:val="0"/>
    <w:pPr>
      <w:spacing w:after="120" w:line="360" w:lineRule="auto"/>
      <w:jc w:val="both"/>
    </w:pPr>
    <w:rPr>
      <w:rFonts w:ascii="Arial" w:hAnsi="Arial" w:cs="Times New Roman (Cuerpo en alfa" w:eastAsiaTheme="minorHAnsi"/>
      <w:color w:val="000000" w:themeColor="text1"/>
      <w:sz w:val="24"/>
      <w:szCs w:val="22"/>
      <w:lang w:val="es-ES" w:eastAsia="en-US" w:bidi="ar-SA"/>
      <w14:textFill>
        <w14:solidFill>
          <w14:schemeClr w14:val="tx1"/>
        </w14:solidFill>
      </w14:textFill>
    </w:rPr>
  </w:style>
  <w:style w:type="character" w:customStyle="1" w:styleId="67">
    <w:name w:val="TEXTO GENERAL Car"/>
    <w:basedOn w:val="42"/>
    <w:link w:val="66"/>
    <w:autoRedefine/>
    <w:qFormat/>
    <w:uiPriority w:val="0"/>
    <w:rPr>
      <w:rFonts w:ascii="Arial" w:hAnsi="Arial" w:cs="Times New Roman (Cuerpo en alfa"/>
      <w:color w:val="000000" w:themeColor="text1"/>
      <w:sz w:val="24"/>
      <w14:textFill>
        <w14:solidFill>
          <w14:schemeClr w14:val="tx1"/>
        </w14:solidFill>
      </w14:textFill>
    </w:rPr>
  </w:style>
  <w:style w:type="character" w:customStyle="1" w:styleId="68">
    <w:name w:val="Título Car"/>
    <w:basedOn w:val="42"/>
    <w:link w:val="38"/>
    <w:autoRedefine/>
    <w:qFormat/>
    <w:uiPriority w:val="10"/>
    <w:rPr>
      <w:rFonts w:ascii="Arial Narrow" w:hAnsi="Arial Narrow" w:cs="Times New Roman (Títulos en alf" w:eastAsiaTheme="majorEastAsia"/>
      <w:smallCaps/>
      <w:color w:val="7030A0"/>
      <w:spacing w:val="-10"/>
      <w:kern w:val="28"/>
      <w:sz w:val="60"/>
      <w:szCs w:val="56"/>
    </w:rPr>
  </w:style>
  <w:style w:type="paragraph" w:customStyle="1" w:styleId="69">
    <w:name w:val="TOC Heading"/>
    <w:basedOn w:val="2"/>
    <w:next w:val="1"/>
    <w:autoRedefine/>
    <w:unhideWhenUsed/>
    <w:qFormat/>
    <w:uiPriority w:val="39"/>
    <w:pPr>
      <w:keepNext/>
      <w:keepLines/>
      <w:spacing w:after="0" w:line="259" w:lineRule="auto"/>
      <w:outlineLvl w:val="9"/>
    </w:pPr>
    <w:rPr>
      <w:rFonts w:asciiTheme="majorHAnsi" w:hAnsiTheme="majorHAnsi" w:eastAsiaTheme="majorEastAsia" w:cstheme="majorBidi"/>
      <w:color w:val="2F5597" w:themeColor="accent1" w:themeShade="BF"/>
      <w:spacing w:val="0"/>
      <w:kern w:val="0"/>
      <w:sz w:val="32"/>
      <w:szCs w:val="32"/>
      <w:lang w:val="es-ES" w:eastAsia="es-ES"/>
    </w:rPr>
  </w:style>
  <w:style w:type="character" w:customStyle="1" w:styleId="70">
    <w:name w:val="Texto comentario Car"/>
    <w:basedOn w:val="42"/>
    <w:link w:val="14"/>
    <w:autoRedefine/>
    <w:qFormat/>
    <w:uiPriority w:val="99"/>
    <w:rPr>
      <w:sz w:val="20"/>
      <w:szCs w:val="20"/>
    </w:rPr>
  </w:style>
  <w:style w:type="character" w:customStyle="1" w:styleId="71">
    <w:name w:val="Asunto del comentario Car"/>
    <w:basedOn w:val="70"/>
    <w:link w:val="39"/>
    <w:autoRedefine/>
    <w:semiHidden/>
    <w:qFormat/>
    <w:uiPriority w:val="99"/>
    <w:rPr>
      <w:b/>
      <w:bCs/>
      <w:sz w:val="20"/>
      <w:szCs w:val="20"/>
    </w:rPr>
  </w:style>
  <w:style w:type="paragraph" w:customStyle="1" w:styleId="72">
    <w:name w:val="msonormal"/>
    <w:basedOn w:val="1"/>
    <w:autoRedefine/>
    <w:qFormat/>
    <w:uiPriority w:val="0"/>
    <w:pPr>
      <w:spacing w:before="100" w:beforeAutospacing="1" w:after="100" w:afterAutospacing="1" w:line="240" w:lineRule="auto"/>
    </w:pPr>
    <w:rPr>
      <w:rFonts w:ascii="Times New Roman" w:hAnsi="Times New Roman" w:eastAsia="Times New Roman" w:cs="Times New Roman"/>
      <w:sz w:val="24"/>
      <w:szCs w:val="24"/>
      <w:lang w:eastAsia="es-ES"/>
    </w:rPr>
  </w:style>
  <w:style w:type="paragraph" w:customStyle="1" w:styleId="73">
    <w:name w:val="xl65"/>
    <w:basedOn w:val="1"/>
    <w:autoRedefine/>
    <w:qFormat/>
    <w:uiPriority w:val="0"/>
    <w:pPr>
      <w:spacing w:before="100" w:beforeAutospacing="1" w:after="100" w:afterAutospacing="1" w:line="240" w:lineRule="auto"/>
    </w:pPr>
    <w:rPr>
      <w:rFonts w:ascii="Times New Roman" w:hAnsi="Times New Roman" w:eastAsia="Times New Roman" w:cs="Times New Roman"/>
      <w:sz w:val="16"/>
      <w:szCs w:val="16"/>
      <w:lang w:eastAsia="es-ES"/>
    </w:rPr>
  </w:style>
  <w:style w:type="paragraph" w:customStyle="1" w:styleId="74">
    <w:name w:val="xl6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Times New Roman" w:hAnsi="Times New Roman" w:eastAsia="Times New Roman" w:cs="Times New Roman"/>
      <w:sz w:val="16"/>
      <w:szCs w:val="16"/>
      <w:lang w:eastAsia="es-ES"/>
    </w:rPr>
  </w:style>
  <w:style w:type="paragraph" w:customStyle="1" w:styleId="75">
    <w:name w:val="xl6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Times New Roman" w:hAnsi="Times New Roman" w:eastAsia="Times New Roman" w:cs="Times New Roman"/>
      <w:sz w:val="16"/>
      <w:szCs w:val="16"/>
      <w:lang w:eastAsia="es-ES"/>
    </w:rPr>
  </w:style>
  <w:style w:type="paragraph" w:customStyle="1" w:styleId="76">
    <w:name w:val="xl6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Times New Roman" w:hAnsi="Times New Roman" w:eastAsia="Times New Roman" w:cs="Times New Roman"/>
      <w:sz w:val="16"/>
      <w:szCs w:val="16"/>
      <w:lang w:eastAsia="es-ES"/>
    </w:rPr>
  </w:style>
  <w:style w:type="paragraph" w:customStyle="1" w:styleId="77">
    <w:name w:val="Revision"/>
    <w:autoRedefine/>
    <w:hidden/>
    <w:semiHidden/>
    <w:qFormat/>
    <w:uiPriority w:val="99"/>
    <w:pPr>
      <w:spacing w:after="0" w:line="240" w:lineRule="auto"/>
    </w:pPr>
    <w:rPr>
      <w:rFonts w:asciiTheme="minorHAnsi" w:hAnsiTheme="minorHAnsi" w:eastAsiaTheme="minorHAnsi" w:cstheme="minorBidi"/>
      <w:sz w:val="22"/>
      <w:szCs w:val="22"/>
      <w:lang w:val="es-ES" w:eastAsia="en-US" w:bidi="ar-SA"/>
    </w:rPr>
  </w:style>
  <w:style w:type="character" w:customStyle="1" w:styleId="78">
    <w:name w:val="Texto nota pie Car"/>
    <w:basedOn w:val="42"/>
    <w:link w:val="29"/>
    <w:autoRedefine/>
    <w:semiHidden/>
    <w:qFormat/>
    <w:uiPriority w:val="99"/>
    <w:rPr>
      <w:sz w:val="20"/>
      <w:szCs w:val="20"/>
    </w:rPr>
  </w:style>
  <w:style w:type="paragraph" w:customStyle="1" w:styleId="79">
    <w:name w:val="Texto FUENTE"/>
    <w:basedOn w:val="55"/>
    <w:autoRedefine/>
    <w:qFormat/>
    <w:uiPriority w:val="0"/>
    <w:pPr>
      <w:pBdr>
        <w:bottom w:val="single" w:color="auto" w:sz="4" w:space="1"/>
      </w:pBdr>
      <w:shd w:val="clear" w:color="auto" w:fill="F0F2FF"/>
      <w:spacing w:before="60" w:after="120"/>
      <w:contextualSpacing/>
      <w:jc w:val="both"/>
    </w:pPr>
    <w:rPr>
      <w:rFonts w:ascii="Arial Narrow" w:hAnsi="Arial Narrow" w:cs="Times New Roman (Cuerpo en alfa"/>
      <w:color w:val="000000" w:themeColor="text1"/>
      <w:sz w:val="18"/>
      <w14:textFill>
        <w14:solidFill>
          <w14:schemeClr w14:val="tx1"/>
        </w14:solidFill>
      </w14:textFill>
    </w:rPr>
  </w:style>
  <w:style w:type="paragraph" w:customStyle="1" w:styleId="80">
    <w:name w:val="TITULO TABLAS Y FIGURAS"/>
    <w:basedOn w:val="1"/>
    <w:autoRedefine/>
    <w:qFormat/>
    <w:uiPriority w:val="0"/>
    <w:pPr>
      <w:pBdr>
        <w:bottom w:val="single" w:color="auto" w:sz="4" w:space="1"/>
      </w:pBdr>
      <w:spacing w:line="240" w:lineRule="auto"/>
    </w:pPr>
    <w:rPr>
      <w:rFonts w:ascii="Arial Narrow" w:hAnsi="Arial Narrow" w:eastAsiaTheme="majorEastAsia" w:cstheme="majorBidi"/>
      <w:smallCaps/>
      <w:color w:val="4A4F96"/>
      <w:spacing w:val="5"/>
      <w:sz w:val="24"/>
      <w:szCs w:val="60"/>
    </w:rPr>
  </w:style>
  <w:style w:type="character" w:customStyle="1" w:styleId="81">
    <w:name w:val="LADILLO 1 Car"/>
    <w:basedOn w:val="42"/>
    <w:link w:val="5"/>
    <w:autoRedefine/>
    <w:qFormat/>
    <w:uiPriority w:val="0"/>
    <w:rPr>
      <w:rFonts w:ascii="Arial Narrow" w:hAnsi="Arial Narrow" w:eastAsiaTheme="majorEastAsia" w:cstheme="majorBidi"/>
      <w:smallCaps/>
      <w:color w:val="4A4F96"/>
      <w:spacing w:val="5"/>
      <w:sz w:val="32"/>
      <w:szCs w:val="60"/>
    </w:rPr>
  </w:style>
  <w:style w:type="paragraph" w:customStyle="1" w:styleId="82">
    <w:name w:val="LADILLO 3"/>
    <w:basedOn w:val="5"/>
    <w:link w:val="83"/>
    <w:autoRedefine/>
    <w:qFormat/>
    <w:uiPriority w:val="0"/>
    <w:rPr>
      <w:sz w:val="24"/>
    </w:rPr>
  </w:style>
  <w:style w:type="character" w:customStyle="1" w:styleId="83">
    <w:name w:val="LADILLO 3 Car"/>
    <w:basedOn w:val="81"/>
    <w:link w:val="82"/>
    <w:autoRedefine/>
    <w:qFormat/>
    <w:uiPriority w:val="0"/>
    <w:rPr>
      <w:rFonts w:ascii="Arial Narrow" w:hAnsi="Arial Narrow" w:eastAsiaTheme="majorEastAsia" w:cstheme="majorBidi"/>
      <w:color w:val="4A4F96"/>
      <w:spacing w:val="5"/>
      <w:sz w:val="24"/>
      <w:szCs w:val="60"/>
    </w:rPr>
  </w:style>
  <w:style w:type="character" w:customStyle="1" w:styleId="84">
    <w:name w:val="LADILLO 2 Car"/>
    <w:basedOn w:val="81"/>
    <w:link w:val="7"/>
    <w:autoRedefine/>
    <w:qFormat/>
    <w:uiPriority w:val="0"/>
    <w:rPr>
      <w:rFonts w:ascii="Arial Narrow" w:hAnsi="Arial Narrow" w:eastAsiaTheme="majorEastAsia" w:cstheme="majorBidi"/>
      <w:color w:val="4A4F96"/>
      <w:spacing w:val="5"/>
      <w:sz w:val="28"/>
      <w:szCs w:val="60"/>
    </w:rPr>
  </w:style>
  <w:style w:type="character" w:customStyle="1" w:styleId="85">
    <w:name w:val="Subtle Emphasis"/>
    <w:basedOn w:val="42"/>
    <w:autoRedefine/>
    <w:qFormat/>
    <w:uiPriority w:val="19"/>
    <w:rPr>
      <w:i/>
      <w:iCs/>
      <w:color w:val="404040" w:themeColor="text1" w:themeTint="BF"/>
      <w14:textFill>
        <w14:solidFill>
          <w14:schemeClr w14:val="tx1">
            <w14:lumMod w14:val="75000"/>
            <w14:lumOff w14:val="25000"/>
          </w14:schemeClr>
        </w14:solidFill>
      </w14:textFill>
    </w:rPr>
  </w:style>
  <w:style w:type="table" w:customStyle="1" w:styleId="86">
    <w:name w:val="List Table 3 Accent 1"/>
    <w:basedOn w:val="40"/>
    <w:autoRedefine/>
    <w:qFormat/>
    <w:uiPriority w:val="48"/>
    <w:pPr>
      <w:spacing w:after="0" w:line="240" w:lineRule="auto"/>
    </w:pPr>
    <w:tblPr>
      <w:tblBorders>
        <w:top w:val="single" w:color="4472C4" w:themeColor="accent1" w:sz="4" w:space="0"/>
        <w:left w:val="single" w:color="4472C4" w:themeColor="accent1" w:sz="4" w:space="0"/>
        <w:bottom w:val="single" w:color="4472C4" w:themeColor="accent1" w:sz="4" w:space="0"/>
        <w:right w:val="single" w:color="4472C4" w:themeColor="accent1" w:sz="4" w:space="0"/>
      </w:tblBorders>
    </w:tblPr>
    <w:tblStylePr w:type="firstRow">
      <w:rPr>
        <w:b/>
        <w:bCs/>
        <w:color w:val="FFFFFF" w:themeColor="background1"/>
        <w14:textFill>
          <w14:solidFill>
            <w14:schemeClr w14:val="bg1"/>
          </w14:solidFill>
        </w14:textFill>
      </w:rPr>
      <w:tcPr>
        <w:shd w:val="clear" w:color="auto" w:fill="4472C4" w:themeFill="accent1"/>
      </w:tcPr>
    </w:tblStylePr>
    <w:tblStylePr w:type="lastRow">
      <w:rPr>
        <w:b/>
        <w:bCs/>
      </w:rPr>
      <w:tcPr>
        <w:tcBorders>
          <w:top w:val="double" w:color="4472C4"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472C4" w:themeColor="accent1" w:sz="4" w:space="0"/>
          <w:right w:val="single" w:color="4472C4" w:themeColor="accent1" w:sz="4" w:space="0"/>
        </w:tcBorders>
      </w:tcPr>
    </w:tblStylePr>
    <w:tblStylePr w:type="band1Horz">
      <w:tcPr>
        <w:tcBorders>
          <w:top w:val="single" w:color="4472C4" w:themeColor="accent1" w:sz="4" w:space="0"/>
          <w:bottom w:val="single" w:color="4472C4"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472C4" w:themeColor="accent1" w:sz="4" w:space="0"/>
          <w:left w:val="nil"/>
        </w:tcBorders>
      </w:tcPr>
    </w:tblStylePr>
    <w:tblStylePr w:type="swCell">
      <w:tcPr>
        <w:tcBorders>
          <w:top w:val="double" w:color="4472C4" w:themeColor="accent1" w:sz="4" w:space="0"/>
          <w:right w:val="nil"/>
        </w:tcBorders>
      </w:tcPr>
    </w:tblStylePr>
  </w:style>
  <w:style w:type="paragraph" w:customStyle="1" w:styleId="87">
    <w:name w:val="Tabla/figura: título"/>
    <w:basedOn w:val="1"/>
    <w:autoRedefine/>
    <w:qFormat/>
    <w:uiPriority w:val="0"/>
    <w:pPr>
      <w:ind w:left="284" w:right="28"/>
      <w:jc w:val="left"/>
    </w:pPr>
    <w:rPr>
      <w:rFonts w:eastAsia="Times New Roman" w:cs="Calibri" w:asciiTheme="minorHAnsi" w:hAnsiTheme="minorHAnsi"/>
      <w:b/>
      <w:color w:val="44546A"/>
      <w:sz w:val="18"/>
      <w:szCs w:val="20"/>
    </w:rPr>
  </w:style>
  <w:style w:type="table" w:customStyle="1" w:styleId="88">
    <w:name w:val="Grid Table 4 Accent 1"/>
    <w:basedOn w:val="40"/>
    <w:autoRedefine/>
    <w:qFormat/>
    <w:uiPriority w:val="49"/>
    <w:pPr>
      <w:spacing w:after="0" w:line="240" w:lineRule="auto"/>
    </w:pPr>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color w:val="FFFFFF" w:themeColor="background1"/>
        <w14:textFill>
          <w14:solidFill>
            <w14:schemeClr w14:val="bg1"/>
          </w14:solidFill>
        </w14:textFill>
      </w:r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insideV w:val="nil"/>
        </w:tcBorders>
        <w:shd w:val="clear" w:color="auto" w:fill="4472C4" w:themeFill="accent1"/>
      </w:tcPr>
    </w:tblStylePr>
    <w:tblStylePr w:type="lastRow">
      <w:rPr>
        <w:b/>
        <w:bCs/>
      </w:rPr>
      <w:tcPr>
        <w:tcBorders>
          <w:top w:val="double" w:color="4472C4" w:themeColor="accent1"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table" w:customStyle="1" w:styleId="89">
    <w:name w:val="List Table 4 Accent 1"/>
    <w:basedOn w:val="40"/>
    <w:autoRedefine/>
    <w:qFormat/>
    <w:uiPriority w:val="49"/>
    <w:pPr>
      <w:spacing w:after="0" w:line="240" w:lineRule="auto"/>
    </w:pPr>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tblBorders>
    </w:tblPr>
    <w:tblStylePr w:type="firstRow">
      <w:rPr>
        <w:b/>
        <w:bCs/>
        <w:color w:val="FFFFFF" w:themeColor="background1"/>
        <w14:textFill>
          <w14:solidFill>
            <w14:schemeClr w14:val="bg1"/>
          </w14:solidFill>
        </w14:textFill>
      </w:r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tcBorders>
        <w:shd w:val="clear" w:color="auto" w:fill="4472C4" w:themeFill="accent1"/>
      </w:tcPr>
    </w:tblStylePr>
    <w:tblStylePr w:type="lastRow">
      <w:rPr>
        <w:b/>
        <w:bCs/>
      </w:rPr>
      <w:tcPr>
        <w:tcBorders>
          <w:top w:val="double" w:color="8EAADB" w:themeColor="accent1" w:themeTint="99"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table" w:customStyle="1" w:styleId="90">
    <w:name w:val="Grid Table 4 Accent 2"/>
    <w:basedOn w:val="40"/>
    <w:autoRedefine/>
    <w:qFormat/>
    <w:uiPriority w:val="49"/>
    <w:pPr>
      <w:spacing w:after="0" w:line="240" w:lineRule="auto"/>
    </w:pPr>
    <w:rPr>
      <w:rFonts w:eastAsia="Batang"/>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91">
    <w:name w:val="Grid Table 1 Light Accent 4"/>
    <w:basedOn w:val="40"/>
    <w:autoRedefine/>
    <w:qFormat/>
    <w:uiPriority w:val="46"/>
    <w:pPr>
      <w:spacing w:after="0" w:line="240" w:lineRule="auto"/>
    </w:pPr>
    <w:tblPr>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2" w:space="0"/>
        </w:tcBorders>
      </w:tcPr>
    </w:tblStylePr>
    <w:tblStylePr w:type="firstCol">
      <w:rPr>
        <w:b/>
        <w:bCs/>
      </w:rPr>
    </w:tblStylePr>
    <w:tblStylePr w:type="lastCol">
      <w:rPr>
        <w:b/>
        <w:bCs/>
      </w:rPr>
    </w:tblStylePr>
  </w:style>
  <w:style w:type="character" w:customStyle="1" w:styleId="92">
    <w:name w:val="Unresolved Mention"/>
    <w:basedOn w:val="42"/>
    <w:autoRedefine/>
    <w:semiHidden/>
    <w:unhideWhenUsed/>
    <w:qFormat/>
    <w:uiPriority w:val="99"/>
    <w:rPr>
      <w:color w:val="605E5C"/>
      <w:shd w:val="clear" w:color="auto" w:fill="E1DFDD"/>
    </w:rPr>
  </w:style>
  <w:style w:type="character" w:customStyle="1" w:styleId="93">
    <w:name w:val="Título 5 Car"/>
    <w:basedOn w:val="42"/>
    <w:link w:val="9"/>
    <w:autoRedefine/>
    <w:qFormat/>
    <w:uiPriority w:val="9"/>
    <w:rPr>
      <w:rFonts w:asciiTheme="majorHAnsi" w:hAnsiTheme="majorHAnsi" w:eastAsiaTheme="majorEastAsia" w:cstheme="majorBidi"/>
      <w:color w:val="2F5597" w:themeColor="accent1" w:themeShade="BF"/>
    </w:rPr>
  </w:style>
  <w:style w:type="table" w:customStyle="1" w:styleId="94">
    <w:name w:val="Grid Table 4 Accent 6"/>
    <w:basedOn w:val="40"/>
    <w:autoRedefine/>
    <w:qFormat/>
    <w:uiPriority w:val="49"/>
    <w:pPr>
      <w:spacing w:after="0" w:line="240" w:lineRule="auto"/>
    </w:pPr>
    <w:rPr>
      <w:rFonts w:eastAsiaTheme="minorEastAsia"/>
      <w:sz w:val="21"/>
      <w:szCs w:val="21"/>
      <w:lang w:val="en-US" w:eastAsia="ja-JP"/>
    </w:rPr>
    <w:tblPr>
      <w:tblBorders>
        <w:top w:val="single" w:color="44546A" w:themeColor="text2" w:sz="4" w:space="0"/>
        <w:left w:val="single" w:color="44546A" w:themeColor="text2" w:sz="4" w:space="0"/>
        <w:bottom w:val="single" w:color="44546A" w:themeColor="text2" w:sz="4" w:space="0"/>
        <w:right w:val="single" w:color="44546A" w:themeColor="text2" w:sz="4" w:space="0"/>
        <w:insideH w:val="single" w:color="44546A" w:themeColor="text2" w:sz="4" w:space="0"/>
        <w:insideV w:val="single" w:color="44546A" w:themeColor="text2" w:sz="4" w:space="0"/>
      </w:tblBorders>
    </w:tblPr>
    <w:tcPr>
      <w:shd w:val="clear" w:color="auto" w:fill="auto"/>
      <w:vAlign w:val="center"/>
    </w:tc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95">
    <w:name w:val="List Table 3 Accent 5"/>
    <w:basedOn w:val="40"/>
    <w:autoRedefine/>
    <w:qFormat/>
    <w:uiPriority w:val="48"/>
    <w:pPr>
      <w:spacing w:after="0" w:line="240" w:lineRule="auto"/>
    </w:pPr>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styleId="96">
    <w:name w:val="Placeholder Text"/>
    <w:basedOn w:val="42"/>
    <w:autoRedefine/>
    <w:semiHidden/>
    <w:qFormat/>
    <w:uiPriority w:val="99"/>
    <w:rPr>
      <w:color w:val="808080"/>
    </w:rPr>
  </w:style>
  <w:style w:type="character" w:customStyle="1" w:styleId="97">
    <w:name w:val="Texto nota al final Car"/>
    <w:basedOn w:val="42"/>
    <w:link w:val="21"/>
    <w:autoRedefine/>
    <w:semiHidden/>
    <w:qFormat/>
    <w:uiPriority w:val="99"/>
    <w:rPr>
      <w:rFonts w:ascii="Arial" w:hAnsi="Arial" w:cs="Arial"/>
      <w:sz w:val="20"/>
      <w:szCs w:val="20"/>
    </w:rPr>
  </w:style>
  <w:style w:type="character" w:customStyle="1" w:styleId="98">
    <w:name w:val="Descripción Car"/>
    <w:link w:val="12"/>
    <w:autoRedefine/>
    <w:qFormat/>
    <w:locked/>
    <w:uiPriority w:val="68"/>
    <w:rPr>
      <w:rFonts w:ascii="Arial" w:hAnsi="Arial" w:cs="Arial"/>
      <w:sz w:val="18"/>
      <w:szCs w:val="18"/>
      <w:shd w:val="clear" w:color="auto" w:fill="F0F2FF"/>
    </w:rPr>
  </w:style>
  <w:style w:type="table" w:customStyle="1" w:styleId="99">
    <w:name w:val="List Table 3"/>
    <w:basedOn w:val="40"/>
    <w:autoRedefine/>
    <w:qFormat/>
    <w:uiPriority w:val="48"/>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character" w:customStyle="1" w:styleId="100">
    <w:name w:val="font41"/>
    <w:basedOn w:val="42"/>
    <w:autoRedefine/>
    <w:qFormat/>
    <w:uiPriority w:val="0"/>
    <w:rPr>
      <w:rFonts w:ascii="Arial" w:hAnsi="Arial" w:cs="Arial"/>
      <w:color w:val="000000"/>
      <w:sz w:val="22"/>
      <w:szCs w:val="22"/>
      <w:u w:val="none"/>
    </w:rPr>
  </w:style>
  <w:style w:type="character" w:customStyle="1" w:styleId="101">
    <w:name w:val="font31"/>
    <w:basedOn w:val="42"/>
    <w:autoRedefine/>
    <w:qFormat/>
    <w:uiPriority w:val="0"/>
    <w:rPr>
      <w:rFonts w:hint="default" w:ascii="Times New Roman" w:hAnsi="Times New Roman" w:cs="Times New Roman"/>
      <w:color w:val="000000"/>
      <w:sz w:val="22"/>
      <w:szCs w:val="22"/>
      <w:u w:val="none"/>
    </w:rPr>
  </w:style>
  <w:style w:type="character" w:customStyle="1" w:styleId="102">
    <w:name w:val="font51"/>
    <w:basedOn w:val="42"/>
    <w:autoRedefine/>
    <w:qFormat/>
    <w:uiPriority w:val="0"/>
    <w:rPr>
      <w:rFonts w:hint="eastAsia" w:ascii="宋体" w:hAnsi="宋体" w:eastAsia="宋体" w:cs="宋体"/>
      <w:color w:val="000000"/>
      <w:sz w:val="20"/>
      <w:szCs w:val="20"/>
      <w:u w:val="none"/>
    </w:rPr>
  </w:style>
  <w:style w:type="character" w:customStyle="1" w:styleId="103">
    <w:name w:val="font21"/>
    <w:basedOn w:val="42"/>
    <w:autoRedefine/>
    <w:qFormat/>
    <w:uiPriority w:val="0"/>
    <w:rPr>
      <w:rFonts w:hint="default" w:ascii="Times New Roman" w:hAnsi="Times New Roman" w:cs="Times New Roman"/>
      <w:color w:val="000000"/>
      <w:sz w:val="20"/>
      <w:szCs w:val="20"/>
      <w:u w:val="none"/>
    </w:rPr>
  </w:style>
  <w:style w:type="character" w:customStyle="1" w:styleId="104">
    <w:name w:val="font11"/>
    <w:basedOn w:val="42"/>
    <w:autoRedefine/>
    <w:qFormat/>
    <w:uiPriority w:val="0"/>
    <w:rPr>
      <w:rFonts w:hint="default" w:ascii="HelveticaNeueLTPro-Roman" w:hAnsi="HelveticaNeueLTPro-Roman" w:eastAsia="HelveticaNeueLTPro-Roman" w:cs="HelveticaNeueLTPro-Roman"/>
      <w:color w:val="231F2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D42C2C-A6E2-FC47-B4E9-F3ED5CB37C7C}">
  <ds:schemaRefs/>
</ds:datastoreItem>
</file>

<file path=docProps/app.xml><?xml version="1.0" encoding="utf-8"?>
<Properties xmlns="http://schemas.openxmlformats.org/officeDocument/2006/extended-properties" xmlns:vt="http://schemas.openxmlformats.org/officeDocument/2006/docPropsVTypes">
  <Template>Normal</Template>
  <Pages>19</Pages>
  <Words>3536</Words>
  <Characters>20402</Characters>
  <Lines>4180</Lines>
  <Paragraphs>1183</Paragraphs>
  <TotalTime>18</TotalTime>
  <ScaleCrop>false</ScaleCrop>
  <LinksUpToDate>false</LinksUpToDate>
  <CharactersWithSpaces>25028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2021-12-15T07:55:00Z</dcterms:created>
  <dc:creator>Bleric Alcala</dc:creator>
  <cp:lastModifiedBy>薛朝军</cp:lastModifiedBy>
  <cp:lastPrinted>2021-06-17T09:27:00Z</cp:lastPrinted>
  <dcterms:modified xsi:type="dcterms:W3CDTF">2024-01-22T10:07:09Z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id="nkw1F4RA"/&gt;&lt;style id="http://www.zotero.org/styles/weber" hasBibliography="1" bibliographyStyleHasBeenSet="1"/&gt;&lt;prefs&gt;&lt;pref name="fieldType" value="Field"/&gt;&lt;pref name="automaticJournalAbbreviat</vt:lpwstr>
  </property>
  <property fmtid="{D5CDD505-2E9C-101B-9397-08002B2CF9AE}" pid="3" name="ZOTERO_PREF_2">
    <vt:lpwstr>ions" value="true"/&gt;&lt;pref name="dontAskDelayCitationUpdates" value="true"/&gt;&lt;/prefs&gt;&lt;/data&gt;</vt:lpwstr>
  </property>
  <property fmtid="{D5CDD505-2E9C-101B-9397-08002B2CF9AE}" pid="4" name="KSOProductBuildVer">
    <vt:lpwstr>2052-12.1.0.16120</vt:lpwstr>
  </property>
  <property fmtid="{D5CDD505-2E9C-101B-9397-08002B2CF9AE}" pid="5" name="ICV">
    <vt:lpwstr>0D319F6D30CB428CB5298C7A70FD71B2_13</vt:lpwstr>
  </property>
</Properties>
</file>