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Exploring the effect of hepatitis B e antigen on neutrophil activation and natural killer cell dysfunction in patients with chronic hepatitis B</w:t>
      </w:r>
    </w:p>
    <w:p>
      <w:p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Journal name：</w:t>
      </w:r>
    </w:p>
    <w:p>
      <w:pPr>
        <w:spacing w:line="48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Hepatology International</w:t>
      </w:r>
    </w:p>
    <w:p>
      <w:pPr>
        <w:spacing w:line="480" w:lineRule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uthor names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:</w:t>
      </w:r>
    </w:p>
    <w:p>
      <w:pPr>
        <w:spacing w:line="480" w:lineRule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Zhiqian Feng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vertAlign w:val="baseline"/>
          <w:lang w:val="en-US" w:eastAsia="zh-CN"/>
        </w:rPr>
        <w:t xml:space="preserve">·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Junliang Fu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vertAlign w:val="baseline"/>
          <w:lang w:val="en-US" w:eastAsia="zh-CN"/>
        </w:rPr>
        <w:t xml:space="preserve">· 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Lili Tang</w:t>
      </w:r>
      <w:r>
        <w:rPr>
          <w:rFonts w:hint="eastAsia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vertAlign w:val="baseline"/>
          <w:lang w:val="en-US" w:eastAsia="zh-CN"/>
        </w:rPr>
        <w:t xml:space="preserve">· 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Chunmei Bao</w:t>
      </w:r>
      <w:r>
        <w:rPr>
          <w:rFonts w:hint="eastAsia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vertAlign w:val="baseline"/>
          <w:lang w:val="en-US" w:eastAsia="zh-CN"/>
        </w:rPr>
        <w:t xml:space="preserve">· 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Honghong Liu</w:t>
      </w:r>
      <w:r>
        <w:rPr>
          <w:rFonts w:hint="eastAsia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vertAlign w:val="baseline"/>
          <w:lang w:val="en-US" w:eastAsia="zh-CN"/>
        </w:rPr>
        <w:t xml:space="preserve">· 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Kai Liu</w:t>
      </w:r>
      <w:r>
        <w:rPr>
          <w:rFonts w:hint="eastAsia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vertAlign w:val="baseline"/>
          <w:lang w:val="en-US" w:eastAsia="zh-CN"/>
        </w:rPr>
        <w:t xml:space="preserve">· 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Tao Yang</w:t>
      </w:r>
      <w:r>
        <w:rPr>
          <w:rFonts w:hint="eastAsia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vertAlign w:val="baseline"/>
          <w:lang w:val="en-US" w:eastAsia="zh-CN"/>
        </w:rPr>
        <w:t xml:space="preserve">· 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Jin-Hong Yuan</w:t>
      </w:r>
      <w:r>
        <w:rPr>
          <w:rFonts w:hint="eastAsia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vertAlign w:val="baseline"/>
          <w:lang w:val="en-US" w:eastAsia="zh-CN"/>
        </w:rPr>
        <w:t xml:space="preserve">· 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Chun-Bao Zhou</w:t>
      </w:r>
      <w:r>
        <w:rPr>
          <w:rFonts w:hint="eastAsia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vertAlign w:val="baseline"/>
          <w:lang w:val="en-US" w:eastAsia="zh-CN"/>
        </w:rPr>
        <w:t xml:space="preserve">· 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Chao Zhang</w:t>
      </w:r>
      <w:r>
        <w:rPr>
          <w:rFonts w:hint="eastAsia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vertAlign w:val="baseline"/>
          <w:lang w:val="en-US" w:eastAsia="zh-CN"/>
        </w:rPr>
        <w:t xml:space="preserve">· 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Ruonan Xu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vertAlign w:val="baseline"/>
          <w:lang w:val="en-US" w:eastAsia="zh-CN"/>
        </w:rPr>
        <w:t xml:space="preserve">· 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Fu-Sheng Wang</w:t>
      </w:r>
      <w:r>
        <w:rPr>
          <w:rFonts w:hint="default"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14:textFill>
            <w14:solidFill>
              <w14:schemeClr w14:val="tx1"/>
            </w14:solidFill>
          </w14:textFill>
        </w:rPr>
        <w:t>*</w:t>
      </w:r>
    </w:p>
    <w:p>
      <w:pPr>
        <w:pStyle w:val="2"/>
        <w:widowControl/>
        <w:spacing w:beforeAutospacing="0" w:afterAutospacing="0" w:line="48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Institutional affiliations:</w:t>
      </w:r>
    </w:p>
    <w:p>
      <w:pPr>
        <w:pStyle w:val="2"/>
        <w:widowControl/>
        <w:spacing w:beforeAutospacing="0" w:afterAutospacing="0" w:line="480" w:lineRule="auto"/>
        <w:jc w:val="both"/>
        <w:rPr>
          <w:rFonts w:hint="default" w:ascii="Times New Roman" w:hAnsi="Times New Roman" w:eastAsia="宋体" w:cs="Times New Roman"/>
          <w:color w:val="000000" w:themeColor="text1"/>
          <w:kern w:val="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Senior D</w:t>
      </w:r>
      <w:r>
        <w:rPr>
          <w:rFonts w:hint="default" w:ascii="Times New Roman" w:hAnsi="Times New Roman" w:eastAsia="宋体" w:cs="Times New Roman"/>
          <w:color w:val="000000" w:themeColor="text1"/>
          <w:kern w:val="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epartment of Infectious Diseases, the Fifth Medical Center of PLA General Hospital, National Clinical Research Center for Infectious Diseases, Beijing, China.</w:t>
      </w:r>
    </w:p>
    <w:p>
      <w:pPr>
        <w:pStyle w:val="2"/>
        <w:widowControl/>
        <w:spacing w:beforeAutospacing="0" w:afterAutospacing="0" w:line="48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kern w:val="2"/>
          <w:sz w:val="24"/>
          <w:szCs w:val="24"/>
          <w:shd w:val="clear" w:color="auto" w:fill="FFFFFF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color w:val="000000" w:themeColor="text1"/>
          <w:kern w:val="2"/>
          <w:sz w:val="24"/>
          <w:szCs w:val="24"/>
          <w:shd w:val="clear" w:color="auto" w:fill="FFFFFF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The Second School of Clinical Medicine, Southern Medical University, Guangzhou, China.</w:t>
      </w:r>
    </w:p>
    <w:p>
      <w:pPr>
        <w:pStyle w:val="2"/>
        <w:widowControl/>
        <w:spacing w:beforeAutospacing="0" w:afterAutospacing="0" w:line="48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vertAlign w:val="superscript"/>
          <w14:textFill>
            <w14:solidFill>
              <w14:schemeClr w14:val="tx1"/>
            </w14:solidFill>
          </w14:textFill>
        </w:rPr>
        <w:t xml:space="preserve">*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Corresponding author:</w:t>
      </w:r>
      <w:bookmarkStart w:id="0" w:name="OLE_LINK10"/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widowControl/>
        <w:numPr>
          <w:ilvl w:val="0"/>
          <w:numId w:val="1"/>
        </w:numPr>
        <w:spacing w:beforeAutospacing="0" w:afterAutospacing="0" w:line="480" w:lineRule="auto"/>
        <w:jc w:val="both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mail address: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xuruonan2004@aliyun.com (Ruonan Xu)</w:t>
      </w:r>
      <w:bookmarkEnd w:id="0"/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instrText xml:space="preserve"> HYPERLINK "mailto:fswang302@163.com" </w:instrTex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fswang302@163.com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(Fu-Sheng Wang)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spacing w:line="480" w:lineRule="auto"/>
        <w:jc w:val="center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Figure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Legends and Figures</w:t>
      </w:r>
    </w:p>
    <w:p>
      <w:pPr>
        <w:spacing w:line="48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Fig. 1 HBV DNA is not the main mediator inducing neutrophil activation.</w:t>
      </w:r>
      <w:r>
        <w:rPr>
          <w:rFonts w:hint="default" w:ascii="Times New Roman" w:hAnsi="Times New Roman" w:cs="Times New Roman"/>
          <w:sz w:val="24"/>
          <w:szCs w:val="24"/>
        </w:rPr>
        <w:t xml:space="preserve"> Purified neutrophils from healthy donors were pretreated with TLR9 inhibitor-ODN-TTAGGG and cultured with the supernatant of HepG2.2.15 cells. Neutrophils were collected for flow cytometry analysis of CXCR1 (a), CXCR2 (b), PD-L1 (c), CD86 (d), and IL-8 (e) expression among the three groups. Purified </w:t>
      </w:r>
      <w:r>
        <w:rPr>
          <w:rFonts w:hint="default" w:ascii="Times New Roman" w:hAnsi="Times New Roman" w:cs="Times New Roman"/>
          <w:w w:val="104"/>
          <w:sz w:val="24"/>
          <w:szCs w:val="24"/>
        </w:rPr>
        <w:t xml:space="preserve">neutrophils from healthy donors were cultured with medium, HBeAg, or TLR9 agonist ODN 2395 and were collected for the analysis of CXCR1 (f), CXCR2 (g), PD-L1(h), CD86 (i), </w:t>
      </w:r>
      <w:r>
        <w:rPr>
          <w:rFonts w:hint="default" w:ascii="Times New Roman" w:hAnsi="Times New Roman" w:cs="Times New Roman"/>
          <w:sz w:val="24"/>
          <w:szCs w:val="24"/>
        </w:rPr>
        <w:t>and IL-8 (j) expression among the three groups. Data are presented as the means ± SEM. The nonparametric Mann–Whitney U test was used for comparisons between two groups. All experiments were conducted in triplicate. 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hint="default" w:ascii="Times New Roman" w:hAnsi="Times New Roman" w:cs="Times New Roman"/>
          <w:sz w:val="24"/>
          <w:szCs w:val="24"/>
        </w:rPr>
        <w:t>&lt; 0.05, 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0.01, and ***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hint="default" w:ascii="Times New Roman" w:hAnsi="Times New Roman" w:cs="Times New Roman"/>
          <w:sz w:val="24"/>
          <w:szCs w:val="24"/>
        </w:rPr>
        <w:t xml:space="preserve">&lt; 0.001 </w:t>
      </w:r>
    </w:p>
    <w:p>
      <w:pPr>
        <w:spacing w:line="48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Fig. 2 HBeAg induces neutrophil activation in a dose-dependent manner.</w:t>
      </w:r>
      <w:r>
        <w:rPr>
          <w:rFonts w:hint="default" w:ascii="Times New Roman" w:hAnsi="Times New Roman" w:cs="Times New Roman"/>
          <w:sz w:val="24"/>
          <w:szCs w:val="24"/>
        </w:rPr>
        <w:t xml:space="preserve"> Purified neutrophils from healthy donors were cultured with medium, 2 μg/ml HBeAg, or 4 μg/ml HBeAg, and then collected for the detection of CXCR1 (a), CXCR2 (b), PD-L1(c), CD86 (d), and IL-8 (e) among three groups by flow cytometry analysis. Data are presented as the means ± SEM. The nonparametric Mann–Whitney U test was used for comparisons between two groups. All experiments were conducted in triplicate. 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hint="default" w:ascii="Times New Roman" w:hAnsi="Times New Roman" w:cs="Times New Roman"/>
          <w:sz w:val="24"/>
          <w:szCs w:val="24"/>
        </w:rPr>
        <w:t>&lt; 0.05, 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0.01, and ***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hint="default" w:ascii="Times New Roman" w:hAnsi="Times New Roman" w:cs="Times New Roman"/>
          <w:sz w:val="24"/>
          <w:szCs w:val="24"/>
        </w:rPr>
        <w:t>&lt; 0.001</w:t>
      </w:r>
    </w:p>
    <w:p>
      <w:pPr>
        <w:spacing w:beforeLines="0" w:afterLines="0" w:line="480" w:lineRule="auto"/>
        <w:ind w:left="0" w:firstLine="0"/>
        <w:jc w:val="both"/>
        <w:rPr>
          <w:rFonts w:hint="default" w:ascii="Times New Roman" w:hAnsi="Times New Roman" w:cs="Times New Roman"/>
          <w:w w:val="105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Fig. 3 Dynamics of the lymphocyte counts in re-enrolled CHB patients (n=45).</w:t>
      </w:r>
      <w:r>
        <w:rPr>
          <w:rFonts w:hint="default" w:ascii="Times New Roman" w:hAnsi="Times New Roman" w:cs="Times New Roman"/>
          <w:sz w:val="24"/>
          <w:szCs w:val="24"/>
        </w:rPr>
        <w:t xml:space="preserve"> (a) Differences of the WBC count among groups. (b) Differences of the lymphocyte count among groups. (c) Differences of the CD4+ T-cell counts among groups. (d) Differences of the CD8+ T-cell count among groups. (e) Differences of the B-cell counts among groups. (f) Differences of the NK cell counts among groups. Correlation between the neutrophil count and CD4+ T-cell count (g), CD8+ T-cell count (h), and B-cell count (i) in patients with CHB at eAg+ CHep stage. Data are presented as the means ± SEM. The nonparametric Mann–Whitney U test was used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 xml:space="preserve">for comparisons between two groups. The relationship between two variables was </w:t>
      </w:r>
      <w:r>
        <w:rPr>
          <w:rFonts w:hint="default" w:ascii="Times New Roman" w:hAnsi="Times New Roman" w:cs="Times New Roman"/>
          <w:sz w:val="24"/>
          <w:szCs w:val="24"/>
        </w:rPr>
        <w:t>evaluated using Spearman’s rank correlation test.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 xml:space="preserve"> </w:t>
      </w:r>
    </w:p>
    <w:p>
      <w:pPr>
        <w:rPr>
          <w:rFonts w:hint="default" w:ascii="Times New Roman" w:hAnsi="Times New Roman" w:cs="Times New Roman"/>
          <w:w w:val="105"/>
          <w:sz w:val="24"/>
          <w:szCs w:val="24"/>
        </w:rPr>
      </w:pPr>
      <w:r>
        <w:rPr>
          <w:rFonts w:hint="default" w:ascii="Times New Roman" w:hAnsi="Times New Roman" w:cs="Times New Roman"/>
          <w:w w:val="105"/>
          <w:sz w:val="24"/>
          <w:szCs w:val="24"/>
        </w:rPr>
        <w:br w:type="page"/>
      </w:r>
    </w:p>
    <w:p>
      <w:pPr>
        <w:spacing w:beforeLines="0" w:afterLines="0" w:line="480" w:lineRule="auto"/>
        <w:ind w:left="0" w:firstLine="0"/>
        <w:jc w:val="both"/>
        <w:rPr>
          <w:rFonts w:hint="default" w:ascii="Times New Roman" w:hAnsi="Times New Roman" w:cs="Times New Roman" w:eastAsiaTheme="minorEastAsia"/>
          <w:b/>
          <w:bCs/>
          <w:w w:val="105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w w:val="105"/>
          <w:sz w:val="24"/>
          <w:szCs w:val="24"/>
          <w:lang w:val="en-US" w:eastAsia="zh-CN"/>
        </w:rPr>
        <w:t>Fig. S1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354705"/>
            <wp:effectExtent l="0" t="0" r="3175" b="7620"/>
            <wp:docPr id="1" name="图片 1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spacing w:beforeLines="0" w:afterLines="0" w:line="480" w:lineRule="auto"/>
        <w:ind w:left="0" w:firstLine="0"/>
        <w:jc w:val="both"/>
        <w:rPr>
          <w:rFonts w:hint="default" w:ascii="Times New Roman" w:hAnsi="Times New Roman" w:cs="Times New Roman" w:eastAsiaTheme="minorEastAsia"/>
          <w:b/>
          <w:bCs/>
          <w:w w:val="105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w w:val="105"/>
          <w:sz w:val="24"/>
          <w:szCs w:val="24"/>
          <w:lang w:val="en-US" w:eastAsia="zh-CN"/>
        </w:rPr>
        <w:t>Fig. S2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551555"/>
            <wp:effectExtent l="0" t="0" r="3175" b="1270"/>
            <wp:docPr id="2" name="图片 2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spacing w:beforeLines="0" w:afterLines="0" w:line="480" w:lineRule="auto"/>
        <w:ind w:left="0" w:firstLine="0"/>
        <w:jc w:val="both"/>
        <w:rPr>
          <w:rFonts w:hint="default" w:ascii="Times New Roman" w:hAnsi="Times New Roman" w:cs="Times New Roman" w:eastAsiaTheme="minorEastAsia"/>
          <w:b/>
          <w:bCs/>
          <w:w w:val="105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w w:val="105"/>
          <w:sz w:val="24"/>
          <w:szCs w:val="24"/>
          <w:lang w:val="en-US" w:eastAsia="zh-CN"/>
        </w:rPr>
        <w:t>Fig. S3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4234815"/>
            <wp:effectExtent l="0" t="0" r="3175" b="3810"/>
            <wp:docPr id="3" name="图片 3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667565"/>
    <w:multiLevelType w:val="singleLevel"/>
    <w:tmpl w:val="53667565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xNjdjZGQzY2I3YjYyMzlkNzA1ZjVkMWZhODFhYjgifQ=="/>
  </w:docVars>
  <w:rsids>
    <w:rsidRoot w:val="00000000"/>
    <w:rsid w:val="08696546"/>
    <w:rsid w:val="2C5464AF"/>
    <w:rsid w:val="2F9F2470"/>
    <w:rsid w:val="595C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 w:val="0"/>
      <w:spacing w:beforeAutospacing="1" w:afterAutospacing="1"/>
    </w:pPr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2024-01-31T02:27:00Z</dcterms:created>
  <dc:creator>86177</dc:creator>
  <cp:lastModifiedBy>酪佣烦讶猛</cp:lastModifiedBy>
  <dcterms:modified xsi:type="dcterms:W3CDTF">2024-02-02T13:53:20Z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67666962DF384138ADD1CE0D33CEAA67_12</vt:lpwstr>
  </property>
</Properties>
</file>