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1AE49F" w14:textId="77777777" w:rsidR="00406391" w:rsidRDefault="00406391" w:rsidP="00406391">
      <w:pPr>
        <w:spacing w:line="480" w:lineRule="auto"/>
        <w:rPr>
          <w:rFonts w:ascii="Times New Roman" w:hAnsi="Times New Roman" w:cs="Times New Roman"/>
          <w:b/>
          <w:bCs/>
          <w:sz w:val="24"/>
          <w:szCs w:val="24"/>
        </w:rPr>
      </w:pPr>
      <w:r>
        <w:rPr>
          <w:rFonts w:ascii="Times New Roman" w:hAnsi="Times New Roman" w:cs="Times New Roman"/>
          <w:b/>
          <w:bCs/>
          <w:sz w:val="24"/>
          <w:szCs w:val="24"/>
        </w:rPr>
        <w:t>S</w:t>
      </w:r>
      <w:r w:rsidRPr="00852F72">
        <w:rPr>
          <w:rFonts w:ascii="Times New Roman" w:hAnsi="Times New Roman" w:cs="Times New Roman"/>
          <w:b/>
          <w:bCs/>
          <w:sz w:val="24"/>
          <w:szCs w:val="24"/>
        </w:rPr>
        <w:t xml:space="preserve">upplementary </w:t>
      </w:r>
      <w:r>
        <w:rPr>
          <w:rFonts w:ascii="Times New Roman" w:hAnsi="Times New Roman" w:cs="Times New Roman"/>
          <w:b/>
          <w:bCs/>
          <w:sz w:val="24"/>
          <w:szCs w:val="24"/>
        </w:rPr>
        <w:t>information</w:t>
      </w:r>
    </w:p>
    <w:p w14:paraId="3BC1A50B" w14:textId="77777777" w:rsidR="00406391" w:rsidRPr="00C634C2" w:rsidRDefault="00406391" w:rsidP="00406391">
      <w:pPr>
        <w:spacing w:line="480" w:lineRule="auto"/>
        <w:rPr>
          <w:rFonts w:ascii="Times New Roman" w:hAnsi="Times New Roman" w:cs="Times New Roman"/>
          <w:b/>
          <w:bCs/>
          <w:sz w:val="24"/>
          <w:szCs w:val="24"/>
        </w:rPr>
      </w:pPr>
    </w:p>
    <w:p w14:paraId="0EE56573" w14:textId="77777777" w:rsidR="00406391" w:rsidRPr="00C634C2" w:rsidRDefault="00406391" w:rsidP="00406391">
      <w:pPr>
        <w:spacing w:line="480" w:lineRule="auto"/>
        <w:ind w:firstLine="840"/>
        <w:rPr>
          <w:rFonts w:ascii="Times New Roman" w:hAnsi="Times New Roman" w:cs="Times New Roman"/>
          <w:b/>
          <w:bCs/>
          <w:sz w:val="24"/>
          <w:szCs w:val="24"/>
        </w:rPr>
      </w:pPr>
      <w:r w:rsidRPr="00C634C2">
        <w:rPr>
          <w:rFonts w:ascii="Times New Roman" w:hAnsi="Times New Roman" w:cs="Times New Roman"/>
          <w:sz w:val="24"/>
          <w:szCs w:val="24"/>
        </w:rPr>
        <w:t>The other exclusion criteria were as follows: 1) a history of hypersensitivity to semaglutide components, 2) diabetic ketosis/coma or pre-coma, 3) unsuitability for another reason.</w:t>
      </w:r>
    </w:p>
    <w:p w14:paraId="1171A713" w14:textId="77777777" w:rsidR="00406391" w:rsidRPr="00C634C2" w:rsidRDefault="00406391" w:rsidP="00406391">
      <w:pPr>
        <w:spacing w:line="480" w:lineRule="auto"/>
        <w:rPr>
          <w:rFonts w:ascii="Times New Roman" w:hAnsi="Times New Roman" w:cs="Times New Roman"/>
          <w:sz w:val="24"/>
          <w:szCs w:val="24"/>
        </w:rPr>
      </w:pPr>
      <w:r w:rsidRPr="00C634C2">
        <w:rPr>
          <w:rFonts w:ascii="Times New Roman" w:hAnsi="Times New Roman" w:cs="Times New Roman"/>
          <w:b/>
          <w:bCs/>
          <w:sz w:val="24"/>
          <w:szCs w:val="24"/>
        </w:rPr>
        <w:tab/>
      </w:r>
      <w:r w:rsidRPr="00C634C2">
        <w:rPr>
          <w:rFonts w:ascii="Times New Roman" w:hAnsi="Times New Roman" w:cs="Times New Roman"/>
          <w:sz w:val="24"/>
          <w:szCs w:val="24"/>
        </w:rPr>
        <w:t>All adverse events were evaluated by common terminology criteria for adverse events (CTCAE) in this study (1). Severe adverse events were defined as following; 1) deadly, 2) life- threatening, 3) hospitalization or prolongation of existing hospitalization indicated, 4) permanent or extreme disability or dysfunction occurred consequently, 5) causing congenital, familial and genetic disorders. All discontinuations of medication were decided after evaluating the grade of adverse events based on the CTCAE. Even if the symptoms were mild on grading, the medication discontinued if the patient so desired.</w:t>
      </w:r>
    </w:p>
    <w:p w14:paraId="50234384" w14:textId="77777777" w:rsidR="00406391" w:rsidRPr="00C634C2" w:rsidRDefault="00406391" w:rsidP="00406391">
      <w:pPr>
        <w:spacing w:line="480" w:lineRule="auto"/>
        <w:rPr>
          <w:rFonts w:ascii="Times New Roman" w:hAnsi="Times New Roman" w:cs="Times New Roman"/>
          <w:b/>
          <w:bCs/>
          <w:sz w:val="24"/>
          <w:szCs w:val="24"/>
        </w:rPr>
      </w:pPr>
    </w:p>
    <w:p w14:paraId="73E200F5" w14:textId="77777777" w:rsidR="00406391" w:rsidRPr="00C634C2" w:rsidRDefault="00406391" w:rsidP="00406391">
      <w:pPr>
        <w:spacing w:line="480" w:lineRule="auto"/>
        <w:rPr>
          <w:rFonts w:ascii="Times New Roman" w:hAnsi="Times New Roman" w:cs="Times New Roman"/>
          <w:sz w:val="24"/>
          <w:szCs w:val="24"/>
        </w:rPr>
      </w:pPr>
      <w:r w:rsidRPr="00C634C2">
        <w:rPr>
          <w:rFonts w:ascii="Times New Roman" w:hAnsi="Times New Roman" w:cs="Times New Roman"/>
          <w:sz w:val="24"/>
          <w:szCs w:val="24"/>
        </w:rPr>
        <w:t>Reference</w:t>
      </w:r>
    </w:p>
    <w:p w14:paraId="404BA752" w14:textId="77777777" w:rsidR="00406391" w:rsidRPr="00C634C2" w:rsidRDefault="00406391" w:rsidP="00406391">
      <w:pPr>
        <w:pStyle w:val="ListParagraph"/>
        <w:numPr>
          <w:ilvl w:val="0"/>
          <w:numId w:val="1"/>
        </w:numPr>
        <w:spacing w:line="480" w:lineRule="auto"/>
        <w:ind w:leftChars="0"/>
        <w:rPr>
          <w:rFonts w:ascii="Times New Roman" w:hAnsi="Times New Roman" w:cs="Times New Roman"/>
          <w:sz w:val="24"/>
          <w:szCs w:val="24"/>
        </w:rPr>
      </w:pPr>
      <w:r w:rsidRPr="00C634C2">
        <w:rPr>
          <w:rFonts w:ascii="Times New Roman" w:hAnsi="Times New Roman" w:cs="Times New Roman"/>
          <w:sz w:val="24"/>
          <w:szCs w:val="24"/>
        </w:rPr>
        <w:t>Common Terminology Criteria for Adverse Events (CTCAE) Version 5. Published: November 27. US Department of Health and Human Services, National Institutes of Health, National Cancer Institute.</w:t>
      </w:r>
    </w:p>
    <w:p w14:paraId="315ED96B" w14:textId="77777777" w:rsidR="00406391" w:rsidRPr="00C634C2" w:rsidRDefault="00406391" w:rsidP="00406391">
      <w:pPr>
        <w:spacing w:line="480" w:lineRule="auto"/>
        <w:rPr>
          <w:rFonts w:ascii="Times New Roman" w:hAnsi="Times New Roman" w:cs="Times New Roman"/>
          <w:sz w:val="24"/>
          <w:szCs w:val="24"/>
        </w:rPr>
      </w:pPr>
    </w:p>
    <w:p w14:paraId="1EC7B58A" w14:textId="77777777" w:rsidR="00406391" w:rsidRPr="00C634C2" w:rsidRDefault="00406391" w:rsidP="00406391">
      <w:pPr>
        <w:spacing w:line="480" w:lineRule="auto"/>
        <w:rPr>
          <w:rFonts w:ascii="Times New Roman" w:hAnsi="Times New Roman" w:cs="Times New Roman"/>
          <w:sz w:val="24"/>
          <w:szCs w:val="24"/>
        </w:rPr>
      </w:pPr>
      <w:r w:rsidRPr="00C634C2">
        <w:rPr>
          <w:rFonts w:ascii="Times New Roman" w:hAnsi="Times New Roman" w:cs="Times New Roman"/>
          <w:sz w:val="24"/>
          <w:szCs w:val="24"/>
        </w:rPr>
        <w:lastRenderedPageBreak/>
        <w:t>Supplementary figure 1. Relationship between age and cognitive function</w:t>
      </w:r>
    </w:p>
    <w:p w14:paraId="6E8C3689" w14:textId="77777777" w:rsidR="00406391" w:rsidRPr="00C634C2" w:rsidRDefault="00406391" w:rsidP="00406391">
      <w:pPr>
        <w:spacing w:line="480" w:lineRule="auto"/>
        <w:rPr>
          <w:rFonts w:ascii="Times New Roman" w:hAnsi="Times New Roman" w:cs="Times New Roman"/>
          <w:sz w:val="24"/>
          <w:szCs w:val="24"/>
        </w:rPr>
      </w:pPr>
      <w:r w:rsidRPr="00C634C2">
        <w:rPr>
          <w:rFonts w:ascii="Times New Roman" w:hAnsi="Times New Roman" w:cs="Times New Roman"/>
          <w:sz w:val="24"/>
          <w:szCs w:val="24"/>
        </w:rPr>
        <w:t xml:space="preserve">(a) HDS-R score, according to age group. HDS-R score in 65–74-year-old and ≥75-year-old participants. Bars represent mean (95% confidence interval). Comparison was made using the unpaired </w:t>
      </w:r>
      <w:r w:rsidRPr="00C634C2">
        <w:rPr>
          <w:rFonts w:ascii="Times New Roman" w:hAnsi="Times New Roman" w:cs="Times New Roman"/>
          <w:i/>
          <w:iCs/>
          <w:sz w:val="24"/>
          <w:szCs w:val="24"/>
        </w:rPr>
        <w:t>t</w:t>
      </w:r>
      <w:r w:rsidRPr="00C634C2">
        <w:rPr>
          <w:rFonts w:ascii="Times New Roman" w:hAnsi="Times New Roman" w:cs="Times New Roman"/>
          <w:sz w:val="24"/>
          <w:szCs w:val="24"/>
        </w:rPr>
        <w:t>-test.</w:t>
      </w:r>
      <w:bookmarkStart w:id="0" w:name="_Hlk130461129"/>
      <w:r w:rsidRPr="00C634C2">
        <w:rPr>
          <w:rFonts w:ascii="Times New Roman" w:hAnsi="Times New Roman" w:cs="Times New Roman"/>
          <w:sz w:val="24"/>
          <w:szCs w:val="24"/>
        </w:rPr>
        <w:t xml:space="preserve"> ** </w:t>
      </w:r>
      <w:r w:rsidRPr="00C634C2">
        <w:rPr>
          <w:rFonts w:ascii="Times New Roman" w:hAnsi="Times New Roman" w:cs="Times New Roman"/>
          <w:i/>
          <w:iCs/>
          <w:sz w:val="24"/>
          <w:szCs w:val="24"/>
        </w:rPr>
        <w:t>P</w:t>
      </w:r>
      <w:r w:rsidRPr="00C634C2">
        <w:rPr>
          <w:rFonts w:ascii="Times New Roman" w:hAnsi="Times New Roman" w:cs="Times New Roman"/>
          <w:sz w:val="24"/>
          <w:szCs w:val="24"/>
        </w:rPr>
        <w:t xml:space="preserve">&lt;0.01, *** </w:t>
      </w:r>
      <w:r w:rsidRPr="00C634C2">
        <w:rPr>
          <w:rFonts w:ascii="Times New Roman" w:hAnsi="Times New Roman" w:cs="Times New Roman"/>
          <w:i/>
          <w:iCs/>
          <w:sz w:val="24"/>
          <w:szCs w:val="24"/>
        </w:rPr>
        <w:t>P</w:t>
      </w:r>
      <w:r w:rsidRPr="00C634C2">
        <w:rPr>
          <w:rFonts w:ascii="Times New Roman" w:hAnsi="Times New Roman" w:cs="Times New Roman"/>
          <w:sz w:val="24"/>
          <w:szCs w:val="24"/>
        </w:rPr>
        <w:t>&lt;0.001.</w:t>
      </w:r>
      <w:r w:rsidRPr="00C634C2">
        <w:rPr>
          <w:rFonts w:ascii="Times New Roman" w:hAnsi="Times New Roman" w:cs="Times New Roman"/>
          <w:sz w:val="24"/>
          <w:szCs w:val="24"/>
        </w:rPr>
        <w:br/>
        <w:t xml:space="preserve">(b) Pearson correlation between age and HDS-R score. </w:t>
      </w:r>
      <w:bookmarkEnd w:id="0"/>
      <w:r w:rsidRPr="00C634C2">
        <w:rPr>
          <w:rFonts w:ascii="Times New Roman" w:hAnsi="Times New Roman" w:cs="Times New Roman"/>
          <w:sz w:val="24"/>
          <w:szCs w:val="24"/>
        </w:rPr>
        <w:t xml:space="preserve">r=−0.57, </w:t>
      </w:r>
      <w:r w:rsidRPr="00C634C2">
        <w:rPr>
          <w:rFonts w:ascii="Times New Roman" w:hAnsi="Times New Roman" w:cs="Times New Roman"/>
          <w:i/>
          <w:iCs/>
          <w:sz w:val="24"/>
          <w:szCs w:val="24"/>
        </w:rPr>
        <w:t>P</w:t>
      </w:r>
      <w:r w:rsidRPr="00C634C2">
        <w:rPr>
          <w:rFonts w:ascii="Times New Roman" w:hAnsi="Times New Roman" w:cs="Times New Roman"/>
          <w:sz w:val="24"/>
          <w:szCs w:val="24"/>
        </w:rPr>
        <w:t xml:space="preserve">&lt;0.01. </w:t>
      </w:r>
    </w:p>
    <w:p w14:paraId="141529F2" w14:textId="77777777" w:rsidR="00406391" w:rsidRPr="00C634C2" w:rsidRDefault="00406391" w:rsidP="00406391">
      <w:pPr>
        <w:spacing w:line="480" w:lineRule="auto"/>
        <w:rPr>
          <w:rFonts w:ascii="Times New Roman" w:hAnsi="Times New Roman" w:cs="Times New Roman"/>
          <w:sz w:val="24"/>
          <w:szCs w:val="24"/>
        </w:rPr>
      </w:pPr>
      <w:r w:rsidRPr="00C634C2">
        <w:rPr>
          <w:rFonts w:ascii="Times New Roman" w:hAnsi="Times New Roman" w:cs="Times New Roman"/>
          <w:sz w:val="24"/>
          <w:szCs w:val="24"/>
        </w:rPr>
        <w:t>HDS-R, the Hasegawa Dementia Rating Scale-revised.</w:t>
      </w:r>
    </w:p>
    <w:p w14:paraId="0AF6EC47" w14:textId="77777777" w:rsidR="00406391" w:rsidRPr="00C634C2" w:rsidRDefault="00406391" w:rsidP="00406391">
      <w:pPr>
        <w:spacing w:line="480" w:lineRule="auto"/>
        <w:rPr>
          <w:rFonts w:ascii="Times New Roman" w:hAnsi="Times New Roman" w:cs="Times New Roman"/>
          <w:sz w:val="24"/>
          <w:szCs w:val="24"/>
        </w:rPr>
      </w:pPr>
    </w:p>
    <w:p w14:paraId="3DD31E95" w14:textId="77777777" w:rsidR="00406391" w:rsidRPr="00C634C2" w:rsidRDefault="00406391" w:rsidP="00406391">
      <w:pPr>
        <w:spacing w:line="480" w:lineRule="auto"/>
        <w:rPr>
          <w:rFonts w:ascii="Times New Roman" w:hAnsi="Times New Roman" w:cs="Times New Roman"/>
          <w:sz w:val="24"/>
          <w:szCs w:val="24"/>
        </w:rPr>
      </w:pPr>
      <w:r w:rsidRPr="00C634C2">
        <w:rPr>
          <w:rFonts w:ascii="Times New Roman" w:hAnsi="Times New Roman" w:cs="Times New Roman"/>
          <w:sz w:val="24"/>
          <w:szCs w:val="24"/>
        </w:rPr>
        <w:t>Supplementary figure 2. Changes in HbA1c and body weight during the study in each age group</w:t>
      </w:r>
    </w:p>
    <w:p w14:paraId="67491C35" w14:textId="77777777" w:rsidR="00406391" w:rsidRPr="00C634C2" w:rsidRDefault="00406391" w:rsidP="00406391">
      <w:pPr>
        <w:spacing w:line="480" w:lineRule="auto"/>
        <w:rPr>
          <w:sz w:val="24"/>
          <w:szCs w:val="24"/>
        </w:rPr>
      </w:pPr>
      <w:r w:rsidRPr="00C634C2">
        <w:rPr>
          <w:rFonts w:ascii="Times New Roman" w:hAnsi="Times New Roman" w:cs="Times New Roman"/>
          <w:sz w:val="24"/>
          <w:szCs w:val="24"/>
        </w:rPr>
        <w:t>(a) Change in HbA1c. (b) Change in body weight</w:t>
      </w:r>
    </w:p>
    <w:p w14:paraId="7ACC1489" w14:textId="77777777" w:rsidR="00406391" w:rsidRPr="00C634C2" w:rsidRDefault="00406391" w:rsidP="00406391">
      <w:pPr>
        <w:spacing w:line="480" w:lineRule="auto"/>
        <w:rPr>
          <w:rFonts w:ascii="Times New Roman" w:hAnsi="Times New Roman" w:cs="Times New Roman"/>
          <w:sz w:val="24"/>
          <w:szCs w:val="24"/>
        </w:rPr>
      </w:pPr>
      <w:r w:rsidRPr="00C634C2">
        <w:rPr>
          <w:rFonts w:ascii="Times New Roman" w:hAnsi="Times New Roman" w:cs="Times New Roman"/>
          <w:sz w:val="24"/>
          <w:szCs w:val="24"/>
        </w:rPr>
        <w:t xml:space="preserve">There were no significant differences between the 65–74-year-olds and the ≥75-year-olds. Bars represent mean (95% confidence interval). Comparisons were made using the unpaired </w:t>
      </w:r>
      <w:r w:rsidRPr="00C634C2">
        <w:rPr>
          <w:rFonts w:ascii="Times New Roman" w:hAnsi="Times New Roman" w:cs="Times New Roman"/>
          <w:i/>
          <w:iCs/>
          <w:sz w:val="24"/>
          <w:szCs w:val="24"/>
        </w:rPr>
        <w:t>t</w:t>
      </w:r>
      <w:r w:rsidRPr="00C634C2">
        <w:rPr>
          <w:rFonts w:ascii="Times New Roman" w:hAnsi="Times New Roman" w:cs="Times New Roman"/>
          <w:sz w:val="24"/>
          <w:szCs w:val="24"/>
        </w:rPr>
        <w:t>-test.</w:t>
      </w:r>
    </w:p>
    <w:p w14:paraId="023CD292" w14:textId="77777777" w:rsidR="00406391" w:rsidRPr="00A221D1" w:rsidRDefault="00406391" w:rsidP="00406391">
      <w:pPr>
        <w:pStyle w:val="EndNoteBibliography"/>
        <w:rPr>
          <w:rFonts w:ascii="Times New Roman" w:hAnsi="Times New Roman" w:cs="Times New Roman"/>
          <w:sz w:val="24"/>
          <w:szCs w:val="24"/>
        </w:rPr>
      </w:pPr>
    </w:p>
    <w:p w14:paraId="0165A6A7" w14:textId="77777777" w:rsidR="00F553FF" w:rsidRDefault="00F553FF"/>
    <w:sectPr w:rsidR="00F553FF" w:rsidSect="001127E5">
      <w:pgSz w:w="11906" w:h="16838"/>
      <w:pgMar w:top="1985" w:right="1701" w:bottom="1701" w:left="1701" w:header="851" w:footer="992" w:gutter="0"/>
      <w:lnNumType w:countBy="1" w:restart="continuous"/>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350119D"/>
    <w:multiLevelType w:val="hybridMultilevel"/>
    <w:tmpl w:val="7A941868"/>
    <w:lvl w:ilvl="0" w:tplc="D270A048">
      <w:start w:val="1"/>
      <w:numFmt w:val="decimal"/>
      <w:lvlText w:val="%1."/>
      <w:lvlJc w:val="left"/>
      <w:pPr>
        <w:ind w:left="840" w:hanging="8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8392286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6391"/>
    <w:rsid w:val="003C2EF4"/>
    <w:rsid w:val="00406391"/>
    <w:rsid w:val="00F553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2EDB3A"/>
  <w15:chartTrackingRefBased/>
  <w15:docId w15:val="{BAD6B738-294A-436F-8FCE-C8CAA14EE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6391"/>
    <w:pPr>
      <w:widowControl w:val="0"/>
      <w:spacing w:after="0" w:line="240" w:lineRule="auto"/>
      <w:jc w:val="both"/>
    </w:pPr>
    <w:rPr>
      <w:rFonts w:eastAsiaTheme="minorEastAsia"/>
      <w:sz w:val="21"/>
      <w:lang w:eastAsia="ja-JP"/>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06391"/>
    <w:pPr>
      <w:ind w:leftChars="400" w:left="840"/>
    </w:pPr>
  </w:style>
  <w:style w:type="paragraph" w:customStyle="1" w:styleId="EndNoteBibliography">
    <w:name w:val="EndNote Bibliography"/>
    <w:basedOn w:val="Normal"/>
    <w:link w:val="EndNoteBibliography0"/>
    <w:rsid w:val="00406391"/>
    <w:rPr>
      <w:rFonts w:ascii="Yu Mincho" w:eastAsia="Yu Mincho" w:hAnsi="Yu Mincho"/>
      <w:noProof/>
      <w:sz w:val="20"/>
    </w:rPr>
  </w:style>
  <w:style w:type="character" w:customStyle="1" w:styleId="EndNoteBibliography0">
    <w:name w:val="EndNote Bibliography (文字)"/>
    <w:basedOn w:val="DefaultParagraphFont"/>
    <w:link w:val="EndNoteBibliography"/>
    <w:rsid w:val="00406391"/>
    <w:rPr>
      <w:rFonts w:ascii="Yu Mincho" w:eastAsia="Yu Mincho" w:hAnsi="Yu Mincho"/>
      <w:noProof/>
      <w:sz w:val="20"/>
      <w:lang w:eastAsia="ja-JP"/>
      <w14:ligatures w14:val="none"/>
    </w:rPr>
  </w:style>
  <w:style w:type="character" w:styleId="LineNumber">
    <w:name w:val="line number"/>
    <w:basedOn w:val="DefaultParagraphFont"/>
    <w:uiPriority w:val="99"/>
    <w:semiHidden/>
    <w:unhideWhenUsed/>
    <w:rsid w:val="004063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262</Words>
  <Characters>1498</Characters>
  <Application>Microsoft Office Word</Application>
  <DocSecurity>0</DocSecurity>
  <Lines>12</Lines>
  <Paragraphs>3</Paragraphs>
  <ScaleCrop>false</ScaleCrop>
  <Company>Springer Nature</Company>
  <LinksUpToDate>false</LinksUpToDate>
  <CharactersWithSpaces>1757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Rizwan Khan</dc:creator>
  <cp:keywords/>
  <dc:description/>
  <cp:lastModifiedBy>Rizwan Khan</cp:lastModifiedBy>
  <cp:revision>1</cp:revision>
  <dcterms:created xsi:type="dcterms:W3CDTF">2024-02-07T09:53:00Z</dcterms:created>
  <dcterms:modified xsi:type="dcterms:W3CDTF">2024-02-07T09:53:00Z</dcterms:modified>
</cp:coreProperties>
</file>