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7BAA9" w14:textId="77777777" w:rsidR="00FA008E" w:rsidRDefault="00000000">
      <w:pPr>
        <w:pStyle w:val="desc"/>
        <w:shd w:val="clear" w:color="auto" w:fill="FFFFFF"/>
        <w:spacing w:before="0" w:beforeAutospacing="0" w:after="0" w:afterAutospacing="0" w:line="480" w:lineRule="auto"/>
        <w:jc w:val="center"/>
        <w:rPr>
          <w:rFonts w:ascii="Times New Roman" w:hAnsi="Times New Roman" w:cs="Times New Roman"/>
          <w:b/>
          <w:color w:val="000000"/>
          <w:sz w:val="28"/>
          <w:szCs w:val="28"/>
          <w:shd w:val="clear" w:color="auto" w:fill="FFFFFF"/>
        </w:rPr>
      </w:pPr>
      <w:r>
        <w:rPr>
          <w:rFonts w:ascii="Times New Roman" w:hAnsi="Times New Roman" w:cs="Times New Roman"/>
          <w:b/>
          <w:color w:val="000000"/>
          <w:sz w:val="28"/>
          <w:szCs w:val="28"/>
          <w:shd w:val="clear" w:color="auto" w:fill="FFFFFF"/>
        </w:rPr>
        <w:t>Supplementary Materials for</w:t>
      </w:r>
    </w:p>
    <w:p w14:paraId="11D0A47D" w14:textId="77777777" w:rsidR="00FA008E" w:rsidRDefault="00000000">
      <w:pPr>
        <w:spacing w:line="480" w:lineRule="auto"/>
        <w:rPr>
          <w:rFonts w:ascii="Calibri" w:eastAsia="宋体" w:hAnsi="Calibri" w:cs="Times New Roman"/>
          <w:b/>
          <w:bCs/>
          <w:sz w:val="24"/>
          <w:szCs w:val="24"/>
        </w:rPr>
      </w:pPr>
      <w:r>
        <w:rPr>
          <w:rFonts w:ascii="Calibri" w:eastAsia="宋体" w:hAnsi="Calibri" w:cs="Times New Roman"/>
          <w:b/>
          <w:bCs/>
          <w:sz w:val="24"/>
          <w:szCs w:val="24"/>
        </w:rPr>
        <w:t xml:space="preserve">A </w:t>
      </w:r>
      <w:bookmarkStart w:id="0" w:name="_Hlk147162755"/>
      <w:bookmarkStart w:id="1" w:name="_Hlk147172123"/>
      <w:r>
        <w:rPr>
          <w:rFonts w:ascii="Calibri" w:eastAsia="宋体" w:hAnsi="Calibri" w:cs="Times New Roman" w:hint="eastAsia"/>
          <w:b/>
          <w:bCs/>
          <w:sz w:val="24"/>
          <w:szCs w:val="24"/>
        </w:rPr>
        <w:t>m</w:t>
      </w:r>
      <w:r>
        <w:rPr>
          <w:rFonts w:ascii="Calibri" w:eastAsia="宋体" w:hAnsi="Calibri" w:cs="Times New Roman"/>
          <w:b/>
          <w:bCs/>
          <w:sz w:val="24"/>
          <w:szCs w:val="24"/>
        </w:rPr>
        <w:t>ulti-targeting immunotherapy</w:t>
      </w:r>
      <w:bookmarkEnd w:id="0"/>
      <w:bookmarkEnd w:id="1"/>
      <w:r>
        <w:rPr>
          <w:rFonts w:ascii="Calibri" w:eastAsia="宋体" w:hAnsi="Calibri" w:cs="Times New Roman"/>
          <w:b/>
          <w:bCs/>
          <w:sz w:val="24"/>
          <w:szCs w:val="24"/>
        </w:rPr>
        <w:t xml:space="preserve"> ameliorates multiple facets of Alzheimer’ s disease in 3xTg mice</w:t>
      </w:r>
    </w:p>
    <w:p w14:paraId="0C4300A4" w14:textId="77777777" w:rsidR="00FA008E" w:rsidRDefault="00000000">
      <w:pPr>
        <w:autoSpaceDE w:val="0"/>
        <w:autoSpaceDN w:val="0"/>
        <w:adjustRightInd w:val="0"/>
        <w:spacing w:line="480" w:lineRule="auto"/>
        <w:rPr>
          <w:rFonts w:ascii="Calibri" w:eastAsia="等线" w:hAnsi="Calibri" w:cs="Calibri"/>
          <w:szCs w:val="21"/>
        </w:rPr>
      </w:pPr>
      <w:bookmarkStart w:id="2" w:name="_Hlk153280909"/>
      <w:r>
        <w:rPr>
          <w:rFonts w:ascii="Calibri" w:eastAsia="等线" w:hAnsi="Calibri" w:cs="Calibri"/>
          <w:szCs w:val="21"/>
        </w:rPr>
        <w:t>Xuejian Feng</w:t>
      </w:r>
      <w:r>
        <w:rPr>
          <w:rFonts w:ascii="Calibri" w:eastAsia="等线" w:hAnsi="Calibri" w:cs="Calibri"/>
          <w:szCs w:val="21"/>
          <w:vertAlign w:val="superscript"/>
        </w:rPr>
        <w:t>1</w:t>
      </w:r>
      <w:r>
        <w:rPr>
          <w:rFonts w:ascii="Calibri" w:eastAsia="等线" w:hAnsi="Calibri" w:cs="Calibri"/>
          <w:szCs w:val="21"/>
        </w:rPr>
        <w:t xml:space="preserve">, </w:t>
      </w:r>
      <w:proofErr w:type="spellStart"/>
      <w:r>
        <w:rPr>
          <w:rFonts w:ascii="Calibri" w:eastAsia="等线" w:hAnsi="Calibri" w:cs="Calibri"/>
          <w:szCs w:val="21"/>
        </w:rPr>
        <w:t>Yunyu</w:t>
      </w:r>
      <w:proofErr w:type="spellEnd"/>
      <w:r>
        <w:rPr>
          <w:rFonts w:ascii="Calibri" w:eastAsia="等线" w:hAnsi="Calibri" w:cs="Calibri"/>
          <w:szCs w:val="21"/>
        </w:rPr>
        <w:t xml:space="preserve"> Hou</w:t>
      </w:r>
      <w:r>
        <w:rPr>
          <w:rFonts w:ascii="Calibri" w:eastAsia="等线" w:hAnsi="Calibri" w:cs="Calibri"/>
          <w:szCs w:val="21"/>
          <w:vertAlign w:val="superscript"/>
        </w:rPr>
        <w:t>1</w:t>
      </w:r>
      <w:r>
        <w:rPr>
          <w:rFonts w:ascii="Calibri" w:eastAsia="等线" w:hAnsi="Calibri" w:cs="Calibri"/>
          <w:szCs w:val="21"/>
        </w:rPr>
        <w:t>, Jiaxin Liu</w:t>
      </w:r>
      <w:r>
        <w:rPr>
          <w:rFonts w:ascii="Calibri" w:eastAsia="等线" w:hAnsi="Calibri" w:cs="Calibri"/>
          <w:szCs w:val="21"/>
          <w:vertAlign w:val="superscript"/>
        </w:rPr>
        <w:t>1</w:t>
      </w:r>
      <w:r>
        <w:rPr>
          <w:rFonts w:ascii="Calibri" w:eastAsia="等线" w:hAnsi="Calibri" w:cs="Calibri"/>
          <w:szCs w:val="21"/>
        </w:rPr>
        <w:t>, Fei Yan</w:t>
      </w:r>
      <w:r>
        <w:rPr>
          <w:rFonts w:ascii="Calibri" w:eastAsia="等线" w:hAnsi="Calibri" w:cs="Calibri"/>
          <w:szCs w:val="21"/>
          <w:vertAlign w:val="superscript"/>
        </w:rPr>
        <w:t>1</w:t>
      </w:r>
      <w:r>
        <w:rPr>
          <w:rFonts w:ascii="Calibri" w:eastAsia="等线" w:hAnsi="Calibri" w:cs="Calibri"/>
          <w:szCs w:val="21"/>
        </w:rPr>
        <w:t xml:space="preserve">, </w:t>
      </w:r>
      <w:proofErr w:type="spellStart"/>
      <w:r>
        <w:rPr>
          <w:rFonts w:ascii="Calibri" w:eastAsia="等线" w:hAnsi="Calibri" w:cs="Calibri"/>
          <w:szCs w:val="21"/>
        </w:rPr>
        <w:t>Mingrui</w:t>
      </w:r>
      <w:proofErr w:type="spellEnd"/>
      <w:r>
        <w:rPr>
          <w:rFonts w:ascii="Calibri" w:eastAsia="等线" w:hAnsi="Calibri" w:cs="Calibri"/>
          <w:szCs w:val="21"/>
        </w:rPr>
        <w:t xml:space="preserve"> Dai</w:t>
      </w:r>
      <w:r>
        <w:rPr>
          <w:rFonts w:ascii="Calibri" w:eastAsia="等线" w:hAnsi="Calibri" w:cs="Calibri"/>
          <w:szCs w:val="21"/>
          <w:vertAlign w:val="superscript"/>
        </w:rPr>
        <w:t>1</w:t>
      </w:r>
      <w:r>
        <w:rPr>
          <w:rFonts w:ascii="Calibri" w:eastAsia="等线" w:hAnsi="Calibri" w:cs="Calibri"/>
          <w:szCs w:val="21"/>
        </w:rPr>
        <w:t>, Mo Chen</w:t>
      </w:r>
      <w:r>
        <w:rPr>
          <w:rFonts w:ascii="Calibri" w:eastAsia="等线" w:hAnsi="Calibri" w:cs="Calibri"/>
          <w:szCs w:val="21"/>
          <w:vertAlign w:val="superscript"/>
        </w:rPr>
        <w:t>1</w:t>
      </w:r>
      <w:r>
        <w:rPr>
          <w:rFonts w:ascii="Calibri" w:eastAsia="等线" w:hAnsi="Calibri" w:cs="Calibri"/>
          <w:szCs w:val="21"/>
        </w:rPr>
        <w:t>,</w:t>
      </w:r>
      <w:r>
        <w:rPr>
          <w:rFonts w:ascii="Calibri" w:eastAsia="等线" w:hAnsi="Calibri" w:cs="Calibri"/>
          <w:szCs w:val="21"/>
          <w:vertAlign w:val="superscript"/>
        </w:rPr>
        <w:t xml:space="preserve"> </w:t>
      </w:r>
      <w:proofErr w:type="spellStart"/>
      <w:r>
        <w:rPr>
          <w:rFonts w:ascii="Times New Roman" w:hAnsi="Times New Roman" w:cs="Times New Roman"/>
          <w:sz w:val="24"/>
        </w:rPr>
        <w:t>Jianan</w:t>
      </w:r>
      <w:proofErr w:type="spellEnd"/>
      <w:r>
        <w:rPr>
          <w:rFonts w:ascii="Times New Roman" w:hAnsi="Times New Roman" w:cs="Times New Roman"/>
          <w:sz w:val="24"/>
        </w:rPr>
        <w:t xml:space="preserve"> Wang</w:t>
      </w:r>
      <w:r>
        <w:rPr>
          <w:rFonts w:ascii="Calibri" w:eastAsia="等线" w:hAnsi="Calibri" w:cs="Calibri" w:hint="eastAsia"/>
          <w:szCs w:val="21"/>
          <w:vertAlign w:val="superscript"/>
        </w:rPr>
        <w:t>3</w:t>
      </w:r>
      <w:r>
        <w:rPr>
          <w:rFonts w:ascii="Calibri" w:eastAsia="等线" w:hAnsi="Calibri" w:cs="Calibri"/>
          <w:szCs w:val="21"/>
        </w:rPr>
        <w:t>,</w:t>
      </w:r>
      <w:r>
        <w:rPr>
          <w:rFonts w:ascii="Calibri" w:eastAsia="等线" w:hAnsi="Calibri" w:cs="Calibri"/>
          <w:szCs w:val="21"/>
          <w:vertAlign w:val="superscript"/>
        </w:rPr>
        <w:t xml:space="preserve"> </w:t>
      </w:r>
      <w:r>
        <w:rPr>
          <w:rFonts w:ascii="Calibri" w:eastAsia="等线" w:hAnsi="Calibri" w:cs="Calibri"/>
          <w:szCs w:val="21"/>
        </w:rPr>
        <w:t>Jie Li</w:t>
      </w:r>
      <w:r>
        <w:rPr>
          <w:rFonts w:ascii="Calibri" w:eastAsia="等线" w:hAnsi="Calibri" w:cs="Calibri" w:hint="eastAsia"/>
          <w:szCs w:val="21"/>
          <w:vertAlign w:val="superscript"/>
        </w:rPr>
        <w:t>4</w:t>
      </w:r>
      <w:r>
        <w:rPr>
          <w:rFonts w:ascii="Calibri" w:eastAsia="等线" w:hAnsi="Calibri" w:cs="Calibri"/>
          <w:szCs w:val="21"/>
        </w:rPr>
        <w:t>, Zhenjiang Liu</w:t>
      </w:r>
      <w:r>
        <w:rPr>
          <w:rFonts w:ascii="Calibri" w:eastAsia="等线" w:hAnsi="Calibri" w:cs="Calibri"/>
          <w:szCs w:val="21"/>
          <w:vertAlign w:val="superscript"/>
        </w:rPr>
        <w:t>1,2</w:t>
      </w:r>
      <w:r>
        <w:rPr>
          <w:rFonts w:ascii="Calibri" w:eastAsia="等线" w:hAnsi="Calibri" w:cs="Calibri"/>
          <w:szCs w:val="21"/>
        </w:rPr>
        <w:t>, Dong Sun</w:t>
      </w:r>
      <w:r>
        <w:rPr>
          <w:rFonts w:ascii="Calibri" w:eastAsia="等线" w:hAnsi="Calibri" w:cs="Calibri"/>
          <w:szCs w:val="21"/>
          <w:vertAlign w:val="superscript"/>
        </w:rPr>
        <w:t>1,2</w:t>
      </w:r>
      <w:r>
        <w:rPr>
          <w:rFonts w:ascii="Calibri" w:eastAsia="等线" w:hAnsi="Calibri" w:cs="Calibri"/>
          <w:szCs w:val="21"/>
        </w:rPr>
        <w:t xml:space="preserve">, Yong Zhang </w:t>
      </w:r>
      <w:r>
        <w:rPr>
          <w:rFonts w:ascii="Calibri" w:eastAsia="等线" w:hAnsi="Calibri" w:cs="Calibri"/>
          <w:szCs w:val="21"/>
          <w:vertAlign w:val="superscript"/>
        </w:rPr>
        <w:t>1,2</w:t>
      </w:r>
      <w:r>
        <w:rPr>
          <w:rFonts w:ascii="Calibri" w:eastAsia="等线" w:hAnsi="Calibri" w:cs="Calibri"/>
          <w:szCs w:val="21"/>
        </w:rPr>
        <w:t xml:space="preserve">, </w:t>
      </w:r>
      <w:proofErr w:type="spellStart"/>
      <w:r>
        <w:rPr>
          <w:rFonts w:ascii="Calibri" w:eastAsia="等线" w:hAnsi="Calibri" w:cs="Calibri"/>
          <w:szCs w:val="21"/>
        </w:rPr>
        <w:t>Xianghui</w:t>
      </w:r>
      <w:proofErr w:type="spellEnd"/>
      <w:r>
        <w:rPr>
          <w:rFonts w:ascii="Calibri" w:eastAsia="等线" w:hAnsi="Calibri" w:cs="Calibri"/>
          <w:szCs w:val="21"/>
        </w:rPr>
        <w:t xml:space="preserve"> Yu</w:t>
      </w:r>
      <w:r>
        <w:rPr>
          <w:rFonts w:ascii="Calibri" w:eastAsia="等线" w:hAnsi="Calibri" w:cs="Calibri"/>
          <w:szCs w:val="21"/>
          <w:vertAlign w:val="superscript"/>
        </w:rPr>
        <w:t>1,2</w:t>
      </w:r>
      <w:r>
        <w:rPr>
          <w:rFonts w:ascii="Calibri" w:eastAsia="等线" w:hAnsi="Calibri" w:cs="Calibri"/>
          <w:szCs w:val="21"/>
        </w:rPr>
        <w:t>,</w:t>
      </w:r>
      <w:r>
        <w:rPr>
          <w:rFonts w:ascii="Calibri" w:eastAsia="等线" w:hAnsi="Calibri" w:cs="Calibri"/>
          <w:szCs w:val="21"/>
          <w:vertAlign w:val="superscript"/>
        </w:rPr>
        <w:t xml:space="preserve"> </w:t>
      </w:r>
      <w:r>
        <w:rPr>
          <w:rFonts w:ascii="Calibri" w:eastAsia="等线" w:hAnsi="Calibri" w:cs="Calibri"/>
          <w:szCs w:val="21"/>
        </w:rPr>
        <w:t>Wei Kong</w:t>
      </w:r>
      <w:r>
        <w:rPr>
          <w:rFonts w:ascii="Calibri" w:eastAsia="等线" w:hAnsi="Calibri" w:cs="Calibri"/>
          <w:szCs w:val="21"/>
          <w:vertAlign w:val="superscript"/>
        </w:rPr>
        <w:t xml:space="preserve"> 1,2*</w:t>
      </w:r>
      <w:r>
        <w:rPr>
          <w:rFonts w:ascii="Calibri" w:eastAsia="等线" w:hAnsi="Calibri" w:cs="Calibri"/>
          <w:szCs w:val="21"/>
        </w:rPr>
        <w:t xml:space="preserve"> and Hui Wu </w:t>
      </w:r>
      <w:r>
        <w:rPr>
          <w:rFonts w:ascii="Calibri" w:eastAsia="等线" w:hAnsi="Calibri" w:cs="Calibri"/>
          <w:szCs w:val="21"/>
          <w:vertAlign w:val="superscript"/>
        </w:rPr>
        <w:t>1,2*</w:t>
      </w:r>
    </w:p>
    <w:p w14:paraId="017C5405" w14:textId="77777777" w:rsidR="00FA008E" w:rsidRDefault="00000000">
      <w:pPr>
        <w:autoSpaceDE w:val="0"/>
        <w:autoSpaceDN w:val="0"/>
        <w:adjustRightInd w:val="0"/>
        <w:spacing w:line="480" w:lineRule="auto"/>
        <w:rPr>
          <w:rFonts w:ascii="Calibri" w:eastAsia="等线" w:hAnsi="Calibri" w:cs="Calibri"/>
          <w:szCs w:val="21"/>
        </w:rPr>
      </w:pPr>
      <w:r>
        <w:rPr>
          <w:rFonts w:ascii="Calibri" w:eastAsia="等线" w:hAnsi="Calibri" w:cs="Calibri"/>
          <w:szCs w:val="21"/>
        </w:rPr>
        <w:t xml:space="preserve">*Corresponding author </w:t>
      </w:r>
    </w:p>
    <w:p w14:paraId="19AFFF63" w14:textId="77777777" w:rsidR="00FA008E" w:rsidRDefault="00000000">
      <w:pPr>
        <w:tabs>
          <w:tab w:val="left" w:pos="6140"/>
        </w:tabs>
        <w:autoSpaceDE w:val="0"/>
        <w:autoSpaceDN w:val="0"/>
        <w:adjustRightInd w:val="0"/>
        <w:spacing w:line="480" w:lineRule="auto"/>
        <w:rPr>
          <w:rFonts w:ascii="Calibri" w:eastAsia="等线" w:hAnsi="Calibri" w:cs="Calibri"/>
          <w:szCs w:val="21"/>
        </w:rPr>
      </w:pPr>
      <w:r>
        <w:rPr>
          <w:rFonts w:ascii="Calibri" w:eastAsia="等线" w:hAnsi="Calibri" w:cs="Calibri"/>
          <w:szCs w:val="21"/>
        </w:rPr>
        <w:t xml:space="preserve">Hui Wu </w:t>
      </w:r>
      <w:r>
        <w:rPr>
          <w:rFonts w:ascii="Calibri" w:eastAsia="等线" w:hAnsi="Calibri" w:cs="Calibri"/>
          <w:szCs w:val="21"/>
          <w:vertAlign w:val="superscript"/>
        </w:rPr>
        <w:t>1,2*</w:t>
      </w:r>
      <w:r>
        <w:rPr>
          <w:rFonts w:ascii="Calibri" w:eastAsia="等线" w:hAnsi="Calibri" w:cs="Calibri"/>
          <w:szCs w:val="21"/>
          <w:vertAlign w:val="superscript"/>
        </w:rPr>
        <w:tab/>
      </w:r>
    </w:p>
    <w:p w14:paraId="0FE53BF5" w14:textId="77777777" w:rsidR="00FA008E" w:rsidRDefault="00000000">
      <w:pPr>
        <w:autoSpaceDE w:val="0"/>
        <w:autoSpaceDN w:val="0"/>
        <w:adjustRightInd w:val="0"/>
        <w:spacing w:line="480" w:lineRule="auto"/>
        <w:rPr>
          <w:rFonts w:ascii="Calibri" w:eastAsia="等线" w:hAnsi="Calibri" w:cs="Calibri"/>
          <w:szCs w:val="21"/>
        </w:rPr>
      </w:pPr>
      <w:r>
        <w:rPr>
          <w:rFonts w:ascii="Calibri" w:eastAsia="等线" w:hAnsi="Calibri" w:cs="Calibri"/>
          <w:szCs w:val="21"/>
        </w:rPr>
        <w:t xml:space="preserve">Email: topwuhui@jlu.edu.cn </w:t>
      </w:r>
    </w:p>
    <w:p w14:paraId="6839CD74" w14:textId="77777777" w:rsidR="00FA008E" w:rsidRDefault="00000000">
      <w:pPr>
        <w:autoSpaceDE w:val="0"/>
        <w:autoSpaceDN w:val="0"/>
        <w:adjustRightInd w:val="0"/>
        <w:spacing w:line="480" w:lineRule="auto"/>
        <w:rPr>
          <w:rFonts w:ascii="Calibri" w:eastAsia="等线" w:hAnsi="Calibri" w:cs="Calibri"/>
          <w:szCs w:val="21"/>
        </w:rPr>
      </w:pPr>
      <w:r>
        <w:rPr>
          <w:rFonts w:ascii="Calibri" w:eastAsia="等线" w:hAnsi="Calibri" w:cs="Calibri"/>
          <w:szCs w:val="21"/>
        </w:rPr>
        <w:t xml:space="preserve">Wei Kong </w:t>
      </w:r>
      <w:r>
        <w:rPr>
          <w:rFonts w:ascii="Calibri" w:eastAsia="等线" w:hAnsi="Calibri" w:cs="Calibri"/>
          <w:szCs w:val="21"/>
          <w:vertAlign w:val="superscript"/>
        </w:rPr>
        <w:t>1,2*</w:t>
      </w:r>
    </w:p>
    <w:p w14:paraId="0C8BBA1E" w14:textId="77777777" w:rsidR="00FA008E" w:rsidRDefault="00000000">
      <w:pPr>
        <w:autoSpaceDE w:val="0"/>
        <w:autoSpaceDN w:val="0"/>
        <w:adjustRightInd w:val="0"/>
        <w:spacing w:line="480" w:lineRule="auto"/>
        <w:rPr>
          <w:rFonts w:ascii="Calibri" w:eastAsia="等线" w:hAnsi="Calibri" w:cs="Calibri"/>
          <w:szCs w:val="21"/>
        </w:rPr>
      </w:pPr>
      <w:r>
        <w:rPr>
          <w:rFonts w:ascii="Calibri" w:eastAsia="等线" w:hAnsi="Calibri" w:cs="Calibri"/>
          <w:szCs w:val="21"/>
        </w:rPr>
        <w:t>Email: weikong@jlu.edu.cn</w:t>
      </w:r>
    </w:p>
    <w:p w14:paraId="676FB9F5" w14:textId="77777777" w:rsidR="00FA008E" w:rsidRDefault="00000000">
      <w:pPr>
        <w:autoSpaceDE w:val="0"/>
        <w:autoSpaceDN w:val="0"/>
        <w:adjustRightInd w:val="0"/>
        <w:spacing w:line="480" w:lineRule="auto"/>
        <w:rPr>
          <w:rFonts w:ascii="Calibri" w:eastAsia="等线" w:hAnsi="Calibri" w:cs="Calibri"/>
          <w:szCs w:val="21"/>
        </w:rPr>
      </w:pPr>
      <w:r>
        <w:rPr>
          <w:rFonts w:ascii="Calibri" w:eastAsia="等线" w:hAnsi="Calibri" w:cs="Calibri"/>
          <w:szCs w:val="21"/>
        </w:rPr>
        <w:t xml:space="preserve">1 </w:t>
      </w:r>
      <w:bookmarkStart w:id="3" w:name="_Hlk151980015"/>
      <w:r>
        <w:rPr>
          <w:rFonts w:ascii="Calibri" w:eastAsia="等线" w:hAnsi="Calibri" w:cs="Calibri"/>
          <w:szCs w:val="21"/>
        </w:rPr>
        <w:t>National Engineering Laboratory for AIDS Vaccine, School of Life Sciences,</w:t>
      </w:r>
    </w:p>
    <w:p w14:paraId="443DDA86" w14:textId="77777777" w:rsidR="00FA008E" w:rsidRDefault="00000000">
      <w:pPr>
        <w:autoSpaceDE w:val="0"/>
        <w:autoSpaceDN w:val="0"/>
        <w:adjustRightInd w:val="0"/>
        <w:spacing w:line="480" w:lineRule="auto"/>
        <w:rPr>
          <w:rFonts w:ascii="Calibri" w:eastAsia="等线" w:hAnsi="Calibri" w:cs="Calibri"/>
          <w:szCs w:val="21"/>
        </w:rPr>
      </w:pPr>
      <w:r>
        <w:rPr>
          <w:rFonts w:ascii="Calibri" w:eastAsia="等线" w:hAnsi="Calibri" w:cs="Calibri"/>
          <w:szCs w:val="21"/>
        </w:rPr>
        <w:t>Jilin University, Changchun 130012, China</w:t>
      </w:r>
    </w:p>
    <w:p w14:paraId="13F51D73" w14:textId="77777777" w:rsidR="00FA008E" w:rsidRDefault="00000000">
      <w:pPr>
        <w:autoSpaceDE w:val="0"/>
        <w:autoSpaceDN w:val="0"/>
        <w:adjustRightInd w:val="0"/>
        <w:spacing w:line="480" w:lineRule="auto"/>
        <w:rPr>
          <w:rFonts w:ascii="Calibri" w:eastAsia="等线" w:hAnsi="Calibri" w:cs="Calibri"/>
          <w:szCs w:val="21"/>
        </w:rPr>
      </w:pPr>
      <w:r>
        <w:rPr>
          <w:rFonts w:ascii="Calibri" w:eastAsia="等线" w:hAnsi="Calibri" w:cs="Calibri"/>
          <w:szCs w:val="21"/>
        </w:rPr>
        <w:t>2 Key Laboratory for Molecular Enzymology and Engineering, The Ministry of Education, School of Life Sciences, Jilin University, Changchun 130012, People’s Republic</w:t>
      </w:r>
      <w:r>
        <w:rPr>
          <w:rFonts w:ascii="Calibri" w:eastAsia="等线" w:hAnsi="Calibri" w:cs="Calibri" w:hint="eastAsia"/>
          <w:szCs w:val="21"/>
        </w:rPr>
        <w:t xml:space="preserve"> </w:t>
      </w:r>
      <w:r>
        <w:rPr>
          <w:rFonts w:ascii="Calibri" w:eastAsia="等线" w:hAnsi="Calibri" w:cs="Calibri"/>
          <w:szCs w:val="21"/>
        </w:rPr>
        <w:t>of China.</w:t>
      </w:r>
    </w:p>
    <w:p w14:paraId="3D77854B" w14:textId="77777777" w:rsidR="00FA008E" w:rsidRDefault="00000000">
      <w:pPr>
        <w:autoSpaceDE w:val="0"/>
        <w:autoSpaceDN w:val="0"/>
        <w:adjustRightInd w:val="0"/>
        <w:spacing w:line="480" w:lineRule="auto"/>
        <w:rPr>
          <w:rFonts w:ascii="Calibri" w:eastAsia="等线" w:hAnsi="Calibri" w:cs="Calibri"/>
          <w:szCs w:val="21"/>
        </w:rPr>
      </w:pPr>
      <w:r>
        <w:rPr>
          <w:rFonts w:ascii="Calibri" w:eastAsia="等线" w:hAnsi="Calibri" w:cs="Calibri" w:hint="eastAsia"/>
          <w:szCs w:val="21"/>
        </w:rPr>
        <w:t>3</w:t>
      </w:r>
      <w:r>
        <w:rPr>
          <w:rFonts w:ascii="Calibri" w:eastAsia="等线" w:hAnsi="Calibri" w:cs="Calibri"/>
          <w:szCs w:val="21"/>
        </w:rPr>
        <w:t xml:space="preserve"> Changchun BCHT Biotechnology, 1260 </w:t>
      </w:r>
      <w:proofErr w:type="spellStart"/>
      <w:r>
        <w:rPr>
          <w:rFonts w:ascii="Calibri" w:eastAsia="等线" w:hAnsi="Calibri" w:cs="Calibri"/>
          <w:szCs w:val="21"/>
        </w:rPr>
        <w:t>Huoju</w:t>
      </w:r>
      <w:proofErr w:type="spellEnd"/>
      <w:r>
        <w:rPr>
          <w:rFonts w:ascii="Calibri" w:eastAsia="等线" w:hAnsi="Calibri" w:cs="Calibri"/>
          <w:szCs w:val="21"/>
        </w:rPr>
        <w:t xml:space="preserve"> Road, Changchun High-tech Zone, Changchun, Jilin, China</w:t>
      </w:r>
    </w:p>
    <w:p w14:paraId="2D4150C9" w14:textId="77777777" w:rsidR="00FA008E" w:rsidRDefault="00000000">
      <w:pPr>
        <w:autoSpaceDE w:val="0"/>
        <w:autoSpaceDN w:val="0"/>
        <w:adjustRightInd w:val="0"/>
        <w:spacing w:line="480" w:lineRule="auto"/>
        <w:rPr>
          <w:rFonts w:ascii="Calibri" w:eastAsia="等线" w:hAnsi="Calibri" w:cs="Calibri"/>
          <w:szCs w:val="21"/>
        </w:rPr>
      </w:pPr>
      <w:r>
        <w:rPr>
          <w:rFonts w:ascii="Calibri" w:eastAsia="等线" w:hAnsi="Calibri" w:cs="Calibri" w:hint="eastAsia"/>
          <w:szCs w:val="21"/>
        </w:rPr>
        <w:t>4</w:t>
      </w:r>
      <w:r>
        <w:rPr>
          <w:rFonts w:ascii="Calibri" w:eastAsia="等线" w:hAnsi="Calibri" w:cs="Calibri"/>
          <w:szCs w:val="21"/>
        </w:rPr>
        <w:t xml:space="preserve"> Department of Geriatrics, The First Hospital of Jilin University, Changchun 130021, Jilin, P.R. China</w:t>
      </w:r>
    </w:p>
    <w:bookmarkEnd w:id="3"/>
    <w:p w14:paraId="3DC4EDE3" w14:textId="77777777" w:rsidR="00FA008E" w:rsidRDefault="00000000">
      <w:pPr>
        <w:autoSpaceDE w:val="0"/>
        <w:autoSpaceDN w:val="0"/>
        <w:adjustRightInd w:val="0"/>
        <w:spacing w:line="480" w:lineRule="auto"/>
        <w:rPr>
          <w:rFonts w:ascii="Calibri" w:eastAsia="等线" w:hAnsi="Calibri" w:cs="Calibri"/>
          <w:szCs w:val="21"/>
        </w:rPr>
      </w:pPr>
      <w:r>
        <w:rPr>
          <w:rFonts w:ascii="Calibri" w:eastAsia="等线" w:hAnsi="Calibri" w:cs="Calibri"/>
          <w:szCs w:val="21"/>
        </w:rPr>
        <w:t>Full list of author information is available at the end of the article</w:t>
      </w:r>
    </w:p>
    <w:p w14:paraId="46E6E027" w14:textId="77777777" w:rsidR="00FA008E" w:rsidRDefault="00000000">
      <w:pPr>
        <w:autoSpaceDE w:val="0"/>
        <w:autoSpaceDN w:val="0"/>
        <w:adjustRightInd w:val="0"/>
        <w:spacing w:line="480" w:lineRule="auto"/>
        <w:rPr>
          <w:rFonts w:ascii="Calibri" w:eastAsia="宋体" w:hAnsi="Calibri" w:cs="Times New Roman"/>
          <w:b/>
          <w:bCs/>
          <w:szCs w:val="21"/>
        </w:rPr>
      </w:pPr>
      <w:r>
        <w:rPr>
          <w:rFonts w:ascii="Calibri" w:eastAsia="宋体" w:hAnsi="Calibri" w:cs="Times New Roman"/>
          <w:b/>
          <w:bCs/>
          <w:szCs w:val="21"/>
        </w:rPr>
        <w:t>Conflict of interest statement</w:t>
      </w:r>
    </w:p>
    <w:p w14:paraId="223204F9" w14:textId="77777777" w:rsidR="00FA008E" w:rsidRDefault="00000000">
      <w:pPr>
        <w:autoSpaceDE w:val="0"/>
        <w:autoSpaceDN w:val="0"/>
        <w:adjustRightInd w:val="0"/>
        <w:spacing w:line="480" w:lineRule="auto"/>
        <w:rPr>
          <w:rFonts w:ascii="Times New Roman" w:eastAsia="宋体" w:hAnsi="Times New Roman" w:cs="Times New Roman"/>
          <w:sz w:val="24"/>
          <w:szCs w:val="24"/>
        </w:rPr>
      </w:pPr>
      <w:r>
        <w:rPr>
          <w:rFonts w:ascii="Calibri" w:eastAsia="宋体" w:hAnsi="Calibri" w:cs="Times New Roman"/>
          <w:szCs w:val="21"/>
        </w:rPr>
        <w:t>All authors disclosed no relevant relationships.</w:t>
      </w:r>
    </w:p>
    <w:p w14:paraId="73F57EE6" w14:textId="77777777" w:rsidR="00FA008E" w:rsidRDefault="00FA008E">
      <w:pPr>
        <w:autoSpaceDE w:val="0"/>
        <w:autoSpaceDN w:val="0"/>
        <w:adjustRightInd w:val="0"/>
        <w:spacing w:line="480" w:lineRule="auto"/>
        <w:rPr>
          <w:rFonts w:ascii="Calibri" w:eastAsia="等线" w:hAnsi="Calibri" w:cs="Calibri"/>
          <w:szCs w:val="21"/>
        </w:rPr>
      </w:pPr>
    </w:p>
    <w:bookmarkEnd w:id="2"/>
    <w:p w14:paraId="2C123178" w14:textId="77777777" w:rsidR="00FA008E" w:rsidRDefault="0000000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100A26F" w14:textId="77777777" w:rsidR="00FA008E" w:rsidRDefault="00000000">
      <w:pPr>
        <w:jc w:val="center"/>
      </w:pPr>
      <w:r>
        <w:rPr>
          <w:noProof/>
        </w:rPr>
        <w:lastRenderedPageBreak/>
        <w:drawing>
          <wp:inline distT="0" distB="0" distL="0" distR="0" wp14:anchorId="4A822D7C" wp14:editId="7F17D6A5">
            <wp:extent cx="5274310" cy="3797300"/>
            <wp:effectExtent l="0" t="0" r="2540" b="0"/>
            <wp:docPr id="9173344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334457" name="图片 1"/>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797300"/>
                    </a:xfrm>
                    <a:prstGeom prst="rect">
                      <a:avLst/>
                    </a:prstGeom>
                  </pic:spPr>
                </pic:pic>
              </a:graphicData>
            </a:graphic>
          </wp:inline>
        </w:drawing>
      </w:r>
    </w:p>
    <w:p w14:paraId="20644E00" w14:textId="77777777" w:rsidR="00FA008E" w:rsidRDefault="00000000">
      <w:pPr>
        <w:spacing w:line="480" w:lineRule="auto"/>
        <w:ind w:firstLineChars="50" w:firstLine="90"/>
        <w:jc w:val="center"/>
        <w:rPr>
          <w:rFonts w:ascii="Calibri" w:hAnsi="Calibri" w:cs="Calibri"/>
          <w:color w:val="000000" w:themeColor="text1"/>
          <w:sz w:val="18"/>
          <w:szCs w:val="18"/>
        </w:rPr>
      </w:pPr>
      <w:r>
        <w:rPr>
          <w:rFonts w:ascii="Calibri" w:hAnsi="Calibri" w:cs="Calibri"/>
          <w:b/>
          <w:bCs/>
          <w:color w:val="000000" w:themeColor="text1"/>
          <w:sz w:val="18"/>
          <w:szCs w:val="18"/>
        </w:rPr>
        <w:t>Fig.S1.</w:t>
      </w:r>
      <w:r>
        <w:rPr>
          <w:rFonts w:ascii="Calibri" w:hAnsi="Calibri" w:cs="Calibri"/>
          <w:color w:val="000000" w:themeColor="text1"/>
          <w:sz w:val="18"/>
          <w:szCs w:val="18"/>
        </w:rPr>
        <w:t xml:space="preserve"> Preparation and characterization of Aβ and </w:t>
      </w:r>
      <w:proofErr w:type="spellStart"/>
      <w:r>
        <w:rPr>
          <w:rFonts w:ascii="Calibri" w:hAnsi="Calibri" w:cs="Calibri"/>
          <w:color w:val="000000" w:themeColor="text1"/>
          <w:sz w:val="18"/>
          <w:szCs w:val="18"/>
        </w:rPr>
        <w:t>pTau</w:t>
      </w:r>
      <w:proofErr w:type="spellEnd"/>
      <w:r>
        <w:rPr>
          <w:rFonts w:ascii="Calibri" w:hAnsi="Calibri" w:cs="Calibri"/>
          <w:color w:val="000000" w:themeColor="text1"/>
          <w:sz w:val="18"/>
          <w:szCs w:val="18"/>
        </w:rPr>
        <w:t xml:space="preserve"> vaccines </w:t>
      </w:r>
    </w:p>
    <w:p w14:paraId="43110907" w14:textId="66EF9697" w:rsidR="00FA008E" w:rsidRDefault="00000000">
      <w:pPr>
        <w:spacing w:line="480" w:lineRule="auto"/>
        <w:rPr>
          <w:rFonts w:ascii="Calibri" w:hAnsi="Calibri" w:cs="Calibri"/>
          <w:color w:val="000000" w:themeColor="text1"/>
          <w:sz w:val="18"/>
          <w:szCs w:val="18"/>
        </w:rPr>
      </w:pPr>
      <w:r>
        <w:rPr>
          <w:rFonts w:ascii="Calibri" w:hAnsi="Calibri" w:cs="Calibri"/>
          <w:color w:val="000000" w:themeColor="text1"/>
          <w:sz w:val="18"/>
          <w:szCs w:val="18"/>
        </w:rPr>
        <w:t>A-D. Preparation and characterization of Aβ vaccine.</w:t>
      </w:r>
      <w:r>
        <w:rPr>
          <w:rFonts w:ascii="Calibri" w:hAnsi="Calibri" w:cs="Calibri" w:hint="eastAsia"/>
          <w:color w:val="000000" w:themeColor="text1"/>
          <w:sz w:val="18"/>
          <w:szCs w:val="18"/>
        </w:rPr>
        <w:t xml:space="preserve"> (A) Protein purification map of PP-3-6 protein .(B) TEM image of PP-3-6 protein. Scale bar: 50 nm. (C) PP-3-6 protein was analyzed by SDS-PAGE. (D)Particle size of PP-3-6 protein.</w:t>
      </w:r>
      <w:r>
        <w:rPr>
          <w:rFonts w:ascii="Calibri" w:hAnsi="Calibri" w:cs="Calibri"/>
          <w:color w:val="000000" w:themeColor="text1"/>
          <w:sz w:val="18"/>
          <w:szCs w:val="18"/>
        </w:rPr>
        <w:t xml:space="preserve"> E-H. Preparation and characterization of </w:t>
      </w:r>
      <w:proofErr w:type="spellStart"/>
      <w:r>
        <w:rPr>
          <w:rFonts w:ascii="Calibri" w:hAnsi="Calibri" w:cs="Calibri"/>
          <w:color w:val="000000" w:themeColor="text1"/>
          <w:sz w:val="18"/>
          <w:szCs w:val="18"/>
        </w:rPr>
        <w:t>pTau</w:t>
      </w:r>
      <w:proofErr w:type="spellEnd"/>
      <w:r>
        <w:rPr>
          <w:rFonts w:ascii="Calibri" w:hAnsi="Calibri" w:cs="Calibri"/>
          <w:color w:val="000000" w:themeColor="text1"/>
          <w:sz w:val="18"/>
          <w:szCs w:val="18"/>
        </w:rPr>
        <w:t xml:space="preserve"> vaccine. </w:t>
      </w:r>
      <w:r>
        <w:rPr>
          <w:rFonts w:ascii="Calibri" w:hAnsi="Calibri" w:cs="Calibri" w:hint="eastAsia"/>
          <w:color w:val="000000" w:themeColor="text1"/>
          <w:sz w:val="18"/>
          <w:szCs w:val="18"/>
        </w:rPr>
        <w:t>(E) Protein purification map of PP-3K protein.</w:t>
      </w:r>
      <w:r w:rsidR="004A0C1A">
        <w:rPr>
          <w:rFonts w:ascii="Calibri" w:hAnsi="Calibri" w:cs="Calibri"/>
          <w:color w:val="000000" w:themeColor="text1"/>
          <w:sz w:val="18"/>
          <w:szCs w:val="18"/>
        </w:rPr>
        <w:t xml:space="preserve"> </w:t>
      </w:r>
      <w:r>
        <w:rPr>
          <w:rFonts w:ascii="Calibri" w:hAnsi="Calibri" w:cs="Calibri" w:hint="eastAsia"/>
          <w:color w:val="000000" w:themeColor="text1"/>
          <w:sz w:val="18"/>
          <w:szCs w:val="18"/>
        </w:rPr>
        <w:t>(F) TEM image of PP-pTau30 protein. Scale bar: 50 nm. (G) PP-pTau30 protein was analyzed by SDS-PAGE.</w:t>
      </w:r>
      <w:r w:rsidR="004A0C1A">
        <w:rPr>
          <w:rFonts w:ascii="Calibri" w:hAnsi="Calibri" w:cs="Calibri"/>
          <w:color w:val="000000" w:themeColor="text1"/>
          <w:sz w:val="18"/>
          <w:szCs w:val="18"/>
        </w:rPr>
        <w:t xml:space="preserve"> </w:t>
      </w:r>
      <w:r>
        <w:rPr>
          <w:rFonts w:ascii="Calibri" w:hAnsi="Calibri" w:cs="Calibri" w:hint="eastAsia"/>
          <w:color w:val="000000" w:themeColor="text1"/>
          <w:sz w:val="18"/>
          <w:szCs w:val="18"/>
        </w:rPr>
        <w:t xml:space="preserve">(H) PP-pTau30 protein was analyzed by western blotting. </w:t>
      </w:r>
      <w:r>
        <w:rPr>
          <w:rFonts w:ascii="Calibri" w:hAnsi="Calibri" w:cs="Calibri"/>
          <w:color w:val="000000" w:themeColor="text1"/>
          <w:sz w:val="18"/>
          <w:szCs w:val="18"/>
        </w:rPr>
        <w:t>I. The OD value of Aβ-specific antibodies in WT group. J. The OD value of pTau202/205/396/404-specific antibodies in WT group. K</w:t>
      </w:r>
      <w:r>
        <w:rPr>
          <w:rFonts w:ascii="Calibri" w:hAnsi="Calibri" w:cs="Calibri" w:hint="eastAsia"/>
          <w:color w:val="000000" w:themeColor="text1"/>
          <w:sz w:val="18"/>
          <w:szCs w:val="18"/>
        </w:rPr>
        <w:t>.</w:t>
      </w:r>
      <w:r>
        <w:rPr>
          <w:rFonts w:ascii="Calibri" w:hAnsi="Calibri" w:cs="Calibri"/>
          <w:color w:val="000000" w:themeColor="text1"/>
          <w:sz w:val="18"/>
          <w:szCs w:val="18"/>
        </w:rPr>
        <w:t xml:space="preserve"> Activation of Aβ 42/ pTau30-specific T-cells from each group were assessed by </w:t>
      </w:r>
      <w:proofErr w:type="spellStart"/>
      <w:r>
        <w:rPr>
          <w:rFonts w:ascii="Calibri" w:hAnsi="Calibri" w:cs="Calibri"/>
          <w:color w:val="000000" w:themeColor="text1"/>
          <w:sz w:val="18"/>
          <w:szCs w:val="18"/>
        </w:rPr>
        <w:t>Elispot</w:t>
      </w:r>
      <w:proofErr w:type="spellEnd"/>
      <w:r>
        <w:rPr>
          <w:rFonts w:ascii="Calibri" w:hAnsi="Calibri" w:cs="Calibri"/>
          <w:color w:val="000000" w:themeColor="text1"/>
          <w:sz w:val="18"/>
          <w:szCs w:val="18"/>
        </w:rPr>
        <w:t xml:space="preserve"> assay (T-cell activation).</w:t>
      </w:r>
      <w:r>
        <w:rPr>
          <w:rFonts w:ascii="Calibri" w:hAnsi="Calibri" w:cs="Calibri" w:hint="eastAsia"/>
          <w:color w:val="000000" w:themeColor="text1"/>
          <w:sz w:val="18"/>
          <w:szCs w:val="18"/>
        </w:rPr>
        <w:t>L.</w:t>
      </w:r>
      <w:r>
        <w:rPr>
          <w:rFonts w:ascii="Calibri" w:hAnsi="Calibri" w:cs="Calibri"/>
          <w:color w:val="000000" w:themeColor="text1"/>
          <w:sz w:val="18"/>
          <w:szCs w:val="18"/>
        </w:rPr>
        <w:t xml:space="preserve"> Isolated spleen cells from each group were stimulated with </w:t>
      </w:r>
      <w:r>
        <w:rPr>
          <w:rFonts w:ascii="Calibri" w:hAnsi="Calibri" w:cs="Calibri" w:hint="eastAsia"/>
          <w:color w:val="000000" w:themeColor="text1"/>
          <w:sz w:val="18"/>
          <w:szCs w:val="18"/>
        </w:rPr>
        <w:t xml:space="preserve">PP protein </w:t>
      </w:r>
      <w:r>
        <w:rPr>
          <w:rFonts w:ascii="Calibri" w:hAnsi="Calibri" w:cs="Calibri"/>
          <w:color w:val="000000" w:themeColor="text1"/>
          <w:sz w:val="18"/>
          <w:szCs w:val="18"/>
        </w:rPr>
        <w:t>and IFN-γ -secreting T-cell spots were quantified.</w:t>
      </w:r>
      <w:r>
        <w:rPr>
          <w:rFonts w:ascii="Calibri" w:hAnsi="Calibri" w:cs="Calibri" w:hint="eastAsia"/>
          <w:color w:val="000000" w:themeColor="text1"/>
          <w:sz w:val="18"/>
          <w:szCs w:val="18"/>
        </w:rPr>
        <w:t xml:space="preserve"> T-cell spots were quantified by ELISpot assay , the cutoff value is 10, the number of spots greater than 10 is positive, less than 10 is negative. All data represent the mean </w:t>
      </w:r>
      <w:r>
        <w:rPr>
          <w:rFonts w:ascii="Calibri" w:hAnsi="Calibri" w:cs="Calibri" w:hint="eastAsia"/>
          <w:color w:val="000000" w:themeColor="text1"/>
          <w:sz w:val="18"/>
          <w:szCs w:val="18"/>
        </w:rPr>
        <w:t>±</w:t>
      </w:r>
      <w:r>
        <w:rPr>
          <w:rFonts w:ascii="Calibri" w:hAnsi="Calibri" w:cs="Calibri" w:hint="eastAsia"/>
          <w:color w:val="000000" w:themeColor="text1"/>
          <w:sz w:val="18"/>
          <w:szCs w:val="18"/>
        </w:rPr>
        <w:t xml:space="preserve"> SEM.</w:t>
      </w:r>
    </w:p>
    <w:p w14:paraId="7F941FC4" w14:textId="77777777" w:rsidR="00FA008E" w:rsidRDefault="00000000">
      <w:pPr>
        <w:widowControl/>
        <w:spacing w:line="480" w:lineRule="auto"/>
        <w:jc w:val="left"/>
        <w:rPr>
          <w:rFonts w:ascii="Calibri" w:hAnsi="Calibri" w:cs="Calibri"/>
          <w:color w:val="000000" w:themeColor="text1"/>
          <w:sz w:val="18"/>
          <w:szCs w:val="18"/>
        </w:rPr>
      </w:pPr>
      <w:r>
        <w:rPr>
          <w:rFonts w:ascii="Calibri" w:hAnsi="Calibri" w:cs="Calibri"/>
          <w:color w:val="000000" w:themeColor="text1"/>
          <w:sz w:val="18"/>
          <w:szCs w:val="18"/>
        </w:rPr>
        <w:br w:type="page"/>
      </w:r>
    </w:p>
    <w:p w14:paraId="70939451" w14:textId="77777777" w:rsidR="00FA008E" w:rsidRDefault="00FA008E">
      <w:pPr>
        <w:rPr>
          <w:rFonts w:ascii="Calibri" w:hAnsi="Calibri" w:cs="Calibri"/>
          <w:color w:val="000000" w:themeColor="text1"/>
          <w:sz w:val="18"/>
          <w:szCs w:val="18"/>
        </w:rPr>
      </w:pPr>
    </w:p>
    <w:p w14:paraId="68ADD9D7" w14:textId="77777777" w:rsidR="00FA008E" w:rsidRDefault="00000000">
      <w:pPr>
        <w:ind w:firstLineChars="50" w:firstLine="105"/>
        <w:jc w:val="center"/>
      </w:pPr>
      <w:r>
        <w:rPr>
          <w:noProof/>
        </w:rPr>
        <w:drawing>
          <wp:inline distT="0" distB="0" distL="0" distR="0" wp14:anchorId="509267A9" wp14:editId="1B9F91A4">
            <wp:extent cx="5274310" cy="2630805"/>
            <wp:effectExtent l="0" t="0" r="2540" b="0"/>
            <wp:docPr id="6967227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722738"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74310" cy="2630805"/>
                    </a:xfrm>
                    <a:prstGeom prst="rect">
                      <a:avLst/>
                    </a:prstGeom>
                    <a:noFill/>
                    <a:ln>
                      <a:noFill/>
                    </a:ln>
                  </pic:spPr>
                </pic:pic>
              </a:graphicData>
            </a:graphic>
          </wp:inline>
        </w:drawing>
      </w:r>
    </w:p>
    <w:p w14:paraId="708AF507" w14:textId="77777777" w:rsidR="00FA008E" w:rsidRDefault="00000000">
      <w:pPr>
        <w:spacing w:line="480" w:lineRule="auto"/>
        <w:ind w:firstLineChars="50" w:firstLine="90"/>
        <w:jc w:val="center"/>
        <w:rPr>
          <w:rFonts w:ascii="Calibri" w:hAnsi="Calibri" w:cs="Calibri"/>
          <w:color w:val="000000" w:themeColor="text1"/>
          <w:sz w:val="18"/>
          <w:szCs w:val="18"/>
        </w:rPr>
      </w:pPr>
      <w:r>
        <w:rPr>
          <w:rFonts w:ascii="Calibri" w:hAnsi="Calibri" w:cs="Calibri"/>
          <w:b/>
          <w:bCs/>
          <w:color w:val="000000" w:themeColor="text1"/>
          <w:sz w:val="18"/>
          <w:szCs w:val="18"/>
        </w:rPr>
        <w:t>Fig.S2.</w:t>
      </w:r>
      <w:r>
        <w:rPr>
          <w:rFonts w:ascii="Calibri" w:hAnsi="Calibri" w:cs="Calibri"/>
          <w:color w:val="000000" w:themeColor="text1"/>
          <w:sz w:val="18"/>
          <w:szCs w:val="18"/>
        </w:rPr>
        <w:t xml:space="preserve"> Serum antibody levels to </w:t>
      </w:r>
      <w:proofErr w:type="spellStart"/>
      <w:r>
        <w:rPr>
          <w:rFonts w:ascii="Calibri" w:hAnsi="Calibri" w:cs="Calibri"/>
          <w:color w:val="000000" w:themeColor="text1"/>
          <w:sz w:val="18"/>
          <w:szCs w:val="18"/>
        </w:rPr>
        <w:t>pTau</w:t>
      </w:r>
      <w:proofErr w:type="spellEnd"/>
      <w:r>
        <w:rPr>
          <w:rFonts w:ascii="Calibri" w:hAnsi="Calibri" w:cs="Calibri"/>
          <w:color w:val="000000" w:themeColor="text1"/>
          <w:sz w:val="18"/>
          <w:szCs w:val="18"/>
        </w:rPr>
        <w:t xml:space="preserve"> peptide in vaccinated mice</w:t>
      </w:r>
    </w:p>
    <w:p w14:paraId="1DE70B46" w14:textId="2D4DD1DE" w:rsidR="00FA008E" w:rsidRDefault="00000000">
      <w:pPr>
        <w:spacing w:line="480" w:lineRule="auto"/>
        <w:rPr>
          <w:rFonts w:ascii="Calibri" w:hAnsi="Calibri" w:cs="Calibri"/>
          <w:color w:val="000000" w:themeColor="text1"/>
          <w:sz w:val="18"/>
          <w:szCs w:val="18"/>
          <w:lang w:eastAsia="zh-Hans"/>
        </w:rPr>
      </w:pPr>
      <w:r>
        <w:rPr>
          <w:rFonts w:ascii="Calibri" w:hAnsi="Calibri" w:cs="Calibri"/>
          <w:color w:val="000000" w:themeColor="text1"/>
          <w:sz w:val="18"/>
          <w:szCs w:val="18"/>
        </w:rPr>
        <w:t>A-B. The concentration(A) and antibody typing (B) of pTau396-specific antibodies in premorbid group. C-D. The concentration(C) and antibody typing (D) of pTau404-specific serum antibodies in premorbid group. E-F. The concentration(E) and antibody typing (F) of pTau396-specific serum antibodies in onset group. G-H. The concentration(G) and antibody typing (H) of pTau404-specific serum antibodies in onset group.</w:t>
      </w:r>
      <w:r w:rsidR="00065BE7">
        <w:rPr>
          <w:rFonts w:ascii="Calibri" w:hAnsi="Calibri" w:cs="Calibri"/>
          <w:color w:val="000000" w:themeColor="text1"/>
          <w:sz w:val="18"/>
          <w:szCs w:val="18"/>
        </w:rPr>
        <w:t xml:space="preserve"> </w:t>
      </w:r>
      <w:bookmarkStart w:id="4" w:name="_Hlk157951430"/>
      <w:r>
        <w:rPr>
          <w:rFonts w:ascii="Calibri" w:hAnsi="Calibri" w:cs="Calibri"/>
          <w:color w:val="000000" w:themeColor="text1"/>
          <w:sz w:val="18"/>
          <w:szCs w:val="18"/>
          <w:lang w:eastAsia="zh-Hans"/>
        </w:rPr>
        <w:t>*Data presented as mean ± SEM. Statistical significance denoted as *p &lt; 0.05, **p &lt; 0.01, **p &lt; 0.001; N.S., not significant.</w:t>
      </w:r>
      <w:bookmarkEnd w:id="4"/>
    </w:p>
    <w:p w14:paraId="43A84E7A" w14:textId="77777777" w:rsidR="00FA008E" w:rsidRDefault="00FA008E">
      <w:pPr>
        <w:spacing w:line="480" w:lineRule="auto"/>
        <w:rPr>
          <w:rFonts w:ascii="Calibri" w:hAnsi="Calibri" w:cs="Calibri"/>
          <w:color w:val="000000" w:themeColor="text1"/>
          <w:sz w:val="18"/>
          <w:szCs w:val="18"/>
        </w:rPr>
      </w:pPr>
    </w:p>
    <w:p w14:paraId="2AD77431" w14:textId="77777777" w:rsidR="00FA008E" w:rsidRDefault="00FA008E">
      <w:pPr>
        <w:spacing w:line="480" w:lineRule="auto"/>
        <w:rPr>
          <w:rFonts w:ascii="Calibri" w:hAnsi="Calibri" w:cs="Calibri"/>
          <w:color w:val="000000" w:themeColor="text1"/>
          <w:sz w:val="18"/>
          <w:szCs w:val="18"/>
        </w:rPr>
      </w:pPr>
    </w:p>
    <w:p w14:paraId="2691356C" w14:textId="77777777" w:rsidR="00FA008E" w:rsidRDefault="00FA008E">
      <w:pPr>
        <w:spacing w:line="480" w:lineRule="auto"/>
        <w:rPr>
          <w:rFonts w:ascii="Calibri" w:hAnsi="Calibri" w:cs="Calibri"/>
          <w:color w:val="000000" w:themeColor="text1"/>
          <w:sz w:val="18"/>
          <w:szCs w:val="18"/>
        </w:rPr>
      </w:pPr>
    </w:p>
    <w:p w14:paraId="2BBB3DDD" w14:textId="77777777" w:rsidR="00FA008E" w:rsidRDefault="00FA008E">
      <w:pPr>
        <w:rPr>
          <w:rFonts w:ascii="Calibri" w:hAnsi="Calibri" w:cs="Calibri"/>
          <w:color w:val="000000" w:themeColor="text1"/>
          <w:sz w:val="18"/>
          <w:szCs w:val="18"/>
        </w:rPr>
      </w:pPr>
    </w:p>
    <w:p w14:paraId="494101A7" w14:textId="77777777" w:rsidR="00FA008E" w:rsidRDefault="00FA008E">
      <w:pPr>
        <w:rPr>
          <w:rFonts w:ascii="Calibri" w:hAnsi="Calibri" w:cs="Calibri"/>
          <w:color w:val="000000" w:themeColor="text1"/>
          <w:sz w:val="18"/>
          <w:szCs w:val="18"/>
        </w:rPr>
      </w:pPr>
    </w:p>
    <w:p w14:paraId="5DE9509D" w14:textId="77777777" w:rsidR="00FA008E" w:rsidRDefault="00FA008E">
      <w:pPr>
        <w:rPr>
          <w:rFonts w:ascii="Calibri" w:hAnsi="Calibri" w:cs="Calibri"/>
          <w:color w:val="000000" w:themeColor="text1"/>
          <w:sz w:val="18"/>
          <w:szCs w:val="18"/>
        </w:rPr>
      </w:pPr>
    </w:p>
    <w:p w14:paraId="5AC674EB" w14:textId="77777777" w:rsidR="00FA008E" w:rsidRDefault="00000000">
      <w:pPr>
        <w:widowControl/>
        <w:jc w:val="left"/>
        <w:rPr>
          <w:rFonts w:ascii="Calibri" w:hAnsi="Calibri" w:cs="Calibri"/>
          <w:color w:val="000000" w:themeColor="text1"/>
          <w:sz w:val="18"/>
          <w:szCs w:val="18"/>
        </w:rPr>
      </w:pPr>
      <w:r>
        <w:rPr>
          <w:rFonts w:ascii="Calibri" w:hAnsi="Calibri" w:cs="Calibri"/>
          <w:color w:val="000000" w:themeColor="text1"/>
          <w:sz w:val="18"/>
          <w:szCs w:val="18"/>
        </w:rPr>
        <w:br w:type="page"/>
      </w:r>
    </w:p>
    <w:p w14:paraId="0A804C11" w14:textId="77777777" w:rsidR="00FA008E" w:rsidRDefault="00FA008E">
      <w:pPr>
        <w:rPr>
          <w:rFonts w:ascii="Calibri" w:hAnsi="Calibri" w:cs="Calibri"/>
          <w:color w:val="000000" w:themeColor="text1"/>
          <w:sz w:val="18"/>
          <w:szCs w:val="18"/>
        </w:rPr>
      </w:pPr>
    </w:p>
    <w:p w14:paraId="76F2E2D7" w14:textId="77777777" w:rsidR="00FA008E" w:rsidRDefault="00000000">
      <w:pPr>
        <w:jc w:val="center"/>
        <w:rPr>
          <w:rFonts w:ascii="Times New Roman" w:hAnsi="Times New Roman" w:cs="Times New Roman"/>
          <w:b/>
          <w:kern w:val="0"/>
          <w:sz w:val="24"/>
          <w:szCs w:val="24"/>
        </w:rPr>
      </w:pPr>
      <w:r>
        <w:rPr>
          <w:rFonts w:ascii="Times New Roman" w:hAnsi="Times New Roman" w:cs="Times New Roman"/>
          <w:b/>
          <w:noProof/>
          <w:kern w:val="0"/>
          <w:sz w:val="24"/>
          <w:szCs w:val="24"/>
        </w:rPr>
        <w:drawing>
          <wp:inline distT="0" distB="0" distL="0" distR="0" wp14:anchorId="53A312D9" wp14:editId="3216F99B">
            <wp:extent cx="5274310" cy="2926080"/>
            <wp:effectExtent l="0" t="0" r="2540" b="7620"/>
            <wp:docPr id="17816979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697956"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926080"/>
                    </a:xfrm>
                    <a:prstGeom prst="rect">
                      <a:avLst/>
                    </a:prstGeom>
                  </pic:spPr>
                </pic:pic>
              </a:graphicData>
            </a:graphic>
          </wp:inline>
        </w:drawing>
      </w:r>
    </w:p>
    <w:p w14:paraId="5EF55AEC" w14:textId="77777777" w:rsidR="00FA008E" w:rsidRDefault="00000000">
      <w:pPr>
        <w:spacing w:line="480" w:lineRule="auto"/>
        <w:jc w:val="center"/>
        <w:rPr>
          <w:rFonts w:ascii="Calibri" w:hAnsi="Calibri" w:cs="Calibri"/>
          <w:color w:val="000000" w:themeColor="text1"/>
          <w:sz w:val="18"/>
          <w:szCs w:val="18"/>
        </w:rPr>
      </w:pPr>
      <w:r>
        <w:rPr>
          <w:rFonts w:ascii="Calibri" w:hAnsi="Calibri" w:cs="Calibri"/>
          <w:b/>
          <w:bCs/>
          <w:color w:val="000000" w:themeColor="text1"/>
          <w:sz w:val="18"/>
          <w:szCs w:val="18"/>
        </w:rPr>
        <w:t xml:space="preserve">Fig.S3. </w:t>
      </w:r>
      <w:r>
        <w:rPr>
          <w:rFonts w:ascii="Calibri" w:hAnsi="Calibri" w:cs="Calibri"/>
          <w:color w:val="000000" w:themeColor="text1"/>
          <w:sz w:val="18"/>
          <w:szCs w:val="18"/>
        </w:rPr>
        <w:t>Dual vaccine improves memory, mitigates pathology progression</w:t>
      </w:r>
      <w:r>
        <w:rPr>
          <w:rFonts w:ascii="Calibri" w:hAnsi="Calibri" w:cs="Calibri" w:hint="eastAsia"/>
          <w:color w:val="000000" w:themeColor="text1"/>
          <w:sz w:val="18"/>
          <w:szCs w:val="18"/>
        </w:rPr>
        <w:t xml:space="preserve"> </w:t>
      </w:r>
      <w:r>
        <w:rPr>
          <w:rFonts w:ascii="Calibri" w:hAnsi="Calibri" w:cs="Calibri"/>
          <w:color w:val="000000" w:themeColor="text1"/>
          <w:sz w:val="18"/>
          <w:szCs w:val="18"/>
        </w:rPr>
        <w:t>in 3xTg mice of premorbid group</w:t>
      </w:r>
    </w:p>
    <w:p w14:paraId="05AE03A7" w14:textId="77777777" w:rsidR="00FA008E" w:rsidRDefault="00000000">
      <w:pPr>
        <w:spacing w:line="480" w:lineRule="auto"/>
        <w:jc w:val="left"/>
        <w:rPr>
          <w:rFonts w:ascii="Calibri" w:hAnsi="Calibri" w:cs="Calibri"/>
          <w:color w:val="000000" w:themeColor="text1"/>
          <w:sz w:val="18"/>
          <w:szCs w:val="18"/>
        </w:rPr>
      </w:pPr>
      <w:r>
        <w:rPr>
          <w:rFonts w:ascii="Calibri" w:hAnsi="Calibri" w:cs="Calibri"/>
          <w:color w:val="000000" w:themeColor="text1"/>
          <w:sz w:val="18"/>
          <w:szCs w:val="18"/>
        </w:rPr>
        <w:t xml:space="preserve">(A) Aβ42 of soluble and insoluble brain homogenates by </w:t>
      </w:r>
      <w:proofErr w:type="spellStart"/>
      <w:r>
        <w:rPr>
          <w:rFonts w:ascii="Calibri" w:hAnsi="Calibri" w:cs="Calibri"/>
          <w:color w:val="000000" w:themeColor="text1"/>
          <w:sz w:val="18"/>
          <w:szCs w:val="18"/>
        </w:rPr>
        <w:t>ElisaKit</w:t>
      </w:r>
      <w:proofErr w:type="spellEnd"/>
      <w:r>
        <w:rPr>
          <w:rFonts w:ascii="Calibri" w:hAnsi="Calibri" w:cs="Calibri"/>
          <w:color w:val="000000" w:themeColor="text1"/>
          <w:sz w:val="18"/>
          <w:szCs w:val="18"/>
        </w:rPr>
        <w:t>. (B)- (C) Cognitive functions of mice were tested in novel object recognition. (D) Water maze experiment program diagram. (E) Times in the target quadrant where the platform was located in the probe trial of Morris water maze. (E) Swimming speed of mice in the water maze.</w:t>
      </w:r>
      <w:r>
        <w:rPr>
          <w:rFonts w:ascii="Calibri" w:hAnsi="Calibri" w:cs="Calibri" w:hint="eastAsia"/>
          <w:color w:val="000000" w:themeColor="text1"/>
          <w:sz w:val="18"/>
          <w:szCs w:val="18"/>
        </w:rPr>
        <w:t xml:space="preserve"> </w:t>
      </w:r>
      <w:bookmarkStart w:id="5" w:name="_Hlk157951509"/>
      <w:r>
        <w:rPr>
          <w:rFonts w:ascii="Calibri" w:hAnsi="Calibri" w:cs="Calibri"/>
          <w:color w:val="000000"/>
          <w:sz w:val="18"/>
          <w:szCs w:val="18"/>
          <w:lang w:eastAsia="zh-Hans"/>
        </w:rPr>
        <w:t>*Data presented as mean ± SEM. Statistical significance denoted as *p &lt; 0.05, **p &lt; 0.01, **p &lt; 0.001; N.S., not significant.</w:t>
      </w:r>
      <w:r>
        <w:rPr>
          <w:rFonts w:ascii="Calibri" w:hAnsi="Calibri" w:cs="Calibri"/>
          <w:color w:val="000000" w:themeColor="text1"/>
          <w:sz w:val="18"/>
          <w:szCs w:val="18"/>
        </w:rPr>
        <w:t xml:space="preserve"> </w:t>
      </w:r>
      <w:bookmarkEnd w:id="5"/>
      <w:r>
        <w:rPr>
          <w:rFonts w:ascii="Calibri" w:hAnsi="Calibri" w:cs="Calibri"/>
          <w:color w:val="000000" w:themeColor="text1"/>
          <w:sz w:val="18"/>
          <w:szCs w:val="18"/>
        </w:rPr>
        <w:t xml:space="preserve"> </w:t>
      </w:r>
    </w:p>
    <w:p w14:paraId="7FCED111" w14:textId="77777777" w:rsidR="00FA008E" w:rsidRDefault="00000000">
      <w:pPr>
        <w:widowControl/>
        <w:spacing w:line="480" w:lineRule="auto"/>
        <w:jc w:val="left"/>
        <w:rPr>
          <w:rFonts w:ascii="Calibri" w:hAnsi="Calibri" w:cs="Calibri"/>
          <w:color w:val="000000" w:themeColor="text1"/>
          <w:sz w:val="18"/>
          <w:szCs w:val="18"/>
        </w:rPr>
      </w:pPr>
      <w:r>
        <w:rPr>
          <w:rFonts w:ascii="Calibri" w:hAnsi="Calibri" w:cs="Calibri"/>
          <w:color w:val="000000" w:themeColor="text1"/>
          <w:sz w:val="18"/>
          <w:szCs w:val="18"/>
        </w:rPr>
        <w:br w:type="page"/>
      </w:r>
    </w:p>
    <w:p w14:paraId="3C376A3E" w14:textId="77777777" w:rsidR="00FA008E" w:rsidRDefault="00000000">
      <w:pPr>
        <w:jc w:val="left"/>
        <w:rPr>
          <w:rFonts w:ascii="Times New Roman" w:hAnsi="Times New Roman" w:cs="Times New Roman"/>
          <w:sz w:val="18"/>
          <w:szCs w:val="18"/>
        </w:rPr>
      </w:pPr>
      <w:r>
        <w:rPr>
          <w:rFonts w:ascii="Calibri" w:hAnsi="Calibri" w:cs="Calibri"/>
          <w:color w:val="000000" w:themeColor="text1"/>
          <w:sz w:val="18"/>
          <w:szCs w:val="18"/>
        </w:rPr>
        <w:lastRenderedPageBreak/>
        <w:t xml:space="preserve">    </w:t>
      </w:r>
      <w:r>
        <w:rPr>
          <w:rFonts w:ascii="Times New Roman" w:hAnsi="Times New Roman" w:cs="Times New Roman"/>
          <w:b/>
          <w:kern w:val="0"/>
          <w:sz w:val="24"/>
          <w:szCs w:val="24"/>
        </w:rPr>
        <w:t xml:space="preserve">          </w:t>
      </w:r>
    </w:p>
    <w:p w14:paraId="34F3AA1C" w14:textId="77777777" w:rsidR="00FA008E" w:rsidRDefault="00000000">
      <w:pPr>
        <w:ind w:firstLineChars="50" w:firstLine="120"/>
        <w:jc w:val="center"/>
        <w:rPr>
          <w:sz w:val="24"/>
          <w:szCs w:val="24"/>
        </w:rPr>
      </w:pPr>
      <w:r>
        <w:rPr>
          <w:noProof/>
          <w:sz w:val="24"/>
          <w:szCs w:val="24"/>
        </w:rPr>
        <w:drawing>
          <wp:inline distT="0" distB="0" distL="0" distR="0" wp14:anchorId="367282EE" wp14:editId="6215B335">
            <wp:extent cx="5274310" cy="3480435"/>
            <wp:effectExtent l="0" t="0" r="2540" b="5715"/>
            <wp:docPr id="132956737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567373" name="图片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480435"/>
                    </a:xfrm>
                    <a:prstGeom prst="rect">
                      <a:avLst/>
                    </a:prstGeom>
                  </pic:spPr>
                </pic:pic>
              </a:graphicData>
            </a:graphic>
          </wp:inline>
        </w:drawing>
      </w:r>
    </w:p>
    <w:p w14:paraId="02D1C8FF" w14:textId="77777777" w:rsidR="00FA008E" w:rsidRDefault="00000000">
      <w:pPr>
        <w:spacing w:line="480" w:lineRule="auto"/>
        <w:jc w:val="center"/>
        <w:rPr>
          <w:rFonts w:ascii="Calibri" w:hAnsi="Calibri" w:cs="Calibri"/>
          <w:bCs/>
          <w:kern w:val="0"/>
          <w:sz w:val="18"/>
          <w:szCs w:val="18"/>
        </w:rPr>
      </w:pPr>
      <w:r>
        <w:rPr>
          <w:rFonts w:ascii="Calibri" w:hAnsi="Calibri" w:cs="Calibri"/>
          <w:b/>
          <w:kern w:val="0"/>
          <w:sz w:val="18"/>
          <w:szCs w:val="18"/>
        </w:rPr>
        <w:t>Fig.S4.</w:t>
      </w:r>
      <w:r>
        <w:rPr>
          <w:rFonts w:ascii="Calibri" w:hAnsi="Calibri" w:cs="Calibri"/>
          <w:bCs/>
          <w:kern w:val="0"/>
          <w:sz w:val="18"/>
          <w:szCs w:val="18"/>
        </w:rPr>
        <w:t xml:space="preserve"> Impact of vaccines on pathological and cognitive aspects in 3xTg mice of onset group</w:t>
      </w:r>
    </w:p>
    <w:p w14:paraId="4518836D" w14:textId="77777777" w:rsidR="00FA008E" w:rsidRDefault="00000000">
      <w:pPr>
        <w:spacing w:line="480" w:lineRule="auto"/>
        <w:jc w:val="left"/>
        <w:rPr>
          <w:rFonts w:ascii="Calibri" w:hAnsi="Calibri" w:cs="Calibri"/>
          <w:color w:val="000000" w:themeColor="text1"/>
          <w:sz w:val="18"/>
          <w:szCs w:val="18"/>
        </w:rPr>
      </w:pPr>
      <w:r>
        <w:rPr>
          <w:rFonts w:ascii="Calibri" w:hAnsi="Calibri" w:cs="Calibri"/>
          <w:color w:val="000000" w:themeColor="text1"/>
          <w:sz w:val="18"/>
          <w:szCs w:val="18"/>
        </w:rPr>
        <w:t>(A) AT8</w:t>
      </w:r>
      <w:bookmarkStart w:id="6" w:name="_Hlk147591912"/>
      <w:r>
        <w:rPr>
          <w:rFonts w:ascii="Calibri" w:hAnsi="Calibri" w:cs="Calibri"/>
          <w:color w:val="000000" w:themeColor="text1"/>
          <w:sz w:val="18"/>
          <w:szCs w:val="18"/>
        </w:rPr>
        <w:t xml:space="preserve"> immunostaining for phosphorylated-tau in the brains of 3xTg mice treated with vaccines or vehicle</w:t>
      </w:r>
      <w:r>
        <w:rPr>
          <w:rFonts w:ascii="Calibri" w:hAnsi="Calibri" w:cs="Calibri" w:hint="eastAsia"/>
          <w:color w:val="000000" w:themeColor="text1"/>
          <w:sz w:val="18"/>
          <w:szCs w:val="18"/>
        </w:rPr>
        <w:t xml:space="preserve"> </w:t>
      </w:r>
      <w:r>
        <w:rPr>
          <w:rFonts w:ascii="Calibri" w:hAnsi="Calibri" w:cs="Calibri"/>
          <w:color w:val="000000" w:themeColor="text1"/>
          <w:sz w:val="18"/>
          <w:szCs w:val="18"/>
        </w:rPr>
        <w:t>(scale bar: 250μm)</w:t>
      </w:r>
      <w:bookmarkEnd w:id="6"/>
      <w:r>
        <w:rPr>
          <w:rFonts w:ascii="Calibri" w:hAnsi="Calibri" w:cs="Calibri"/>
          <w:color w:val="000000" w:themeColor="text1"/>
          <w:sz w:val="18"/>
          <w:szCs w:val="18"/>
        </w:rPr>
        <w:t>. (B) Quantification of AT8 immunostaining in the hippocampus and cortex regions (n = 13-15). (C-D) AT8 of soluble and insoluble brain homogenates in the hippocampal (C) and Cortex regions(D) by western blot (n = 13-15). (E) Phospho-Tau (Ser404) immunostaining for phosphorylated-tau in the brains of 3xTg mice treated with vaccines or vehicle (scale bar: 250μm). (F) Quantification of Phospho-Tau (Ser404) immunostaining in the hippocampal CA1 and Cortex regions. (G-H) Phospho-Tau (Ser404) of soluble and insoluble brain homogenates in the hippocampal(G) and Cortex regions(H) by western blot (n = 13-15). (I) Representative track images of mice in the probe trial of Morris water maze.</w:t>
      </w:r>
      <w:r>
        <w:rPr>
          <w:rFonts w:ascii="Calibri" w:hAnsi="Calibri" w:cs="Calibri"/>
          <w:color w:val="000000"/>
          <w:sz w:val="18"/>
          <w:szCs w:val="18"/>
          <w:lang w:eastAsia="zh-Hans"/>
        </w:rPr>
        <w:t>*Data presented as mean ± SEM. Statistical significance denoted as *p &lt; 0.05, **p &lt; 0.01, **p &lt; 0.001; N.S., not significant.</w:t>
      </w:r>
    </w:p>
    <w:p w14:paraId="5876CD8E" w14:textId="77777777" w:rsidR="00FA008E" w:rsidRDefault="00000000">
      <w:pPr>
        <w:widowControl/>
        <w:spacing w:line="480" w:lineRule="auto"/>
        <w:jc w:val="left"/>
        <w:rPr>
          <w:rFonts w:ascii="Calibri" w:hAnsi="Calibri" w:cs="Calibri"/>
          <w:color w:val="000000" w:themeColor="text1"/>
          <w:sz w:val="18"/>
          <w:szCs w:val="18"/>
        </w:rPr>
      </w:pPr>
      <w:r>
        <w:rPr>
          <w:rFonts w:ascii="Calibri" w:hAnsi="Calibri" w:cs="Calibri"/>
          <w:color w:val="000000" w:themeColor="text1"/>
          <w:sz w:val="18"/>
          <w:szCs w:val="18"/>
        </w:rPr>
        <w:br w:type="page"/>
      </w:r>
    </w:p>
    <w:p w14:paraId="60B8B313" w14:textId="77777777" w:rsidR="00FA008E" w:rsidRDefault="00FA008E">
      <w:pPr>
        <w:jc w:val="left"/>
        <w:rPr>
          <w:rFonts w:ascii="Calibri" w:hAnsi="Calibri" w:cs="Calibri"/>
          <w:color w:val="000000" w:themeColor="text1"/>
          <w:sz w:val="18"/>
          <w:szCs w:val="18"/>
        </w:rPr>
      </w:pPr>
    </w:p>
    <w:p w14:paraId="28BACEB9" w14:textId="77777777" w:rsidR="00FA008E" w:rsidRDefault="00000000">
      <w:pPr>
        <w:jc w:val="center"/>
        <w:rPr>
          <w:rFonts w:ascii="Times New Roman" w:hAnsi="Times New Roman" w:cs="Times New Roman"/>
          <w:sz w:val="18"/>
          <w:szCs w:val="18"/>
        </w:rPr>
      </w:pPr>
      <w:r>
        <w:rPr>
          <w:noProof/>
        </w:rPr>
        <w:drawing>
          <wp:inline distT="0" distB="0" distL="0" distR="0" wp14:anchorId="7588F4C8" wp14:editId="22239884">
            <wp:extent cx="5274310" cy="4236085"/>
            <wp:effectExtent l="0" t="0" r="2540" b="0"/>
            <wp:docPr id="8860357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035723" name="图片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74310" cy="4236085"/>
                    </a:xfrm>
                    <a:prstGeom prst="rect">
                      <a:avLst/>
                    </a:prstGeom>
                    <a:noFill/>
                    <a:ln>
                      <a:noFill/>
                    </a:ln>
                  </pic:spPr>
                </pic:pic>
              </a:graphicData>
            </a:graphic>
          </wp:inline>
        </w:drawing>
      </w:r>
    </w:p>
    <w:p w14:paraId="21995B7C" w14:textId="77777777" w:rsidR="00FA008E" w:rsidRDefault="00000000">
      <w:pPr>
        <w:spacing w:line="480" w:lineRule="auto"/>
        <w:ind w:firstLineChars="50" w:firstLine="90"/>
        <w:jc w:val="center"/>
        <w:rPr>
          <w:rFonts w:ascii="Calibri" w:hAnsi="Calibri" w:cs="Calibri"/>
          <w:b/>
          <w:kern w:val="0"/>
          <w:sz w:val="18"/>
          <w:szCs w:val="18"/>
        </w:rPr>
      </w:pPr>
      <w:r>
        <w:rPr>
          <w:rFonts w:ascii="Calibri" w:hAnsi="Calibri" w:cs="Calibri"/>
          <w:b/>
          <w:kern w:val="0"/>
          <w:sz w:val="18"/>
          <w:szCs w:val="18"/>
        </w:rPr>
        <w:t>Fig.S5.</w:t>
      </w:r>
      <w:r>
        <w:rPr>
          <w:rFonts w:ascii="Calibri" w:hAnsi="Calibri" w:cs="Calibri"/>
          <w:sz w:val="18"/>
          <w:szCs w:val="18"/>
        </w:rPr>
        <w:t xml:space="preserve"> </w:t>
      </w:r>
      <w:r>
        <w:rPr>
          <w:rFonts w:ascii="Calibri" w:hAnsi="Calibri" w:cs="Calibri"/>
          <w:bCs/>
          <w:kern w:val="0"/>
          <w:sz w:val="18"/>
          <w:szCs w:val="18"/>
        </w:rPr>
        <w:t>Dual vaccine reduces neuroinflammation in the brains of onset 3xTg mice</w:t>
      </w:r>
      <w:r>
        <w:rPr>
          <w:rFonts w:ascii="Calibri" w:hAnsi="Calibri" w:cs="Calibri"/>
          <w:b/>
          <w:kern w:val="0"/>
          <w:sz w:val="18"/>
          <w:szCs w:val="18"/>
        </w:rPr>
        <w:t xml:space="preserve"> </w:t>
      </w:r>
    </w:p>
    <w:p w14:paraId="13577A71" w14:textId="77777777" w:rsidR="00FA008E" w:rsidRDefault="00000000">
      <w:pPr>
        <w:spacing w:line="480" w:lineRule="auto"/>
        <w:jc w:val="left"/>
        <w:rPr>
          <w:rFonts w:ascii="Calibri" w:hAnsi="Calibri" w:cs="Calibri"/>
          <w:color w:val="000000" w:themeColor="text1"/>
          <w:sz w:val="18"/>
          <w:szCs w:val="18"/>
        </w:rPr>
      </w:pPr>
      <w:r>
        <w:rPr>
          <w:rFonts w:ascii="Calibri" w:hAnsi="Calibri" w:cs="Calibri"/>
          <w:color w:val="000000" w:themeColor="text1"/>
          <w:sz w:val="18"/>
          <w:szCs w:val="18"/>
        </w:rPr>
        <w:t xml:space="preserve">(A) GFAP immunostaining in the hippocampus of 3xTg mice (premorbid group) treated with vaccine or PP vehicle. (B) Quantification of GFAP immunostaining in A. (C) Representative Iba1 images and skeletonized microglia from hippocampus. (D)-(E) Quantification of branching and total number of microglia. n = 5–6 mice per genotype with 6–8 microglia quantified per mouse. (F) Western blot analysis of GFAP, Iba-1, and CD68 in the brain lysates of 3xTg mice treated with vaccine or vehicle. (G-H) The levels of TNF-α, IL-1β and TGF-β in the brain lysates of 3xTg mice were determined using corresponding ELISA kits. (n = 6-7 mice). </w:t>
      </w:r>
      <w:r>
        <w:rPr>
          <w:rFonts w:ascii="Calibri" w:hAnsi="Calibri" w:cs="Calibri"/>
          <w:color w:val="000000" w:themeColor="text1"/>
          <w:sz w:val="18"/>
          <w:szCs w:val="18"/>
          <w:lang w:eastAsia="zh-Hans"/>
        </w:rPr>
        <w:t>*Data presented as mean ± SEM. Statistical significance denoted as *p &lt; 0.05, **p &lt; 0.01, **p &lt; 0.001; N.S., not significant.</w:t>
      </w:r>
    </w:p>
    <w:p w14:paraId="1E010517" w14:textId="77777777" w:rsidR="00FA008E" w:rsidRDefault="00000000">
      <w:pPr>
        <w:widowControl/>
        <w:spacing w:line="480" w:lineRule="auto"/>
        <w:jc w:val="left"/>
        <w:rPr>
          <w:rFonts w:ascii="Calibri" w:hAnsi="Calibri" w:cs="Calibri"/>
          <w:sz w:val="18"/>
          <w:szCs w:val="18"/>
        </w:rPr>
      </w:pPr>
      <w:r>
        <w:rPr>
          <w:rFonts w:ascii="Calibri" w:hAnsi="Calibri" w:cs="Calibri"/>
          <w:sz w:val="18"/>
          <w:szCs w:val="18"/>
        </w:rPr>
        <w:br w:type="page"/>
      </w:r>
    </w:p>
    <w:p w14:paraId="282CF423" w14:textId="77777777" w:rsidR="00FA008E" w:rsidRDefault="00FA008E">
      <w:pPr>
        <w:rPr>
          <w:rFonts w:ascii="Calibri" w:hAnsi="Calibri" w:cs="Calibri"/>
          <w:sz w:val="18"/>
          <w:szCs w:val="18"/>
        </w:rPr>
      </w:pPr>
    </w:p>
    <w:p w14:paraId="5F9E9FB4" w14:textId="77777777" w:rsidR="00FA008E" w:rsidRDefault="00FA008E">
      <w:pPr>
        <w:ind w:firstLineChars="50" w:firstLine="90"/>
        <w:jc w:val="center"/>
        <w:rPr>
          <w:rFonts w:ascii="Arial" w:hAnsi="Arial" w:cs="Arial"/>
          <w:b/>
          <w:kern w:val="0"/>
          <w:sz w:val="18"/>
          <w:szCs w:val="18"/>
        </w:rPr>
      </w:pPr>
    </w:p>
    <w:p w14:paraId="6361B70C" w14:textId="77777777" w:rsidR="00FA008E" w:rsidRDefault="00000000">
      <w:pPr>
        <w:ind w:firstLineChars="50" w:firstLine="120"/>
        <w:rPr>
          <w:rFonts w:ascii="Times New Roman" w:hAnsi="Times New Roman" w:cs="Times New Roman"/>
          <w:b/>
          <w:kern w:val="0"/>
          <w:sz w:val="24"/>
          <w:szCs w:val="24"/>
        </w:rPr>
      </w:pPr>
      <w:r>
        <w:rPr>
          <w:rFonts w:ascii="Times New Roman" w:hAnsi="Times New Roman" w:cs="Times New Roman"/>
          <w:b/>
          <w:noProof/>
          <w:kern w:val="0"/>
          <w:sz w:val="24"/>
          <w:szCs w:val="24"/>
        </w:rPr>
        <w:drawing>
          <wp:inline distT="0" distB="0" distL="0" distR="0" wp14:anchorId="4A9EBD2B" wp14:editId="46CC03D2">
            <wp:extent cx="5041265" cy="5419090"/>
            <wp:effectExtent l="0" t="0" r="6985" b="0"/>
            <wp:docPr id="110569047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690477" name="图片 6"/>
                    <pic:cNvPicPr>
                      <a:picLocks noChangeAspect="1"/>
                    </pic:cNvPicPr>
                  </pic:nvPicPr>
                  <pic:blipFill>
                    <a:blip r:embed="rId11" cstate="print">
                      <a:extLst>
                        <a:ext uri="{28A0092B-C50C-407E-A947-70E740481C1C}">
                          <a14:useLocalDpi xmlns:a14="http://schemas.microsoft.com/office/drawing/2010/main" val="0"/>
                        </a:ext>
                      </a:extLst>
                    </a:blip>
                    <a:srcRect l="4416"/>
                    <a:stretch>
                      <a:fillRect/>
                    </a:stretch>
                  </pic:blipFill>
                  <pic:spPr>
                    <a:xfrm>
                      <a:off x="0" y="0"/>
                      <a:ext cx="5041397" cy="5419090"/>
                    </a:xfrm>
                    <a:prstGeom prst="rect">
                      <a:avLst/>
                    </a:prstGeom>
                    <a:ln>
                      <a:noFill/>
                    </a:ln>
                  </pic:spPr>
                </pic:pic>
              </a:graphicData>
            </a:graphic>
          </wp:inline>
        </w:drawing>
      </w:r>
    </w:p>
    <w:p w14:paraId="36B82E76" w14:textId="77777777" w:rsidR="00FA008E" w:rsidRDefault="00000000">
      <w:pPr>
        <w:spacing w:line="480" w:lineRule="auto"/>
        <w:rPr>
          <w:rFonts w:ascii="Calibri" w:hAnsi="Calibri" w:cs="Calibri"/>
          <w:sz w:val="18"/>
          <w:szCs w:val="18"/>
        </w:rPr>
      </w:pPr>
      <w:r>
        <w:rPr>
          <w:rFonts w:ascii="Arial" w:hAnsi="Arial" w:cs="Arial"/>
          <w:b/>
          <w:kern w:val="0"/>
          <w:sz w:val="18"/>
          <w:szCs w:val="18"/>
        </w:rPr>
        <w:t>Fig.S6.</w:t>
      </w:r>
      <w:r>
        <w:rPr>
          <w:rFonts w:ascii="Arial" w:hAnsi="Arial" w:cs="Arial"/>
          <w:b/>
          <w:sz w:val="18"/>
          <w:szCs w:val="18"/>
        </w:rPr>
        <w:t xml:space="preserve"> </w:t>
      </w:r>
      <w:r>
        <w:rPr>
          <w:rFonts w:ascii="Calibri" w:hAnsi="Calibri" w:cs="Calibri"/>
          <w:sz w:val="18"/>
          <w:szCs w:val="18"/>
        </w:rPr>
        <w:t>Dual vaccine inhibits Aβ and tau aggregation, reduces Aβ oligomers and tau tangles induced cytotoxicity</w:t>
      </w:r>
    </w:p>
    <w:p w14:paraId="52DB3C4F" w14:textId="2184BC74" w:rsidR="00FA008E" w:rsidRDefault="00000000">
      <w:pPr>
        <w:spacing w:line="480" w:lineRule="auto"/>
        <w:rPr>
          <w:rFonts w:ascii="Arial" w:hAnsi="Arial" w:cs="Arial"/>
          <w:sz w:val="18"/>
          <w:szCs w:val="18"/>
        </w:rPr>
      </w:pPr>
      <w:r>
        <w:rPr>
          <w:rFonts w:ascii="Calibri" w:hAnsi="Calibri" w:cs="Calibri"/>
          <w:sz w:val="18"/>
          <w:szCs w:val="18"/>
        </w:rPr>
        <w:t xml:space="preserve">(A) Aβ oligomers, Aβ fibers prepared in vitro and demonstrated by WB and TEM. (B) The recognition of different forms of Aβ by purified antibodies was examined by </w:t>
      </w:r>
      <w:proofErr w:type="spellStart"/>
      <w:r>
        <w:rPr>
          <w:rFonts w:ascii="Calibri" w:hAnsi="Calibri" w:cs="Calibri"/>
          <w:sz w:val="18"/>
          <w:szCs w:val="18"/>
        </w:rPr>
        <w:t>dotblot</w:t>
      </w:r>
      <w:proofErr w:type="spellEnd"/>
      <w:r>
        <w:rPr>
          <w:rFonts w:ascii="Calibri" w:hAnsi="Calibri" w:cs="Calibri"/>
          <w:sz w:val="18"/>
          <w:szCs w:val="18"/>
        </w:rPr>
        <w:t xml:space="preserve">. (C). Tau fibers prepared in vitro and demonstrated by WB and TEM. (D). The recognition of different forms of tau by purified antibodies was examined by </w:t>
      </w:r>
      <w:proofErr w:type="spellStart"/>
      <w:r>
        <w:rPr>
          <w:rFonts w:ascii="Calibri" w:hAnsi="Calibri" w:cs="Calibri"/>
          <w:sz w:val="18"/>
          <w:szCs w:val="18"/>
        </w:rPr>
        <w:t>dotblot</w:t>
      </w:r>
      <w:proofErr w:type="spellEnd"/>
      <w:r>
        <w:rPr>
          <w:rFonts w:ascii="Calibri" w:hAnsi="Calibri" w:cs="Calibri"/>
          <w:sz w:val="18"/>
          <w:szCs w:val="18"/>
        </w:rPr>
        <w:t xml:space="preserve">. </w:t>
      </w:r>
    </w:p>
    <w:p w14:paraId="3FA57B91" w14:textId="77777777" w:rsidR="00FA008E" w:rsidRDefault="00FA008E">
      <w:pPr>
        <w:ind w:firstLineChars="50" w:firstLine="120"/>
        <w:rPr>
          <w:rFonts w:ascii="Times New Roman" w:hAnsi="Times New Roman" w:cs="Times New Roman"/>
          <w:b/>
          <w:kern w:val="0"/>
          <w:sz w:val="24"/>
          <w:szCs w:val="24"/>
        </w:rPr>
      </w:pPr>
    </w:p>
    <w:sectPr w:rsidR="00FA008E">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57A36" w14:textId="77777777" w:rsidR="00683136" w:rsidRDefault="00683136">
      <w:r>
        <w:separator/>
      </w:r>
    </w:p>
  </w:endnote>
  <w:endnote w:type="continuationSeparator" w:id="0">
    <w:p w14:paraId="649F31E1" w14:textId="77777777" w:rsidR="00683136" w:rsidRDefault="006831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3559022"/>
      <w:docPartObj>
        <w:docPartGallery w:val="AutoText"/>
      </w:docPartObj>
    </w:sdtPr>
    <w:sdtContent>
      <w:p w14:paraId="5E9997A6" w14:textId="77777777" w:rsidR="00FA008E" w:rsidRDefault="00000000">
        <w:pPr>
          <w:pStyle w:val="a5"/>
          <w:jc w:val="center"/>
        </w:pPr>
        <w:r>
          <w:fldChar w:fldCharType="begin"/>
        </w:r>
        <w:r>
          <w:instrText>PAGE   \* MERGEFORMAT</w:instrText>
        </w:r>
        <w:r>
          <w:fldChar w:fldCharType="separate"/>
        </w:r>
        <w:r>
          <w:rPr>
            <w:lang w:val="zh-CN"/>
          </w:rPr>
          <w:t>2</w:t>
        </w:r>
        <w:r>
          <w:fldChar w:fldCharType="end"/>
        </w:r>
      </w:p>
    </w:sdtContent>
  </w:sdt>
  <w:p w14:paraId="455B9572" w14:textId="77777777" w:rsidR="00FA008E" w:rsidRDefault="00FA008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CA69D" w14:textId="77777777" w:rsidR="00683136" w:rsidRDefault="00683136">
      <w:r>
        <w:separator/>
      </w:r>
    </w:p>
  </w:footnote>
  <w:footnote w:type="continuationSeparator" w:id="0">
    <w:p w14:paraId="3BBAE08C" w14:textId="77777777" w:rsidR="00683136" w:rsidRDefault="006831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YyMjc2M2E1MWNjMTc4ZTFmNzJhOGEyNTUwMGJhZWQifQ=="/>
  </w:docVars>
  <w:rsids>
    <w:rsidRoot w:val="0002576C"/>
    <w:rsid w:val="0001670F"/>
    <w:rsid w:val="0002576C"/>
    <w:rsid w:val="00030716"/>
    <w:rsid w:val="00065BE7"/>
    <w:rsid w:val="00067BE8"/>
    <w:rsid w:val="00070890"/>
    <w:rsid w:val="00085984"/>
    <w:rsid w:val="00097660"/>
    <w:rsid w:val="000A354B"/>
    <w:rsid w:val="000E500A"/>
    <w:rsid w:val="000E76B1"/>
    <w:rsid w:val="00146120"/>
    <w:rsid w:val="001877DA"/>
    <w:rsid w:val="00190D2B"/>
    <w:rsid w:val="001D6158"/>
    <w:rsid w:val="001E3BD3"/>
    <w:rsid w:val="0022159A"/>
    <w:rsid w:val="002468B1"/>
    <w:rsid w:val="00251509"/>
    <w:rsid w:val="0028649C"/>
    <w:rsid w:val="002867E5"/>
    <w:rsid w:val="0029153E"/>
    <w:rsid w:val="002B17E5"/>
    <w:rsid w:val="002E084A"/>
    <w:rsid w:val="002E4EBA"/>
    <w:rsid w:val="00327360"/>
    <w:rsid w:val="003A1290"/>
    <w:rsid w:val="003A4551"/>
    <w:rsid w:val="0044045C"/>
    <w:rsid w:val="00475C74"/>
    <w:rsid w:val="004853F0"/>
    <w:rsid w:val="004918D8"/>
    <w:rsid w:val="004A0C1A"/>
    <w:rsid w:val="004E6757"/>
    <w:rsid w:val="005521FC"/>
    <w:rsid w:val="00552A2D"/>
    <w:rsid w:val="006011FC"/>
    <w:rsid w:val="00624D8D"/>
    <w:rsid w:val="006333C2"/>
    <w:rsid w:val="006429D4"/>
    <w:rsid w:val="00663151"/>
    <w:rsid w:val="00683136"/>
    <w:rsid w:val="006A780B"/>
    <w:rsid w:val="006B1642"/>
    <w:rsid w:val="006B426A"/>
    <w:rsid w:val="006B5617"/>
    <w:rsid w:val="006E0880"/>
    <w:rsid w:val="0075161F"/>
    <w:rsid w:val="007C69ED"/>
    <w:rsid w:val="007D74B6"/>
    <w:rsid w:val="008525D1"/>
    <w:rsid w:val="00865616"/>
    <w:rsid w:val="0087738D"/>
    <w:rsid w:val="00900769"/>
    <w:rsid w:val="00925DAA"/>
    <w:rsid w:val="009674E9"/>
    <w:rsid w:val="009C594D"/>
    <w:rsid w:val="009E1B32"/>
    <w:rsid w:val="00A54CE7"/>
    <w:rsid w:val="00A831D5"/>
    <w:rsid w:val="00AA33A3"/>
    <w:rsid w:val="00AB305C"/>
    <w:rsid w:val="00AE01F3"/>
    <w:rsid w:val="00AF382A"/>
    <w:rsid w:val="00B04A98"/>
    <w:rsid w:val="00B20AB8"/>
    <w:rsid w:val="00B373B6"/>
    <w:rsid w:val="00B65435"/>
    <w:rsid w:val="00B67ABC"/>
    <w:rsid w:val="00C372EC"/>
    <w:rsid w:val="00C42DB2"/>
    <w:rsid w:val="00C7063B"/>
    <w:rsid w:val="00CA5C05"/>
    <w:rsid w:val="00CA6918"/>
    <w:rsid w:val="00CF0FC3"/>
    <w:rsid w:val="00D2742A"/>
    <w:rsid w:val="00D449A4"/>
    <w:rsid w:val="00D45083"/>
    <w:rsid w:val="00DA1D3B"/>
    <w:rsid w:val="00DF77F1"/>
    <w:rsid w:val="00DF79A0"/>
    <w:rsid w:val="00E17BFA"/>
    <w:rsid w:val="00E37710"/>
    <w:rsid w:val="00E4234D"/>
    <w:rsid w:val="00E5724F"/>
    <w:rsid w:val="00EA28A8"/>
    <w:rsid w:val="00F0203D"/>
    <w:rsid w:val="00F1662E"/>
    <w:rsid w:val="00F711B0"/>
    <w:rsid w:val="00F81EF5"/>
    <w:rsid w:val="00F83659"/>
    <w:rsid w:val="00FA008E"/>
    <w:rsid w:val="00FB6698"/>
    <w:rsid w:val="00FC5867"/>
    <w:rsid w:val="01ED531F"/>
    <w:rsid w:val="0A1263F9"/>
    <w:rsid w:val="32F02F31"/>
    <w:rsid w:val="46C73B51"/>
    <w:rsid w:val="65C94D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BE5261"/>
  <w15:docId w15:val="{38D8CF21-ECFD-4861-BBF7-1FAE2CEE2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unhideWhenUsed/>
    <w:qFormat/>
    <w:pPr>
      <w:jc w:val="left"/>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autoRedefine/>
    <w:uiPriority w:val="99"/>
    <w:unhideWhenUsed/>
    <w:qFormat/>
    <w:pPr>
      <w:tabs>
        <w:tab w:val="center" w:pos="4153"/>
        <w:tab w:val="right" w:pos="8306"/>
      </w:tabs>
      <w:snapToGrid w:val="0"/>
      <w:jc w:val="center"/>
    </w:pPr>
    <w:rPr>
      <w:sz w:val="18"/>
      <w:szCs w:val="18"/>
    </w:rPr>
  </w:style>
  <w:style w:type="paragraph" w:styleId="a9">
    <w:name w:val="annotation subject"/>
    <w:basedOn w:val="a3"/>
    <w:next w:val="a3"/>
    <w:link w:val="aa"/>
    <w:autoRedefine/>
    <w:uiPriority w:val="99"/>
    <w:semiHidden/>
    <w:unhideWhenUsed/>
    <w:qFormat/>
    <w:rPr>
      <w:b/>
      <w:bCs/>
    </w:rPr>
  </w:style>
  <w:style w:type="character" w:styleId="ab">
    <w:name w:val="annotation reference"/>
    <w:basedOn w:val="a0"/>
    <w:autoRedefine/>
    <w:uiPriority w:val="99"/>
    <w:semiHidden/>
    <w:unhideWhenUsed/>
    <w:qFormat/>
    <w:rPr>
      <w:sz w:val="21"/>
      <w:szCs w:val="21"/>
    </w:rPr>
  </w:style>
  <w:style w:type="paragraph" w:customStyle="1" w:styleId="desc">
    <w:name w:val="desc"/>
    <w:basedOn w:val="a"/>
    <w:autoRedefine/>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autoRedefine/>
    <w:uiPriority w:val="99"/>
    <w:qFormat/>
    <w:rPr>
      <w:sz w:val="18"/>
      <w:szCs w:val="18"/>
    </w:rPr>
  </w:style>
  <w:style w:type="character" w:customStyle="1" w:styleId="a6">
    <w:name w:val="页脚 字符"/>
    <w:basedOn w:val="a0"/>
    <w:link w:val="a5"/>
    <w:autoRedefine/>
    <w:uiPriority w:val="99"/>
    <w:qFormat/>
    <w:rPr>
      <w:sz w:val="18"/>
      <w:szCs w:val="18"/>
    </w:rPr>
  </w:style>
  <w:style w:type="paragraph" w:styleId="ac">
    <w:name w:val="List Paragraph"/>
    <w:basedOn w:val="a"/>
    <w:autoRedefine/>
    <w:uiPriority w:val="34"/>
    <w:qFormat/>
    <w:pPr>
      <w:ind w:firstLineChars="200" w:firstLine="420"/>
    </w:pPr>
  </w:style>
  <w:style w:type="character" w:customStyle="1" w:styleId="a4">
    <w:name w:val="批注文字 字符"/>
    <w:basedOn w:val="a0"/>
    <w:link w:val="a3"/>
    <w:autoRedefine/>
    <w:uiPriority w:val="99"/>
    <w:semiHidden/>
    <w:qFormat/>
  </w:style>
  <w:style w:type="character" w:customStyle="1" w:styleId="aa">
    <w:name w:val="批注主题 字符"/>
    <w:basedOn w:val="a4"/>
    <w:link w:val="a9"/>
    <w:autoRedefine/>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Pages>
  <Words>851</Words>
  <Characters>4857</Characters>
  <Application>Microsoft Office Word</Application>
  <DocSecurity>0</DocSecurity>
  <Lines>40</Lines>
  <Paragraphs>11</Paragraphs>
  <ScaleCrop>false</ScaleCrop>
  <Company/>
  <LinksUpToDate>false</LinksUpToDate>
  <CharactersWithSpaces>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雪键 冯</dc:creator>
  <cp:lastModifiedBy>雪键 冯</cp:lastModifiedBy>
  <cp:revision>47</cp:revision>
  <dcterms:created xsi:type="dcterms:W3CDTF">2023-10-06T06:26:00Z</dcterms:created>
  <dcterms:modified xsi:type="dcterms:W3CDTF">2024-02-04T07:05:00Z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907EDD2627684BB380D5EBF5C24AFD9F_12</vt:lpwstr>
  </property>
</Properties>
</file>