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93941" w14:textId="77777777" w:rsidR="000A4494" w:rsidRPr="003014D0" w:rsidRDefault="000A4494" w:rsidP="000A4494">
      <w:pPr>
        <w:rPr>
          <w:b/>
          <w:bCs/>
        </w:rPr>
      </w:pPr>
      <w:r w:rsidRPr="003014D0">
        <w:rPr>
          <w:b/>
          <w:bCs/>
        </w:rPr>
        <w:t>What was known before?</w:t>
      </w:r>
    </w:p>
    <w:p w14:paraId="6DC66E05" w14:textId="77777777" w:rsidR="000A4494" w:rsidRDefault="000A4494" w:rsidP="000A4494">
      <w:pPr>
        <w:pStyle w:val="ListParagraph"/>
        <w:numPr>
          <w:ilvl w:val="0"/>
          <w:numId w:val="2"/>
        </w:numPr>
        <w:jc w:val="both"/>
        <w:rPr>
          <w:rFonts w:ascii="Calibri" w:eastAsia="Calibri" w:hAnsi="Calibri" w:cs="Arial"/>
        </w:rPr>
      </w:pPr>
      <w:r w:rsidRPr="003014D0">
        <w:rPr>
          <w:rFonts w:ascii="Calibri" w:eastAsia="Calibri" w:hAnsi="Calibri" w:cs="Arial"/>
        </w:rPr>
        <w:t xml:space="preserve">Ranibizumab was recently approved for the treatment of ROP. It seemed effective in reducing active ROP. </w:t>
      </w:r>
    </w:p>
    <w:p w14:paraId="707795DF" w14:textId="77777777" w:rsidR="000A4494" w:rsidRPr="003014D0" w:rsidRDefault="000A4494" w:rsidP="000A4494">
      <w:pPr>
        <w:pStyle w:val="ListParagraph"/>
        <w:numPr>
          <w:ilvl w:val="0"/>
          <w:numId w:val="2"/>
        </w:numPr>
        <w:jc w:val="both"/>
        <w:rPr>
          <w:rFonts w:ascii="Calibri" w:eastAsia="Calibri" w:hAnsi="Calibri" w:cs="Arial"/>
        </w:rPr>
      </w:pPr>
      <w:r w:rsidRPr="003014D0">
        <w:rPr>
          <w:rFonts w:ascii="Calibri" w:eastAsia="Calibri" w:hAnsi="Calibri" w:cs="Arial"/>
        </w:rPr>
        <w:t>However, some cases exhibited reactivation, and close monitoring is recommended for high-risk patients such as AP-ROP and younger PMA at anti-VEGF therapy.</w:t>
      </w:r>
    </w:p>
    <w:p w14:paraId="36BD871F" w14:textId="77777777" w:rsidR="000A4494" w:rsidRPr="003014D0" w:rsidRDefault="000A4494" w:rsidP="000A4494">
      <w:pPr>
        <w:jc w:val="both"/>
        <w:rPr>
          <w:rFonts w:ascii="Calibri" w:eastAsia="Calibri" w:hAnsi="Calibri" w:cs="Arial"/>
          <w:b/>
          <w:bCs/>
          <w:kern w:val="0"/>
          <w14:ligatures w14:val="none"/>
        </w:rPr>
      </w:pPr>
      <w:r w:rsidRPr="003014D0">
        <w:rPr>
          <w:rFonts w:ascii="Calibri" w:eastAsia="Calibri" w:hAnsi="Calibri" w:cs="Arial"/>
          <w:b/>
          <w:bCs/>
          <w:kern w:val="0"/>
          <w14:ligatures w14:val="none"/>
        </w:rPr>
        <w:t xml:space="preserve">What </w:t>
      </w:r>
      <w:proofErr w:type="gramStart"/>
      <w:r w:rsidRPr="003014D0">
        <w:rPr>
          <w:rFonts w:ascii="Calibri" w:eastAsia="Calibri" w:hAnsi="Calibri" w:cs="Arial"/>
          <w:b/>
          <w:bCs/>
          <w:kern w:val="0"/>
          <w14:ligatures w14:val="none"/>
        </w:rPr>
        <w:t>this</w:t>
      </w:r>
      <w:proofErr w:type="gramEnd"/>
      <w:r w:rsidRPr="003014D0">
        <w:rPr>
          <w:rFonts w:ascii="Calibri" w:eastAsia="Calibri" w:hAnsi="Calibri" w:cs="Arial"/>
          <w:b/>
          <w:bCs/>
          <w:kern w:val="0"/>
          <w14:ligatures w14:val="none"/>
        </w:rPr>
        <w:t xml:space="preserve"> study adds?</w:t>
      </w:r>
    </w:p>
    <w:p w14:paraId="1FF57486" w14:textId="77777777" w:rsidR="000A4494" w:rsidRPr="003014D0" w:rsidRDefault="000A4494" w:rsidP="000A4494">
      <w:pPr>
        <w:pStyle w:val="ListParagraph"/>
        <w:numPr>
          <w:ilvl w:val="0"/>
          <w:numId w:val="1"/>
        </w:numPr>
        <w:jc w:val="both"/>
      </w:pPr>
      <w:r w:rsidRPr="003014D0">
        <w:t xml:space="preserve">IVR is effective not only for initial regression of active ROP but also for cases of reactivation. </w:t>
      </w:r>
      <w:r w:rsidRPr="003014D0">
        <w:rPr>
          <w:rFonts w:cstheme="minorHAnsi"/>
        </w:rPr>
        <w:t xml:space="preserve">It could be a better alternative to rescue laser photocoagulation for reactivated ROP, allowing better growth of the normal retinal vessels to the periphery and better refractive outcome. </w:t>
      </w:r>
    </w:p>
    <w:p w14:paraId="2683FE5D" w14:textId="77777777" w:rsidR="000A4494" w:rsidRPr="003014D0" w:rsidRDefault="000A4494" w:rsidP="000A4494">
      <w:pPr>
        <w:pStyle w:val="ListParagraph"/>
        <w:numPr>
          <w:ilvl w:val="0"/>
          <w:numId w:val="1"/>
        </w:numPr>
        <w:jc w:val="both"/>
        <w:rPr>
          <w:rFonts w:cstheme="minorHAnsi"/>
        </w:rPr>
      </w:pPr>
      <w:r w:rsidRPr="003014D0">
        <w:rPr>
          <w:rFonts w:cstheme="minorHAnsi"/>
        </w:rPr>
        <w:t xml:space="preserve">The possibility of reactivation that required retreatment (rescue IVI, </w:t>
      </w:r>
      <w:proofErr w:type="gramStart"/>
      <w:r w:rsidRPr="003014D0">
        <w:rPr>
          <w:rFonts w:cstheme="minorHAnsi"/>
        </w:rPr>
        <w:t>laser</w:t>
      </w:r>
      <w:proofErr w:type="gramEnd"/>
      <w:r w:rsidRPr="003014D0">
        <w:rPr>
          <w:rFonts w:cstheme="minorHAnsi"/>
        </w:rPr>
        <w:t xml:space="preserve"> or surgical intervention) </w:t>
      </w:r>
      <w:proofErr w:type="gramStart"/>
      <w:r w:rsidRPr="003014D0">
        <w:rPr>
          <w:rFonts w:cstheme="minorHAnsi"/>
        </w:rPr>
        <w:t>are</w:t>
      </w:r>
      <w:proofErr w:type="gramEnd"/>
      <w:r w:rsidRPr="003014D0">
        <w:rPr>
          <w:rFonts w:cstheme="minorHAnsi"/>
        </w:rPr>
        <w:t xml:space="preserve"> more frequent in A-ROP than type 1 ROP.</w:t>
      </w:r>
    </w:p>
    <w:p w14:paraId="30C20CC7" w14:textId="77777777" w:rsidR="000A4494" w:rsidRPr="003014D0" w:rsidRDefault="000A4494" w:rsidP="000A4494">
      <w:pPr>
        <w:pStyle w:val="ListParagraph"/>
        <w:numPr>
          <w:ilvl w:val="0"/>
          <w:numId w:val="1"/>
        </w:numPr>
        <w:jc w:val="both"/>
      </w:pPr>
      <w:r w:rsidRPr="003014D0">
        <w:rPr>
          <w:rFonts w:cstheme="minorHAnsi"/>
        </w:rPr>
        <w:t xml:space="preserve">This might be due to different pathophysiology of A-ROP in comparison to type 1 ROP. Further studies are warranted to elucidate if there is </w:t>
      </w:r>
      <w:proofErr w:type="gramStart"/>
      <w:r w:rsidRPr="003014D0">
        <w:rPr>
          <w:rFonts w:cstheme="minorHAnsi"/>
        </w:rPr>
        <w:t>higher</w:t>
      </w:r>
      <w:proofErr w:type="gramEnd"/>
      <w:r w:rsidRPr="003014D0">
        <w:rPr>
          <w:rFonts w:cstheme="minorHAnsi"/>
        </w:rPr>
        <w:t xml:space="preserve"> level of VEGF or other growth factors in A-ROP patients.</w:t>
      </w:r>
    </w:p>
    <w:p w14:paraId="3E67FC22" w14:textId="77777777" w:rsidR="00F822A9" w:rsidRDefault="00F822A9"/>
    <w:sectPr w:rsidR="00F822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F016CB"/>
    <w:multiLevelType w:val="hybridMultilevel"/>
    <w:tmpl w:val="4DE6D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460795"/>
    <w:multiLevelType w:val="hybridMultilevel"/>
    <w:tmpl w:val="1C7AB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0505412">
    <w:abstractNumId w:val="0"/>
  </w:num>
  <w:num w:numId="2" w16cid:durableId="14022887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35D"/>
    <w:rsid w:val="000A4494"/>
    <w:rsid w:val="0040635D"/>
    <w:rsid w:val="00F82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759F92-3EC4-4277-A700-603527389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44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4494"/>
    <w:pPr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ghada eladway</dc:creator>
  <cp:keywords/>
  <dc:description/>
  <cp:lastModifiedBy>ghada eladway</cp:lastModifiedBy>
  <cp:revision>2</cp:revision>
  <dcterms:created xsi:type="dcterms:W3CDTF">2024-01-29T11:41:00Z</dcterms:created>
  <dcterms:modified xsi:type="dcterms:W3CDTF">2024-01-29T11:41:00Z</dcterms:modified>
</cp:coreProperties>
</file>