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AB5C" w14:textId="77777777" w:rsidR="004E1AF1" w:rsidRDefault="004E1AF1" w:rsidP="004E1AF1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Supplementary data</w:t>
      </w:r>
    </w:p>
    <w:p w14:paraId="0C1695E8" w14:textId="77777777" w:rsidR="004E1AF1" w:rsidRDefault="004E1AF1" w:rsidP="004E1AF1">
      <w:pPr>
        <w:jc w:val="both"/>
        <w:rPr>
          <w:rFonts w:ascii="Calibri" w:hAnsi="Calibri" w:cs="Calibri"/>
        </w:rPr>
      </w:pPr>
    </w:p>
    <w:p w14:paraId="5981A292" w14:textId="77777777" w:rsidR="004E1AF1" w:rsidRDefault="004E1AF1" w:rsidP="004E1AF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Supplementary Table 1. Individual coefficients of the variables included in the Cox regression.</w:t>
      </w:r>
    </w:p>
    <w:p w14:paraId="1861796B" w14:textId="77777777" w:rsidR="009A08FB" w:rsidRDefault="009A08FB" w:rsidP="004E1AF1">
      <w:pPr>
        <w:spacing w:line="276" w:lineRule="auto"/>
        <w:jc w:val="both"/>
        <w:rPr>
          <w:rFonts w:ascii="Calibri" w:hAnsi="Calibri"/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6"/>
        <w:gridCol w:w="1401"/>
        <w:gridCol w:w="1210"/>
        <w:gridCol w:w="966"/>
        <w:gridCol w:w="982"/>
        <w:gridCol w:w="1645"/>
        <w:gridCol w:w="146"/>
      </w:tblGrid>
      <w:tr w:rsidR="004E1AF1" w14:paraId="0F076074" w14:textId="77777777" w:rsidTr="004E1AF1">
        <w:trPr>
          <w:gridAfter w:val="1"/>
          <w:trHeight w:val="675"/>
        </w:trPr>
        <w:tc>
          <w:tcPr>
            <w:tcW w:w="3119" w:type="dxa"/>
            <w:vMerge w:val="restart"/>
            <w:tcBorders>
              <w:top w:val="single" w:sz="8" w:space="0" w:color="auto"/>
              <w:left w:val="nil"/>
              <w:bottom w:val="single" w:sz="8" w:space="0" w:color="808080"/>
              <w:right w:val="single" w:sz="8" w:space="0" w:color="C0C0C0"/>
            </w:tcBorders>
            <w:shd w:val="clear" w:color="auto" w:fill="C6D9F1"/>
            <w:vAlign w:val="center"/>
            <w:hideMark/>
          </w:tcPr>
          <w:p w14:paraId="5D46AB35" w14:textId="77777777" w:rsidR="004E1AF1" w:rsidRDefault="004E1AF1">
            <w:pPr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theme="minorHAnsi"/>
                <w:b/>
                <w:bCs/>
                <w:i/>
                <w:iCs/>
                <w:color w:val="000000"/>
                <w:lang w:eastAsia="es-ES"/>
              </w:rPr>
              <w:t>Covariates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shd w:val="clear" w:color="auto" w:fill="C6D9F1"/>
            <w:vAlign w:val="center"/>
            <w:hideMark/>
          </w:tcPr>
          <w:p w14:paraId="7B22E6DE" w14:textId="77777777" w:rsidR="004E1AF1" w:rsidRDefault="004E1AF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theme="minorHAnsi"/>
                <w:b/>
                <w:bCs/>
                <w:i/>
                <w:iCs/>
                <w:color w:val="000000"/>
                <w:lang w:eastAsia="es-ES"/>
              </w:rPr>
              <w:t>Coefficient estimate (B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vertAlign w:val="subscript"/>
                <w:lang w:eastAsia="es-ES"/>
              </w:rPr>
              <w:t>i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s-ES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shd w:val="clear" w:color="auto" w:fill="C6D9F1"/>
            <w:vAlign w:val="center"/>
            <w:hideMark/>
          </w:tcPr>
          <w:p w14:paraId="04FFD1F5" w14:textId="77777777" w:rsidR="004E1AF1" w:rsidRDefault="004E1AF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theme="minorHAnsi"/>
                <w:b/>
                <w:bCs/>
                <w:i/>
                <w:iCs/>
                <w:color w:val="000000"/>
                <w:lang w:eastAsia="es-ES"/>
              </w:rPr>
              <w:t>SD of estimation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shd w:val="clear" w:color="auto" w:fill="C6D9F1"/>
            <w:vAlign w:val="center"/>
            <w:hideMark/>
          </w:tcPr>
          <w:p w14:paraId="6526487E" w14:textId="77777777" w:rsidR="004E1AF1" w:rsidRDefault="004E1AF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theme="minorHAnsi"/>
                <w:b/>
                <w:bCs/>
                <w:i/>
                <w:iCs/>
                <w:color w:val="000000"/>
                <w:lang w:eastAsia="es-ES"/>
              </w:rPr>
              <w:t>Sig.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shd w:val="clear" w:color="auto" w:fill="C6D9F1"/>
            <w:vAlign w:val="center"/>
            <w:hideMark/>
          </w:tcPr>
          <w:p w14:paraId="08B7F539" w14:textId="77777777" w:rsidR="004E1AF1" w:rsidRDefault="004E1AF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theme="minorHAnsi"/>
                <w:b/>
                <w:bCs/>
                <w:i/>
                <w:iCs/>
                <w:color w:val="000000"/>
                <w:lang w:eastAsia="es-ES"/>
              </w:rPr>
              <w:t>Exp (</w:t>
            </w:r>
            <w:proofErr w:type="gramStart"/>
            <w:r>
              <w:rPr>
                <w:rFonts w:ascii="Calibri" w:eastAsia="Times New Roman" w:hAnsi="Calibri" w:cstheme="minorHAnsi"/>
                <w:b/>
                <w:bCs/>
                <w:i/>
                <w:iCs/>
                <w:color w:val="000000"/>
                <w:lang w:eastAsia="es-ES"/>
              </w:rPr>
              <w:t>B)  (</w:t>
            </w:r>
            <w:proofErr w:type="gramEnd"/>
            <w:r>
              <w:rPr>
                <w:rFonts w:ascii="Calibri" w:eastAsia="Times New Roman" w:hAnsi="Calibri" w:cstheme="minorHAnsi"/>
                <w:b/>
                <w:bCs/>
                <w:i/>
                <w:iCs/>
                <w:color w:val="000000"/>
                <w:lang w:eastAsia="es-ES"/>
              </w:rPr>
              <w:t>HR.)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C0C0C0"/>
              <w:bottom w:val="single" w:sz="8" w:space="0" w:color="808080"/>
              <w:right w:val="nil"/>
            </w:tcBorders>
            <w:shd w:val="clear" w:color="auto" w:fill="C6D9F1"/>
            <w:vAlign w:val="center"/>
            <w:hideMark/>
          </w:tcPr>
          <w:p w14:paraId="14475152" w14:textId="77777777" w:rsidR="004E1AF1" w:rsidRDefault="004E1AF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theme="minorHAnsi"/>
                <w:b/>
                <w:bCs/>
                <w:i/>
                <w:iCs/>
                <w:color w:val="000000"/>
                <w:lang w:eastAsia="es-ES"/>
              </w:rPr>
              <w:t>IC (</w:t>
            </w:r>
            <w:proofErr w:type="gramStart"/>
            <w:r>
              <w:rPr>
                <w:rFonts w:ascii="Calibri" w:eastAsia="Times New Roman" w:hAnsi="Calibri" w:cstheme="minorHAnsi"/>
                <w:b/>
                <w:bCs/>
                <w:i/>
                <w:iCs/>
                <w:color w:val="000000"/>
                <w:lang w:eastAsia="es-ES"/>
              </w:rPr>
              <w:t>HR)  95</w:t>
            </w:r>
            <w:proofErr w:type="gramEnd"/>
            <w:r>
              <w:rPr>
                <w:rFonts w:ascii="Calibri" w:eastAsia="Times New Roman" w:hAnsi="Calibri" w:cstheme="minorHAnsi"/>
                <w:b/>
                <w:bCs/>
                <w:i/>
                <w:iCs/>
                <w:color w:val="000000"/>
                <w:lang w:eastAsia="es-ES"/>
              </w:rPr>
              <w:t>%</w:t>
            </w:r>
          </w:p>
        </w:tc>
      </w:tr>
      <w:tr w:rsidR="004E1AF1" w14:paraId="17E95E1C" w14:textId="77777777" w:rsidTr="004E1AF1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808080"/>
              <w:right w:val="single" w:sz="8" w:space="0" w:color="C0C0C0"/>
            </w:tcBorders>
            <w:vAlign w:val="center"/>
            <w:hideMark/>
          </w:tcPr>
          <w:p w14:paraId="290BF552" w14:textId="77777777" w:rsidR="004E1AF1" w:rsidRDefault="004E1AF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  <w:hideMark/>
          </w:tcPr>
          <w:p w14:paraId="4ACF0096" w14:textId="77777777" w:rsidR="004E1AF1" w:rsidRDefault="004E1AF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  <w:hideMark/>
          </w:tcPr>
          <w:p w14:paraId="0256645F" w14:textId="77777777" w:rsidR="004E1AF1" w:rsidRDefault="004E1AF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  <w:hideMark/>
          </w:tcPr>
          <w:p w14:paraId="475536E0" w14:textId="77777777" w:rsidR="004E1AF1" w:rsidRDefault="004E1AF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  <w:hideMark/>
          </w:tcPr>
          <w:p w14:paraId="2B270938" w14:textId="77777777" w:rsidR="004E1AF1" w:rsidRDefault="004E1AF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C0C0C0"/>
              <w:bottom w:val="single" w:sz="8" w:space="0" w:color="808080"/>
              <w:right w:val="nil"/>
            </w:tcBorders>
            <w:vAlign w:val="center"/>
            <w:hideMark/>
          </w:tcPr>
          <w:p w14:paraId="13996BA9" w14:textId="77777777" w:rsidR="004E1AF1" w:rsidRDefault="004E1AF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</w:p>
        </w:tc>
        <w:tc>
          <w:tcPr>
            <w:tcW w:w="0" w:type="auto"/>
            <w:vAlign w:val="center"/>
            <w:hideMark/>
          </w:tcPr>
          <w:p w14:paraId="7FC3DC5A" w14:textId="77777777" w:rsidR="004E1AF1" w:rsidRDefault="004E1AF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</w:pPr>
          </w:p>
        </w:tc>
      </w:tr>
      <w:tr w:rsidR="004E1AF1" w14:paraId="56C7C738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6ECC23EC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ECOG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288B0714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89B44EE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0.359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7B06747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57702B5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3.247</w:t>
            </w:r>
          </w:p>
        </w:tc>
        <w:tc>
          <w:tcPr>
            <w:tcW w:w="1701" w:type="dxa"/>
            <w:vAlign w:val="center"/>
            <w:hideMark/>
          </w:tcPr>
          <w:p w14:paraId="01AFB399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1.606-6.562</w:t>
            </w:r>
          </w:p>
        </w:tc>
        <w:tc>
          <w:tcPr>
            <w:tcW w:w="0" w:type="auto"/>
            <w:vAlign w:val="center"/>
            <w:hideMark/>
          </w:tcPr>
          <w:p w14:paraId="4C899FE4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11800578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9329492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Stage (IV)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347A8E17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1.878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CA9D528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0.609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A634056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CA81728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6.539</w:t>
            </w:r>
          </w:p>
        </w:tc>
        <w:tc>
          <w:tcPr>
            <w:tcW w:w="1701" w:type="dxa"/>
            <w:vAlign w:val="center"/>
            <w:hideMark/>
          </w:tcPr>
          <w:p w14:paraId="678D335E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1.983-21.565</w:t>
            </w:r>
          </w:p>
        </w:tc>
        <w:tc>
          <w:tcPr>
            <w:tcW w:w="0" w:type="auto"/>
            <w:vAlign w:val="center"/>
            <w:hideMark/>
          </w:tcPr>
          <w:p w14:paraId="2EF8952F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190BF45B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75E7474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TI Locally advanced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DA67841" w14:textId="77777777" w:rsidR="004E1AF1" w:rsidRPr="009A08FB" w:rsidRDefault="004E1AF1">
            <w:pPr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6604807" w14:textId="77777777" w:rsidR="004E1AF1" w:rsidRPr="009A08FB" w:rsidRDefault="004E1AF1">
            <w:pPr>
              <w:rPr>
                <w:rFonts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66B81C77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028FF09" w14:textId="77777777" w:rsidR="004E1AF1" w:rsidRPr="009A08FB" w:rsidRDefault="004E1AF1">
            <w:pPr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  <w:vAlign w:val="center"/>
            <w:hideMark/>
          </w:tcPr>
          <w:p w14:paraId="7FCCD522" w14:textId="77777777" w:rsidR="004E1AF1" w:rsidRPr="009A08FB" w:rsidRDefault="004E1AF1">
            <w:pPr>
              <w:rPr>
                <w:rFonts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0" w:type="auto"/>
            <w:vAlign w:val="center"/>
            <w:hideMark/>
          </w:tcPr>
          <w:p w14:paraId="70196386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7FC5BA8B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AAA1774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TI First 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6A52B985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1.622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02A4113E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0.775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6B36168B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150BB3FC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5.063</w:t>
            </w:r>
          </w:p>
        </w:tc>
        <w:tc>
          <w:tcPr>
            <w:tcW w:w="1701" w:type="dxa"/>
            <w:vAlign w:val="center"/>
            <w:hideMark/>
          </w:tcPr>
          <w:p w14:paraId="7D047AB9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1.108-23.126</w:t>
            </w:r>
          </w:p>
        </w:tc>
        <w:tc>
          <w:tcPr>
            <w:tcW w:w="0" w:type="auto"/>
            <w:vAlign w:val="center"/>
            <w:hideMark/>
          </w:tcPr>
          <w:p w14:paraId="2FE5038B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6EBAACEE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F925889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TI Palliative successive lines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0C5B6B4C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2.553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2A2FE8D3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0.748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0B03B28F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27E5CB80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12.840</w:t>
            </w:r>
          </w:p>
        </w:tc>
        <w:tc>
          <w:tcPr>
            <w:tcW w:w="1701" w:type="dxa"/>
            <w:vAlign w:val="center"/>
            <w:hideMark/>
          </w:tcPr>
          <w:p w14:paraId="35BCC624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2.962-55.656</w:t>
            </w:r>
          </w:p>
        </w:tc>
        <w:tc>
          <w:tcPr>
            <w:tcW w:w="0" w:type="auto"/>
            <w:vAlign w:val="center"/>
            <w:hideMark/>
          </w:tcPr>
          <w:p w14:paraId="260A2859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33E5D977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0A89150F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Type of ICI (Durvalumab)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7F997D2" w14:textId="77777777" w:rsidR="004E1AF1" w:rsidRPr="009A08FB" w:rsidRDefault="004E1AF1">
            <w:pPr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D42360B" w14:textId="77777777" w:rsidR="004E1AF1" w:rsidRPr="009A08FB" w:rsidRDefault="004E1AF1">
            <w:pPr>
              <w:rPr>
                <w:rFonts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00202D46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6D7591C5" w14:textId="77777777" w:rsidR="004E1AF1" w:rsidRPr="009A08FB" w:rsidRDefault="004E1AF1">
            <w:pPr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  <w:vAlign w:val="center"/>
            <w:hideMark/>
          </w:tcPr>
          <w:p w14:paraId="52662D60" w14:textId="77777777" w:rsidR="004E1AF1" w:rsidRPr="009A08FB" w:rsidRDefault="004E1AF1">
            <w:pPr>
              <w:rPr>
                <w:rFonts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0" w:type="auto"/>
            <w:vAlign w:val="center"/>
            <w:hideMark/>
          </w:tcPr>
          <w:p w14:paraId="34E79903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24FB3BF4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13D467C0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Type of ICI (Nivolumab)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69CE918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CA72E56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1.225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14A9734F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3B95DEA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3.336</w:t>
            </w:r>
          </w:p>
        </w:tc>
        <w:tc>
          <w:tcPr>
            <w:tcW w:w="1701" w:type="dxa"/>
            <w:vAlign w:val="center"/>
            <w:hideMark/>
          </w:tcPr>
          <w:p w14:paraId="3954A709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0.302-36.831</w:t>
            </w:r>
          </w:p>
        </w:tc>
        <w:tc>
          <w:tcPr>
            <w:tcW w:w="0" w:type="auto"/>
            <w:vAlign w:val="center"/>
            <w:hideMark/>
          </w:tcPr>
          <w:p w14:paraId="7F98D39D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15C2EFA4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537B450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Type of ICI (Pembrolizumab)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50D5580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1.735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B95F3AD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0.765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2B22E6E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8AC1218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5.668</w:t>
            </w:r>
          </w:p>
        </w:tc>
        <w:tc>
          <w:tcPr>
            <w:tcW w:w="1701" w:type="dxa"/>
            <w:vAlign w:val="center"/>
            <w:hideMark/>
          </w:tcPr>
          <w:p w14:paraId="0C3EFE49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1.266-25.376</w:t>
            </w:r>
          </w:p>
        </w:tc>
        <w:tc>
          <w:tcPr>
            <w:tcW w:w="0" w:type="auto"/>
            <w:vAlign w:val="center"/>
            <w:hideMark/>
          </w:tcPr>
          <w:p w14:paraId="67ADE8A5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771EC3D8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270170E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Type of ICI (Atezolizumab)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13161EE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2.749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6E86CC63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0.757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45BE581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1480634D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15.635</w:t>
            </w:r>
          </w:p>
        </w:tc>
        <w:tc>
          <w:tcPr>
            <w:tcW w:w="1701" w:type="dxa"/>
            <w:vAlign w:val="center"/>
            <w:hideMark/>
          </w:tcPr>
          <w:p w14:paraId="1C6E47DB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3.543-68.922</w:t>
            </w:r>
          </w:p>
        </w:tc>
        <w:tc>
          <w:tcPr>
            <w:tcW w:w="0" w:type="auto"/>
            <w:vAlign w:val="center"/>
            <w:hideMark/>
          </w:tcPr>
          <w:p w14:paraId="4DC76FF4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6DF6DE06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24C3E5C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Complete Response (CR)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2014A3A" w14:textId="77777777" w:rsidR="004E1AF1" w:rsidRPr="009A08FB" w:rsidRDefault="004E1AF1">
            <w:pPr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3689882F" w14:textId="77777777" w:rsidR="004E1AF1" w:rsidRPr="009A08FB" w:rsidRDefault="004E1AF1">
            <w:pPr>
              <w:rPr>
                <w:rFonts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53A4951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381B84E3" w14:textId="77777777" w:rsidR="004E1AF1" w:rsidRPr="009A08FB" w:rsidRDefault="004E1AF1">
            <w:pPr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701" w:type="dxa"/>
            <w:vAlign w:val="center"/>
            <w:hideMark/>
          </w:tcPr>
          <w:p w14:paraId="12C5D7DA" w14:textId="77777777" w:rsidR="004E1AF1" w:rsidRPr="009A08FB" w:rsidRDefault="004E1AF1">
            <w:pPr>
              <w:rPr>
                <w:rFonts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0" w:type="auto"/>
            <w:vAlign w:val="center"/>
            <w:hideMark/>
          </w:tcPr>
          <w:p w14:paraId="4AF68270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41B7D198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32B07621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Parcial</w:t>
            </w:r>
            <w:proofErr w:type="spellEnd"/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 xml:space="preserve"> Response (PR)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36B0A3D5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1.522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318A0609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1.097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17165114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E311C85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4.582</w:t>
            </w:r>
          </w:p>
        </w:tc>
        <w:tc>
          <w:tcPr>
            <w:tcW w:w="1701" w:type="dxa"/>
            <w:vAlign w:val="center"/>
            <w:hideMark/>
          </w:tcPr>
          <w:p w14:paraId="4D1FF341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0.534-39.348</w:t>
            </w:r>
          </w:p>
        </w:tc>
        <w:tc>
          <w:tcPr>
            <w:tcW w:w="0" w:type="auto"/>
            <w:vAlign w:val="center"/>
            <w:hideMark/>
          </w:tcPr>
          <w:p w14:paraId="5DC3F5C1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1D664594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3F07DF3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 xml:space="preserve">Stable </w:t>
            </w:r>
            <w:proofErr w:type="gramStart"/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Disease  (</w:t>
            </w:r>
            <w:proofErr w:type="gramEnd"/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SD)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C1CA2EC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2.126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1A33B28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1.072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1E215E73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0131316E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8.384</w:t>
            </w:r>
          </w:p>
        </w:tc>
        <w:tc>
          <w:tcPr>
            <w:tcW w:w="1701" w:type="dxa"/>
            <w:vAlign w:val="center"/>
            <w:hideMark/>
          </w:tcPr>
          <w:p w14:paraId="5741FFA8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1.026-68.509</w:t>
            </w:r>
          </w:p>
        </w:tc>
        <w:tc>
          <w:tcPr>
            <w:tcW w:w="0" w:type="auto"/>
            <w:vAlign w:val="center"/>
            <w:hideMark/>
          </w:tcPr>
          <w:p w14:paraId="19F9C0CD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295DB217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787EEB7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Progressive disease (PD)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34DDEC46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3.634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0BE14C4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1.051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72F8D27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646E4DD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37.880</w:t>
            </w:r>
          </w:p>
        </w:tc>
        <w:tc>
          <w:tcPr>
            <w:tcW w:w="1701" w:type="dxa"/>
            <w:vAlign w:val="center"/>
            <w:hideMark/>
          </w:tcPr>
          <w:p w14:paraId="78C6C800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4.830-297.063</w:t>
            </w:r>
          </w:p>
        </w:tc>
        <w:tc>
          <w:tcPr>
            <w:tcW w:w="0" w:type="auto"/>
            <w:vAlign w:val="center"/>
            <w:hideMark/>
          </w:tcPr>
          <w:p w14:paraId="7CF3A068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2459972A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0A85DD06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Not evaluable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C7CD94A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5.933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6CA8C8DE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1.240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222ED673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9E5BF88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377.216</w:t>
            </w:r>
          </w:p>
        </w:tc>
        <w:tc>
          <w:tcPr>
            <w:tcW w:w="1701" w:type="dxa"/>
            <w:vAlign w:val="center"/>
            <w:hideMark/>
          </w:tcPr>
          <w:p w14:paraId="7DF1C8BA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33.191-4287.125</w:t>
            </w:r>
          </w:p>
        </w:tc>
        <w:tc>
          <w:tcPr>
            <w:tcW w:w="0" w:type="auto"/>
            <w:vAlign w:val="center"/>
            <w:hideMark/>
          </w:tcPr>
          <w:p w14:paraId="3FAE7F62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0F2C80C8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1C08E174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Immunorelated</w:t>
            </w:r>
            <w:proofErr w:type="spellEnd"/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 xml:space="preserve"> toxicity (No)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1BBDE5A7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0.691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F1FE838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0.367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661CA128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35F5C30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1.995</w:t>
            </w:r>
          </w:p>
        </w:tc>
        <w:tc>
          <w:tcPr>
            <w:tcW w:w="1701" w:type="dxa"/>
            <w:vAlign w:val="center"/>
            <w:hideMark/>
          </w:tcPr>
          <w:p w14:paraId="2C60836B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0.972-4.095</w:t>
            </w:r>
          </w:p>
        </w:tc>
        <w:tc>
          <w:tcPr>
            <w:tcW w:w="0" w:type="auto"/>
            <w:vAlign w:val="center"/>
            <w:hideMark/>
          </w:tcPr>
          <w:p w14:paraId="0D9E5B98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26EEBB6F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395532BA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LDH (High (&gt;214 U/L))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1487DAA5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0.816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3ADBB3F3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0.357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19933A1C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40290CED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2.262</w:t>
            </w:r>
          </w:p>
        </w:tc>
        <w:tc>
          <w:tcPr>
            <w:tcW w:w="1701" w:type="dxa"/>
            <w:vAlign w:val="center"/>
            <w:hideMark/>
          </w:tcPr>
          <w:p w14:paraId="01E1C841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1.124-4.551</w:t>
            </w:r>
          </w:p>
        </w:tc>
        <w:tc>
          <w:tcPr>
            <w:tcW w:w="0" w:type="auto"/>
            <w:vAlign w:val="center"/>
            <w:hideMark/>
          </w:tcPr>
          <w:p w14:paraId="4DCC0528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229F760B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2F994B05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IL-2 (&gt;26.1)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26DFD36A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0.739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3BE3FC1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0.362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64A0BC6F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0569C8C4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2.093</w:t>
            </w:r>
          </w:p>
        </w:tc>
        <w:tc>
          <w:tcPr>
            <w:tcW w:w="1701" w:type="dxa"/>
            <w:vAlign w:val="center"/>
            <w:hideMark/>
          </w:tcPr>
          <w:p w14:paraId="4647C3E5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1.031-4.252</w:t>
            </w:r>
          </w:p>
        </w:tc>
        <w:tc>
          <w:tcPr>
            <w:tcW w:w="0" w:type="auto"/>
            <w:vAlign w:val="center"/>
            <w:hideMark/>
          </w:tcPr>
          <w:p w14:paraId="4A3306FA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553DC9F5" w14:textId="77777777" w:rsidTr="004E1AF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5A8059F0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IL-10 (≤2.8)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09073325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0.675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441B594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0.370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17DFF63D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05F6453A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1.963</w:t>
            </w:r>
          </w:p>
        </w:tc>
        <w:tc>
          <w:tcPr>
            <w:tcW w:w="1701" w:type="dxa"/>
            <w:vAlign w:val="center"/>
            <w:hideMark/>
          </w:tcPr>
          <w:p w14:paraId="53CA64FC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0.950-4.059</w:t>
            </w:r>
          </w:p>
        </w:tc>
        <w:tc>
          <w:tcPr>
            <w:tcW w:w="0" w:type="auto"/>
            <w:vAlign w:val="center"/>
            <w:hideMark/>
          </w:tcPr>
          <w:p w14:paraId="16910A1D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4E1AF1" w14:paraId="700D8EE6" w14:textId="77777777" w:rsidTr="004E1AF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C0C0C0"/>
            </w:tcBorders>
            <w:vAlign w:val="center"/>
            <w:hideMark/>
          </w:tcPr>
          <w:p w14:paraId="3E79AA86" w14:textId="77777777" w:rsidR="004E1AF1" w:rsidRPr="009A08FB" w:rsidRDefault="004E1AF1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IL-15 (&gt;6.7)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C0C0C0"/>
            </w:tcBorders>
            <w:vAlign w:val="center"/>
            <w:hideMark/>
          </w:tcPr>
          <w:p w14:paraId="5C8FAD72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C0C0C0"/>
            </w:tcBorders>
            <w:vAlign w:val="center"/>
            <w:hideMark/>
          </w:tcPr>
          <w:p w14:paraId="0EFDD54B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0.371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C0C0C0"/>
            </w:tcBorders>
            <w:vAlign w:val="center"/>
            <w:hideMark/>
          </w:tcPr>
          <w:p w14:paraId="3AEC60C8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C0C0C0"/>
            </w:tcBorders>
            <w:vAlign w:val="center"/>
            <w:hideMark/>
          </w:tcPr>
          <w:p w14:paraId="1949BDE3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2.149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067027" w14:textId="77777777" w:rsidR="004E1AF1" w:rsidRPr="009A08FB" w:rsidRDefault="004E1AF1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val="es-ES" w:eastAsia="es-ES"/>
              </w:rPr>
            </w:pPr>
            <w:r w:rsidRPr="009A08F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1.039-4.444 </w:t>
            </w:r>
          </w:p>
        </w:tc>
        <w:tc>
          <w:tcPr>
            <w:tcW w:w="0" w:type="auto"/>
            <w:vAlign w:val="center"/>
            <w:hideMark/>
          </w:tcPr>
          <w:p w14:paraId="3B0954F8" w14:textId="77777777" w:rsidR="004E1AF1" w:rsidRDefault="004E1AF1">
            <w:pPr>
              <w:rPr>
                <w:sz w:val="20"/>
                <w:szCs w:val="20"/>
                <w:lang w:val="es-ES" w:eastAsia="es-ES"/>
              </w:rPr>
            </w:pPr>
          </w:p>
        </w:tc>
      </w:tr>
    </w:tbl>
    <w:p w14:paraId="53300178" w14:textId="77777777" w:rsidR="004E1AF1" w:rsidRDefault="004E1AF1" w:rsidP="004E1AF1">
      <w:pPr>
        <w:jc w:val="both"/>
        <w:rPr>
          <w:rFonts w:ascii="Calibri" w:hAnsi="Calibri"/>
          <w:lang w:val="es-ES"/>
        </w:rPr>
      </w:pPr>
    </w:p>
    <w:p w14:paraId="73B5326E" w14:textId="77777777" w:rsidR="004E1AF1" w:rsidRDefault="004E1AF1" w:rsidP="004E1AF1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ECOG: Eastern Cooperative Oncology Group; TI: Treatment indication; LDH: Lactate dehydrogenase</w:t>
      </w:r>
    </w:p>
    <w:p w14:paraId="095C9E00" w14:textId="77777777" w:rsidR="004E1AF1" w:rsidRDefault="004E1AF1" w:rsidP="004E1AF1">
      <w:pPr>
        <w:jc w:val="both"/>
        <w:rPr>
          <w:rFonts w:ascii="Calibri" w:hAnsi="Calibri" w:cs="Calibri"/>
        </w:rPr>
      </w:pPr>
    </w:p>
    <w:p w14:paraId="4B58864E" w14:textId="77777777" w:rsidR="00352F15" w:rsidRDefault="00352F15"/>
    <w:sectPr w:rsidR="00352F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F1"/>
    <w:rsid w:val="001D4902"/>
    <w:rsid w:val="00230DFD"/>
    <w:rsid w:val="00352F15"/>
    <w:rsid w:val="004E1AF1"/>
    <w:rsid w:val="009A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ABA0"/>
  <w15:chartTrackingRefBased/>
  <w15:docId w15:val="{B7FBBCD5-DC75-44C1-916B-9680A0F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F1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Sesma Goñi</dc:creator>
  <cp:keywords/>
  <dc:description/>
  <cp:lastModifiedBy>Andrea Sesma Goñi</cp:lastModifiedBy>
  <cp:revision>2</cp:revision>
  <dcterms:created xsi:type="dcterms:W3CDTF">2024-02-27T20:10:00Z</dcterms:created>
  <dcterms:modified xsi:type="dcterms:W3CDTF">2024-02-27T20:10:00Z</dcterms:modified>
</cp:coreProperties>
</file>