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szCs w:val="21"/>
          <w:lang w:val="en-US" w:eastAsia="zh-CN"/>
        </w:rPr>
      </w:pPr>
      <w:r>
        <w:rPr>
          <w:rFonts w:hint="eastAsia"/>
          <w:b/>
          <w:bCs/>
          <w:szCs w:val="21"/>
          <w:lang w:val="en-US" w:eastAsia="zh-CN"/>
        </w:rPr>
        <w:t>Supplementary table The correlations between the SUVmax and blood cells, liver function indicators, tumor biomarkers and inflammatory indices</w:t>
      </w:r>
    </w:p>
    <w:tbl>
      <w:tblPr>
        <w:tblStyle w:val="2"/>
        <w:tblW w:w="4998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60"/>
        <w:gridCol w:w="1353"/>
        <w:gridCol w:w="1353"/>
        <w:gridCol w:w="1353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2617" w:type="pct"/>
            <w:tcBorders>
              <w:bottom w:val="single" w:color="auto" w:sz="6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  <w:rPr>
                <w:color w:val="000000"/>
                <w:szCs w:val="21"/>
              </w:rPr>
            </w:pPr>
            <w:r>
              <w:rPr>
                <w:rStyle w:val="5"/>
                <w:lang w:bidi="ar"/>
              </w:rPr>
              <w:t>items</w:t>
            </w:r>
          </w:p>
        </w:tc>
        <w:tc>
          <w:tcPr>
            <w:tcW w:w="794" w:type="pct"/>
            <w:tcBorders>
              <w:bottom w:val="single" w:color="auto" w:sz="6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i/>
                <w:iCs/>
                <w:color w:val="000000"/>
                <w:szCs w:val="21"/>
              </w:rPr>
            </w:pPr>
            <w:r>
              <w:rPr>
                <w:rStyle w:val="6"/>
                <w:lang w:bidi="ar"/>
              </w:rPr>
              <w:t>R</w:t>
            </w:r>
          </w:p>
        </w:tc>
        <w:tc>
          <w:tcPr>
            <w:tcW w:w="794" w:type="pct"/>
            <w:tcBorders>
              <w:bottom w:val="single" w:color="auto" w:sz="6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i/>
                <w:iCs/>
                <w:color w:val="000000"/>
                <w:szCs w:val="21"/>
              </w:rPr>
            </w:pPr>
            <w:r>
              <w:rPr>
                <w:rStyle w:val="6"/>
                <w:lang w:bidi="ar"/>
              </w:rPr>
              <w:t>P</w:t>
            </w:r>
          </w:p>
        </w:tc>
        <w:tc>
          <w:tcPr>
            <w:tcW w:w="794" w:type="pct"/>
            <w:tcBorders>
              <w:bottom w:val="single" w:color="auto" w:sz="6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i/>
                <w:iCs/>
                <w:color w:val="000000"/>
                <w:szCs w:val="21"/>
              </w:rPr>
            </w:pPr>
            <w:r>
              <w:rPr>
                <w:rStyle w:val="6"/>
                <w:lang w:bidi="ar"/>
              </w:rPr>
              <w:t>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17" w:type="pct"/>
            <w:tcBorders>
              <w:top w:val="single" w:color="auto" w:sz="6" w:space="0"/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  <w:rPr>
                <w:rStyle w:val="5"/>
                <w:lang w:bidi="ar"/>
              </w:rPr>
            </w:pPr>
            <w:r>
              <w:rPr>
                <w:rStyle w:val="5"/>
                <w:rFonts w:hint="eastAsia"/>
                <w:lang w:bidi="ar"/>
              </w:rPr>
              <w:t>Blood test</w:t>
            </w:r>
          </w:p>
        </w:tc>
        <w:tc>
          <w:tcPr>
            <w:tcW w:w="794" w:type="pct"/>
            <w:tcBorders>
              <w:top w:val="single" w:color="auto" w:sz="6" w:space="0"/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94" w:type="pct"/>
            <w:tcBorders>
              <w:top w:val="single" w:color="auto" w:sz="6" w:space="0"/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94" w:type="pct"/>
            <w:tcBorders>
              <w:top w:val="single" w:color="auto" w:sz="6" w:space="0"/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17" w:type="pct"/>
            <w:tcBorders>
              <w:top w:val="nil"/>
            </w:tcBorders>
            <w:shd w:val="clear" w:color="auto" w:fill="auto"/>
            <w:noWrap/>
            <w:vAlign w:val="bottom"/>
          </w:tcPr>
          <w:p>
            <w:pPr>
              <w:widowControl/>
              <w:ind w:firstLine="210" w:firstLineChars="100"/>
              <w:jc w:val="left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Red cell count/10</w:t>
            </w:r>
            <w:r>
              <w:rPr>
                <w:szCs w:val="21"/>
                <w:vertAlign w:val="superscript"/>
              </w:rPr>
              <w:t>12</w:t>
            </w:r>
            <w:r>
              <w:rPr>
                <w:szCs w:val="21"/>
              </w:rPr>
              <w:t>*L</w:t>
            </w:r>
            <w:r>
              <w:rPr>
                <w:szCs w:val="21"/>
                <w:vertAlign w:val="superscript"/>
              </w:rPr>
              <w:t>-1</w:t>
            </w:r>
          </w:p>
        </w:tc>
        <w:tc>
          <w:tcPr>
            <w:tcW w:w="794" w:type="pct"/>
            <w:tcBorders>
              <w:top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0.012</w:t>
            </w:r>
          </w:p>
        </w:tc>
        <w:tc>
          <w:tcPr>
            <w:tcW w:w="794" w:type="pct"/>
            <w:tcBorders>
              <w:top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0.921</w:t>
            </w:r>
          </w:p>
        </w:tc>
        <w:tc>
          <w:tcPr>
            <w:tcW w:w="794" w:type="pct"/>
            <w:tcBorders>
              <w:top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17" w:type="pct"/>
            <w:shd w:val="clear" w:color="auto" w:fill="auto"/>
            <w:noWrap/>
            <w:vAlign w:val="bottom"/>
          </w:tcPr>
          <w:p>
            <w:pPr>
              <w:widowControl/>
              <w:ind w:firstLine="210" w:firstLineChars="100"/>
              <w:jc w:val="left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Hemoglobin/ g*L</w:t>
            </w:r>
            <w:r>
              <w:rPr>
                <w:color w:val="000000"/>
                <w:kern w:val="0"/>
                <w:szCs w:val="21"/>
                <w:vertAlign w:val="superscript"/>
                <w:lang w:bidi="ar"/>
              </w:rPr>
              <w:t>-1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-0.015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0.898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17" w:type="pct"/>
            <w:shd w:val="clear" w:color="auto" w:fill="auto"/>
            <w:noWrap/>
            <w:vAlign w:val="bottom"/>
          </w:tcPr>
          <w:p>
            <w:pPr>
              <w:widowControl/>
              <w:ind w:firstLine="210" w:firstLineChars="100"/>
              <w:jc w:val="left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Hematocrit/%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-0.001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0.993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17" w:type="pct"/>
            <w:shd w:val="clear" w:color="auto" w:fill="auto"/>
            <w:noWrap/>
            <w:vAlign w:val="bottom"/>
          </w:tcPr>
          <w:p>
            <w:pPr>
              <w:widowControl/>
              <w:ind w:firstLine="210" w:firstLineChars="100"/>
              <w:jc w:val="left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Mean erythrocyte volume/fL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0.036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0.762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17" w:type="pct"/>
            <w:shd w:val="clear" w:color="auto" w:fill="auto"/>
            <w:noWrap/>
            <w:vAlign w:val="bottom"/>
          </w:tcPr>
          <w:p>
            <w:pPr>
              <w:widowControl/>
              <w:ind w:firstLine="210" w:firstLineChars="100"/>
              <w:jc w:val="left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hemoglobin/pg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0.044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0.71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17" w:type="pct"/>
            <w:shd w:val="clear" w:color="auto" w:fill="auto"/>
            <w:noWrap/>
            <w:vAlign w:val="bottom"/>
          </w:tcPr>
          <w:p>
            <w:pPr>
              <w:widowControl/>
              <w:ind w:left="210" w:leftChars="100"/>
              <w:jc w:val="left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hemoglobin concentration / g*L</w:t>
            </w:r>
            <w:r>
              <w:rPr>
                <w:color w:val="000000"/>
                <w:kern w:val="0"/>
                <w:szCs w:val="21"/>
                <w:vertAlign w:val="superscript"/>
                <w:lang w:bidi="ar"/>
              </w:rPr>
              <w:t>-1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0.013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0.915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17" w:type="pct"/>
            <w:shd w:val="clear" w:color="auto" w:fill="auto"/>
            <w:noWrap/>
            <w:vAlign w:val="bottom"/>
          </w:tcPr>
          <w:p>
            <w:pPr>
              <w:widowControl/>
              <w:ind w:firstLine="210" w:firstLineChars="100"/>
              <w:jc w:val="left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Erythrocyte width-CV/%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0.19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0.104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17" w:type="pct"/>
            <w:shd w:val="clear" w:color="auto" w:fill="auto"/>
            <w:noWrap/>
            <w:vAlign w:val="bottom"/>
          </w:tcPr>
          <w:p>
            <w:pPr>
              <w:widowControl/>
              <w:ind w:firstLine="210" w:firstLineChars="100"/>
              <w:jc w:val="left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Erythrocyte width SD/fL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0.111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0.348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17" w:type="pct"/>
            <w:shd w:val="clear" w:color="auto" w:fill="auto"/>
            <w:noWrap/>
            <w:vAlign w:val="bottom"/>
          </w:tcPr>
          <w:p>
            <w:pPr>
              <w:widowControl/>
              <w:ind w:firstLine="210" w:firstLineChars="100"/>
              <w:jc w:val="left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Platelet count/10</w:t>
            </w:r>
            <w:r>
              <w:rPr>
                <w:szCs w:val="21"/>
                <w:vertAlign w:val="superscript"/>
              </w:rPr>
              <w:t>9</w:t>
            </w:r>
            <w:r>
              <w:rPr>
                <w:szCs w:val="21"/>
              </w:rPr>
              <w:t>*L</w:t>
            </w:r>
            <w:r>
              <w:rPr>
                <w:szCs w:val="21"/>
                <w:vertAlign w:val="superscript"/>
              </w:rPr>
              <w:t>-1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-0.296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  <w:lang w:bidi="ar"/>
              </w:rPr>
              <w:t>0.011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17" w:type="pct"/>
            <w:shd w:val="clear" w:color="auto" w:fill="auto"/>
            <w:noWrap/>
            <w:vAlign w:val="bottom"/>
          </w:tcPr>
          <w:p>
            <w:pPr>
              <w:widowControl/>
              <w:ind w:firstLine="210" w:firstLineChars="100"/>
              <w:jc w:val="left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Platelet distribution width/fL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0.061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0.61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17" w:type="pct"/>
            <w:shd w:val="clear" w:color="auto" w:fill="auto"/>
            <w:noWrap/>
            <w:vAlign w:val="bottom"/>
          </w:tcPr>
          <w:p>
            <w:pPr>
              <w:widowControl/>
              <w:ind w:firstLine="210" w:firstLineChars="100"/>
              <w:jc w:val="left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Mean platelet volume/fL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0.223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0.058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17" w:type="pct"/>
            <w:shd w:val="clear" w:color="auto" w:fill="auto"/>
            <w:noWrap/>
            <w:vAlign w:val="bottom"/>
          </w:tcPr>
          <w:p>
            <w:pPr>
              <w:widowControl/>
              <w:ind w:firstLine="210" w:firstLineChars="100"/>
              <w:jc w:val="left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Large platelet ratio/%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0.239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  <w:lang w:bidi="ar"/>
              </w:rPr>
              <w:t>0.042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17" w:type="pct"/>
            <w:shd w:val="clear" w:color="auto" w:fill="auto"/>
            <w:noWrap/>
            <w:vAlign w:val="bottom"/>
          </w:tcPr>
          <w:p>
            <w:pPr>
              <w:widowControl/>
              <w:ind w:firstLine="210" w:firstLineChars="100"/>
              <w:jc w:val="left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Platelet accumulation/%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-0.252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  <w:lang w:bidi="ar"/>
              </w:rPr>
              <w:t>0.031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17" w:type="pct"/>
            <w:shd w:val="clear" w:color="auto" w:fill="auto"/>
            <w:noWrap/>
            <w:vAlign w:val="bottom"/>
          </w:tcPr>
          <w:p>
            <w:pPr>
              <w:widowControl/>
              <w:ind w:firstLine="210" w:firstLineChars="100"/>
              <w:jc w:val="left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White cell count/10</w:t>
            </w:r>
            <w:r>
              <w:rPr>
                <w:szCs w:val="21"/>
                <w:vertAlign w:val="superscript"/>
              </w:rPr>
              <w:t>9</w:t>
            </w:r>
            <w:r>
              <w:rPr>
                <w:szCs w:val="21"/>
              </w:rPr>
              <w:t>*L</w:t>
            </w:r>
            <w:r>
              <w:rPr>
                <w:szCs w:val="21"/>
                <w:vertAlign w:val="superscript"/>
              </w:rPr>
              <w:t>-1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0.021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0.858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17" w:type="pct"/>
            <w:shd w:val="clear" w:color="auto" w:fill="auto"/>
            <w:noWrap/>
            <w:vAlign w:val="bottom"/>
          </w:tcPr>
          <w:p>
            <w:pPr>
              <w:widowControl/>
              <w:ind w:firstLine="210" w:firstLineChars="100"/>
              <w:jc w:val="left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Lymphocyte count/10</w:t>
            </w:r>
            <w:r>
              <w:rPr>
                <w:szCs w:val="21"/>
                <w:vertAlign w:val="superscript"/>
              </w:rPr>
              <w:t>9</w:t>
            </w:r>
            <w:r>
              <w:rPr>
                <w:szCs w:val="21"/>
              </w:rPr>
              <w:t>*L</w:t>
            </w:r>
            <w:r>
              <w:rPr>
                <w:szCs w:val="21"/>
                <w:vertAlign w:val="superscript"/>
              </w:rPr>
              <w:t>-1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0.098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0.408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17" w:type="pct"/>
            <w:shd w:val="clear" w:color="auto" w:fill="auto"/>
            <w:noWrap/>
            <w:vAlign w:val="bottom"/>
          </w:tcPr>
          <w:p>
            <w:pPr>
              <w:widowControl/>
              <w:ind w:firstLine="210" w:firstLineChars="100"/>
              <w:jc w:val="left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Monocyte count/10</w:t>
            </w:r>
            <w:r>
              <w:rPr>
                <w:szCs w:val="21"/>
                <w:vertAlign w:val="superscript"/>
              </w:rPr>
              <w:t>9</w:t>
            </w:r>
            <w:r>
              <w:rPr>
                <w:szCs w:val="21"/>
              </w:rPr>
              <w:t>*L</w:t>
            </w:r>
            <w:r>
              <w:rPr>
                <w:szCs w:val="21"/>
                <w:vertAlign w:val="superscript"/>
              </w:rPr>
              <w:t>-1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0.116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0.327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17" w:type="pct"/>
            <w:shd w:val="clear" w:color="auto" w:fill="auto"/>
            <w:noWrap/>
            <w:vAlign w:val="bottom"/>
          </w:tcPr>
          <w:p>
            <w:pPr>
              <w:widowControl/>
              <w:ind w:firstLine="210" w:firstLineChars="100"/>
              <w:jc w:val="left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Neutrophil count/10</w:t>
            </w:r>
            <w:r>
              <w:rPr>
                <w:szCs w:val="21"/>
                <w:vertAlign w:val="superscript"/>
              </w:rPr>
              <w:t>9</w:t>
            </w:r>
            <w:r>
              <w:rPr>
                <w:szCs w:val="21"/>
              </w:rPr>
              <w:t>*L</w:t>
            </w:r>
            <w:r>
              <w:rPr>
                <w:szCs w:val="21"/>
                <w:vertAlign w:val="superscript"/>
              </w:rPr>
              <w:t>-1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-0.029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0.803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17" w:type="pct"/>
            <w:shd w:val="clear" w:color="auto" w:fill="auto"/>
            <w:noWrap/>
            <w:vAlign w:val="bottom"/>
          </w:tcPr>
          <w:p>
            <w:pPr>
              <w:widowControl/>
              <w:ind w:left="210" w:leftChars="100"/>
              <w:jc w:val="left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Eosinophilic cell count/10</w:t>
            </w:r>
            <w:r>
              <w:rPr>
                <w:szCs w:val="21"/>
                <w:vertAlign w:val="superscript"/>
              </w:rPr>
              <w:t>9</w:t>
            </w:r>
            <w:r>
              <w:rPr>
                <w:szCs w:val="21"/>
              </w:rPr>
              <w:t>*L</w:t>
            </w:r>
            <w:r>
              <w:rPr>
                <w:szCs w:val="21"/>
                <w:vertAlign w:val="superscript"/>
              </w:rPr>
              <w:t>-1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-0.212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0.07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17" w:type="pct"/>
            <w:shd w:val="clear" w:color="auto" w:fill="auto"/>
            <w:noWrap/>
            <w:vAlign w:val="bottom"/>
          </w:tcPr>
          <w:p>
            <w:pPr>
              <w:widowControl/>
              <w:ind w:firstLine="210" w:firstLineChars="100"/>
              <w:jc w:val="left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Basophilic cell count/10</w:t>
            </w:r>
            <w:r>
              <w:rPr>
                <w:szCs w:val="21"/>
                <w:vertAlign w:val="superscript"/>
              </w:rPr>
              <w:t>9</w:t>
            </w:r>
            <w:r>
              <w:rPr>
                <w:szCs w:val="21"/>
              </w:rPr>
              <w:t>*L</w:t>
            </w:r>
            <w:r>
              <w:rPr>
                <w:szCs w:val="21"/>
                <w:vertAlign w:val="superscript"/>
              </w:rPr>
              <w:t>-1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0.089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0.45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17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  <w:rPr>
                <w:rStyle w:val="7"/>
                <w:lang w:bidi="ar"/>
              </w:rPr>
            </w:pPr>
            <w:r>
              <w:rPr>
                <w:rStyle w:val="7"/>
                <w:rFonts w:hint="eastAsia"/>
                <w:lang w:bidi="ar"/>
              </w:rPr>
              <w:t>Liver function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17" w:type="pct"/>
            <w:shd w:val="clear" w:color="auto" w:fill="auto"/>
            <w:noWrap/>
            <w:vAlign w:val="bottom"/>
          </w:tcPr>
          <w:p>
            <w:pPr>
              <w:widowControl/>
              <w:ind w:firstLine="210" w:firstLineChars="100"/>
              <w:jc w:val="left"/>
              <w:textAlignment w:val="bottom"/>
              <w:rPr>
                <w:color w:val="000000"/>
                <w:szCs w:val="21"/>
              </w:rPr>
            </w:pPr>
            <w:r>
              <w:rPr>
                <w:szCs w:val="21"/>
              </w:rPr>
              <w:t>AST/U*L</w:t>
            </w:r>
            <w:r>
              <w:rPr>
                <w:szCs w:val="21"/>
                <w:vertAlign w:val="superscript"/>
              </w:rPr>
              <w:t>-1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0.256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  <w:lang w:bidi="ar"/>
              </w:rPr>
              <w:t>0.03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17" w:type="pct"/>
            <w:shd w:val="clear" w:color="auto" w:fill="auto"/>
            <w:noWrap/>
            <w:vAlign w:val="bottom"/>
          </w:tcPr>
          <w:p>
            <w:pPr>
              <w:widowControl/>
              <w:ind w:firstLine="210" w:firstLineChars="100"/>
              <w:jc w:val="left"/>
              <w:textAlignment w:val="bottom"/>
              <w:rPr>
                <w:color w:val="000000"/>
                <w:szCs w:val="21"/>
              </w:rPr>
            </w:pPr>
            <w:r>
              <w:rPr>
                <w:szCs w:val="21"/>
              </w:rPr>
              <w:t>ALT/U*L</w:t>
            </w:r>
            <w:r>
              <w:rPr>
                <w:szCs w:val="21"/>
                <w:vertAlign w:val="superscript"/>
              </w:rPr>
              <w:t>-1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0.18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0.13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17" w:type="pct"/>
            <w:shd w:val="clear" w:color="auto" w:fill="auto"/>
            <w:noWrap/>
            <w:vAlign w:val="bottom"/>
          </w:tcPr>
          <w:p>
            <w:pPr>
              <w:widowControl/>
              <w:ind w:firstLine="210" w:firstLineChars="100"/>
              <w:jc w:val="left"/>
              <w:textAlignment w:val="bottom"/>
              <w:rPr>
                <w:color w:val="000000"/>
                <w:szCs w:val="21"/>
              </w:rPr>
            </w:pPr>
            <w:r>
              <w:rPr>
                <w:szCs w:val="21"/>
              </w:rPr>
              <w:t>AST/ALT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0.12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0.315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17" w:type="pct"/>
            <w:shd w:val="clear" w:color="auto" w:fill="auto"/>
            <w:noWrap/>
            <w:vAlign w:val="bottom"/>
          </w:tcPr>
          <w:p>
            <w:pPr>
              <w:widowControl/>
              <w:ind w:firstLine="210" w:firstLineChars="100"/>
              <w:jc w:val="left"/>
              <w:textAlignment w:val="bottom"/>
              <w:rPr>
                <w:color w:val="000000"/>
                <w:szCs w:val="21"/>
              </w:rPr>
            </w:pPr>
            <w:r>
              <w:rPr>
                <w:szCs w:val="21"/>
              </w:rPr>
              <w:t>Alkaline phosphatase/U*L</w:t>
            </w:r>
            <w:r>
              <w:rPr>
                <w:szCs w:val="21"/>
                <w:vertAlign w:val="superscript"/>
              </w:rPr>
              <w:t>-1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0.149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0.211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17" w:type="pct"/>
            <w:shd w:val="clear" w:color="auto" w:fill="auto"/>
            <w:noWrap/>
            <w:vAlign w:val="bottom"/>
          </w:tcPr>
          <w:p>
            <w:pPr>
              <w:widowControl/>
              <w:ind w:left="210" w:leftChars="100"/>
              <w:jc w:val="left"/>
              <w:textAlignment w:val="bottom"/>
              <w:rPr>
                <w:color w:val="000000"/>
                <w:szCs w:val="21"/>
              </w:rPr>
            </w:pPr>
            <w:r>
              <w:rPr>
                <w:szCs w:val="21"/>
              </w:rPr>
              <w:t>γ-</w:t>
            </w:r>
            <w:r>
              <w:rPr>
                <w:rFonts w:hint="eastAsia"/>
                <w:szCs w:val="21"/>
              </w:rPr>
              <w:t>glutamyl transpeptidase</w:t>
            </w:r>
            <w:r>
              <w:rPr>
                <w:szCs w:val="21"/>
              </w:rPr>
              <w:t xml:space="preserve"> /U*L</w:t>
            </w:r>
            <w:r>
              <w:rPr>
                <w:szCs w:val="21"/>
                <w:vertAlign w:val="superscript"/>
              </w:rPr>
              <w:t>-1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0.148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0.216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17" w:type="pct"/>
            <w:shd w:val="clear" w:color="auto" w:fill="auto"/>
            <w:noWrap/>
            <w:vAlign w:val="bottom"/>
          </w:tcPr>
          <w:p>
            <w:pPr>
              <w:widowControl/>
              <w:ind w:firstLine="210" w:firstLineChars="100"/>
              <w:jc w:val="left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TBIL</w:t>
            </w:r>
            <w:r>
              <w:rPr>
                <w:szCs w:val="21"/>
              </w:rPr>
              <w:t>/μmol *L</w:t>
            </w:r>
            <w:r>
              <w:rPr>
                <w:szCs w:val="21"/>
                <w:vertAlign w:val="superscript"/>
              </w:rPr>
              <w:t>-1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0.31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  <w:lang w:bidi="ar"/>
              </w:rPr>
              <w:t>0.009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17" w:type="pct"/>
            <w:shd w:val="clear" w:color="auto" w:fill="auto"/>
            <w:noWrap/>
            <w:vAlign w:val="bottom"/>
          </w:tcPr>
          <w:p>
            <w:pPr>
              <w:widowControl/>
              <w:ind w:firstLine="210" w:firstLineChars="100"/>
              <w:jc w:val="left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DBIL</w:t>
            </w:r>
            <w:r>
              <w:rPr>
                <w:szCs w:val="21"/>
              </w:rPr>
              <w:t>/μmol *L</w:t>
            </w:r>
            <w:r>
              <w:rPr>
                <w:szCs w:val="21"/>
                <w:vertAlign w:val="superscript"/>
              </w:rPr>
              <w:t>-1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0.306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  <w:lang w:bidi="ar"/>
              </w:rPr>
              <w:t>0.01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17" w:type="pct"/>
            <w:shd w:val="clear" w:color="auto" w:fill="auto"/>
            <w:noWrap/>
            <w:vAlign w:val="bottom"/>
          </w:tcPr>
          <w:p>
            <w:pPr>
              <w:widowControl/>
              <w:ind w:firstLine="210" w:firstLineChars="100"/>
              <w:jc w:val="left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IDBIL</w:t>
            </w:r>
            <w:r>
              <w:rPr>
                <w:szCs w:val="21"/>
              </w:rPr>
              <w:t>/μmol *L</w:t>
            </w:r>
            <w:r>
              <w:rPr>
                <w:szCs w:val="21"/>
                <w:vertAlign w:val="superscript"/>
              </w:rPr>
              <w:t>-1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0.374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17" w:type="pct"/>
            <w:shd w:val="clear" w:color="auto" w:fill="auto"/>
            <w:noWrap/>
            <w:vAlign w:val="bottom"/>
          </w:tcPr>
          <w:p>
            <w:pPr>
              <w:widowControl/>
              <w:ind w:firstLine="210" w:firstLineChars="100"/>
              <w:jc w:val="left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Total protein/g*L</w:t>
            </w:r>
            <w:r>
              <w:rPr>
                <w:color w:val="000000"/>
                <w:kern w:val="0"/>
                <w:szCs w:val="21"/>
                <w:vertAlign w:val="superscript"/>
                <w:lang w:bidi="ar"/>
              </w:rPr>
              <w:t>-1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0.072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0.547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17" w:type="pct"/>
            <w:shd w:val="clear" w:color="auto" w:fill="auto"/>
            <w:noWrap/>
            <w:vAlign w:val="bottom"/>
          </w:tcPr>
          <w:p>
            <w:pPr>
              <w:widowControl/>
              <w:ind w:firstLine="210" w:firstLineChars="100"/>
              <w:jc w:val="left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albumin /g*L</w:t>
            </w:r>
            <w:r>
              <w:rPr>
                <w:color w:val="000000"/>
                <w:kern w:val="0"/>
                <w:szCs w:val="21"/>
                <w:vertAlign w:val="superscript"/>
                <w:lang w:bidi="ar"/>
              </w:rPr>
              <w:t>-1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0.116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0.33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17" w:type="pct"/>
            <w:shd w:val="clear" w:color="auto" w:fill="auto"/>
            <w:noWrap/>
            <w:vAlign w:val="bottom"/>
          </w:tcPr>
          <w:p>
            <w:pPr>
              <w:widowControl/>
              <w:ind w:firstLine="210" w:firstLineChars="100"/>
              <w:jc w:val="left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globulin/g*L</w:t>
            </w:r>
            <w:r>
              <w:rPr>
                <w:color w:val="000000"/>
                <w:kern w:val="0"/>
                <w:szCs w:val="21"/>
                <w:vertAlign w:val="superscript"/>
                <w:lang w:bidi="ar"/>
              </w:rPr>
              <w:t>-1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0.018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0.879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17" w:type="pct"/>
            <w:shd w:val="clear" w:color="auto" w:fill="auto"/>
            <w:noWrap/>
            <w:vAlign w:val="bottom"/>
          </w:tcPr>
          <w:p>
            <w:pPr>
              <w:widowControl/>
              <w:ind w:firstLine="210" w:firstLineChars="100"/>
              <w:jc w:val="left"/>
              <w:textAlignment w:val="bottom"/>
              <w:rPr>
                <w:color w:val="000000"/>
                <w:szCs w:val="21"/>
              </w:rPr>
            </w:pPr>
            <w:r>
              <w:rPr>
                <w:szCs w:val="21"/>
              </w:rPr>
              <w:t>albumin-globulin ratio/%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0.022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0.865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17" w:type="pct"/>
            <w:shd w:val="clear" w:color="auto" w:fill="auto"/>
            <w:noWrap/>
            <w:vAlign w:val="bottom"/>
          </w:tcPr>
          <w:p>
            <w:pPr>
              <w:widowControl/>
              <w:ind w:firstLine="210" w:firstLineChars="100"/>
              <w:jc w:val="left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Total bile acids</w:t>
            </w:r>
            <w:r>
              <w:rPr>
                <w:szCs w:val="21"/>
              </w:rPr>
              <w:t>/μmol *L</w:t>
            </w:r>
            <w:r>
              <w:rPr>
                <w:szCs w:val="21"/>
                <w:vertAlign w:val="superscript"/>
              </w:rPr>
              <w:t>-1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0.18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0.242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44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17" w:type="pct"/>
            <w:shd w:val="clear" w:color="auto" w:fill="auto"/>
            <w:noWrap/>
            <w:vAlign w:val="bottom"/>
          </w:tcPr>
          <w:p>
            <w:pPr>
              <w:widowControl/>
              <w:ind w:firstLine="210" w:firstLineChars="100"/>
              <w:jc w:val="left"/>
              <w:textAlignment w:val="bottom"/>
              <w:rPr>
                <w:color w:val="000000"/>
                <w:szCs w:val="21"/>
              </w:rPr>
            </w:pPr>
            <w:r>
              <w:rPr>
                <w:rStyle w:val="5"/>
                <w:lang w:bidi="ar"/>
              </w:rPr>
              <w:t>Blood glucose</w:t>
            </w:r>
            <w:r>
              <w:rPr>
                <w:rStyle w:val="5"/>
                <w:rFonts w:hint="eastAsia"/>
                <w:lang w:bidi="ar"/>
              </w:rPr>
              <w:t>/m</w:t>
            </w:r>
            <w:r>
              <w:rPr>
                <w:szCs w:val="21"/>
              </w:rPr>
              <w:t>mol *L</w:t>
            </w:r>
            <w:r>
              <w:rPr>
                <w:szCs w:val="21"/>
                <w:vertAlign w:val="superscript"/>
              </w:rPr>
              <w:t>-1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-0.052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0.671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69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17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  <w:rPr>
                <w:rStyle w:val="5"/>
                <w:lang w:bidi="ar"/>
              </w:rPr>
            </w:pPr>
            <w:r>
              <w:rPr>
                <w:rStyle w:val="5"/>
                <w:rFonts w:hint="eastAsia"/>
                <w:lang w:bidi="ar"/>
              </w:rPr>
              <w:t>Tumor biomarkers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17" w:type="pct"/>
            <w:shd w:val="clear" w:color="auto" w:fill="auto"/>
            <w:noWrap/>
            <w:vAlign w:val="bottom"/>
          </w:tcPr>
          <w:p>
            <w:pPr>
              <w:widowControl/>
              <w:ind w:firstLine="210" w:firstLineChars="100"/>
              <w:jc w:val="left"/>
              <w:textAlignment w:val="bottom"/>
            </w:pPr>
            <w:r>
              <w:rPr>
                <w:color w:val="000000"/>
                <w:kern w:val="0"/>
              </w:rPr>
              <w:t>SCC/ ng*mL</w:t>
            </w:r>
            <w:r>
              <w:rPr>
                <w:color w:val="000000"/>
                <w:kern w:val="0"/>
                <w:vertAlign w:val="superscript"/>
              </w:rPr>
              <w:t>-1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-0.043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0.79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41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17" w:type="pct"/>
            <w:shd w:val="clear" w:color="auto" w:fill="auto"/>
            <w:noWrap/>
            <w:vAlign w:val="bottom"/>
          </w:tcPr>
          <w:p>
            <w:pPr>
              <w:widowControl/>
              <w:ind w:firstLine="210" w:firstLineChars="100"/>
              <w:jc w:val="left"/>
              <w:textAlignment w:val="bottom"/>
            </w:pPr>
            <w:r>
              <w:t>CEA</w:t>
            </w:r>
            <w:r>
              <w:rPr>
                <w:color w:val="000000"/>
                <w:kern w:val="0"/>
              </w:rPr>
              <w:t>/ ng*mL</w:t>
            </w:r>
            <w:r>
              <w:rPr>
                <w:color w:val="000000"/>
                <w:kern w:val="0"/>
                <w:vertAlign w:val="superscript"/>
              </w:rPr>
              <w:t>-1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0.173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0.187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60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17" w:type="pct"/>
            <w:shd w:val="clear" w:color="auto" w:fill="auto"/>
            <w:noWrap/>
            <w:vAlign w:val="bottom"/>
          </w:tcPr>
          <w:p>
            <w:pPr>
              <w:widowControl/>
              <w:ind w:firstLine="210" w:firstLineChars="100"/>
              <w:jc w:val="left"/>
              <w:textAlignment w:val="bottom"/>
            </w:pPr>
            <w:r>
              <w:rPr>
                <w:color w:val="000000"/>
                <w:kern w:val="0"/>
              </w:rPr>
              <w:t>AFP/ ng*mL</w:t>
            </w:r>
            <w:r>
              <w:rPr>
                <w:color w:val="000000"/>
                <w:kern w:val="0"/>
                <w:vertAlign w:val="superscript"/>
              </w:rPr>
              <w:t>-1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0.009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0.955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39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17" w:type="pct"/>
            <w:shd w:val="clear" w:color="auto" w:fill="auto"/>
            <w:noWrap/>
            <w:vAlign w:val="bottom"/>
          </w:tcPr>
          <w:p>
            <w:pPr>
              <w:widowControl/>
              <w:ind w:firstLine="210" w:firstLineChars="100"/>
              <w:jc w:val="left"/>
              <w:textAlignment w:val="bottom"/>
            </w:pPr>
            <w:r>
              <w:rPr>
                <w:color w:val="000000"/>
                <w:kern w:val="0"/>
              </w:rPr>
              <w:t>CA-125/U*mL</w:t>
            </w:r>
            <w:r>
              <w:rPr>
                <w:color w:val="000000"/>
                <w:kern w:val="0"/>
                <w:vertAlign w:val="superscript"/>
              </w:rPr>
              <w:t>-1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0.169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0.273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44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17" w:type="pct"/>
            <w:shd w:val="clear" w:color="auto" w:fill="auto"/>
            <w:noWrap/>
            <w:vAlign w:val="bottom"/>
          </w:tcPr>
          <w:p>
            <w:pPr>
              <w:widowControl/>
              <w:ind w:firstLine="210" w:firstLineChars="100"/>
              <w:jc w:val="left"/>
              <w:textAlignment w:val="bottom"/>
            </w:pPr>
            <w:r>
              <w:rPr>
                <w:color w:val="000000"/>
                <w:kern w:val="0"/>
              </w:rPr>
              <w:t>CA-199/U*mL</w:t>
            </w:r>
            <w:r>
              <w:rPr>
                <w:color w:val="000000"/>
                <w:kern w:val="0"/>
                <w:vertAlign w:val="superscript"/>
              </w:rPr>
              <w:t>-1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0.17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0.225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53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17" w:type="pct"/>
            <w:shd w:val="clear" w:color="auto" w:fill="auto"/>
            <w:noWrap/>
            <w:vAlign w:val="bottom"/>
          </w:tcPr>
          <w:p>
            <w:pPr>
              <w:widowControl/>
              <w:ind w:firstLine="210" w:firstLineChars="100"/>
              <w:jc w:val="left"/>
              <w:textAlignment w:val="bottom"/>
            </w:pPr>
            <w:r>
              <w:rPr>
                <w:color w:val="000000"/>
                <w:kern w:val="0"/>
              </w:rPr>
              <w:t>CA-724/U*mL</w:t>
            </w:r>
            <w:r>
              <w:rPr>
                <w:color w:val="000000"/>
                <w:kern w:val="0"/>
                <w:vertAlign w:val="superscript"/>
              </w:rPr>
              <w:t>-1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0.155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0.304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46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17" w:type="pct"/>
            <w:shd w:val="clear" w:color="auto" w:fill="auto"/>
            <w:noWrap/>
            <w:vAlign w:val="bottom"/>
          </w:tcPr>
          <w:p>
            <w:pPr>
              <w:widowControl/>
              <w:ind w:firstLine="210" w:firstLineChars="100"/>
              <w:jc w:val="left"/>
              <w:textAlignment w:val="bottom"/>
            </w:pPr>
            <w:r>
              <w:rPr>
                <w:color w:val="000000"/>
                <w:kern w:val="0"/>
              </w:rPr>
              <w:t>CYFRA-19/ ng*mL</w:t>
            </w:r>
            <w:r>
              <w:rPr>
                <w:color w:val="000000"/>
                <w:kern w:val="0"/>
                <w:vertAlign w:val="superscript"/>
              </w:rPr>
              <w:t>-1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0.288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0.61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43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17" w:type="pct"/>
            <w:shd w:val="clear" w:color="auto" w:fill="auto"/>
            <w:noWrap/>
            <w:vAlign w:val="bottom"/>
          </w:tcPr>
          <w:p>
            <w:pPr>
              <w:widowControl/>
              <w:ind w:firstLine="210" w:firstLineChars="100"/>
              <w:jc w:val="left"/>
              <w:textAlignment w:val="bottom"/>
            </w:pPr>
            <w:r>
              <w:rPr>
                <w:color w:val="000000"/>
                <w:kern w:val="0"/>
              </w:rPr>
              <w:t>NSE/ ng*mL</w:t>
            </w:r>
            <w:r>
              <w:rPr>
                <w:color w:val="000000"/>
                <w:kern w:val="0"/>
                <w:vertAlign w:val="superscript"/>
              </w:rPr>
              <w:t>-1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-0.088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0.584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41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17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  <w:rPr>
                <w:rStyle w:val="5"/>
                <w:lang w:bidi="ar"/>
              </w:rPr>
            </w:pPr>
            <w:r>
              <w:rPr>
                <w:szCs w:val="21"/>
              </w:rPr>
              <w:t>Inflammatory indices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17" w:type="pct"/>
            <w:shd w:val="clear" w:color="auto" w:fill="auto"/>
            <w:noWrap/>
            <w:vAlign w:val="bottom"/>
          </w:tcPr>
          <w:p>
            <w:pPr>
              <w:widowControl/>
              <w:ind w:firstLine="210" w:firstLineChars="100"/>
              <w:jc w:val="left"/>
              <w:textAlignment w:val="bottom"/>
            </w:pPr>
            <w:r>
              <w:t>CRP</w:t>
            </w:r>
            <w:r>
              <w:rPr>
                <w:color w:val="000000"/>
                <w:kern w:val="0"/>
              </w:rPr>
              <w:t>/ mg*L</w:t>
            </w:r>
            <w:r>
              <w:rPr>
                <w:color w:val="000000"/>
                <w:kern w:val="0"/>
                <w:vertAlign w:val="superscript"/>
              </w:rPr>
              <w:t>-1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-0.139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0.464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30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17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</w:pPr>
            <w:r>
              <w:t xml:space="preserve">  IL-6/pg*mL</w:t>
            </w:r>
            <w:r>
              <w:rPr>
                <w:vertAlign w:val="superscript"/>
              </w:rPr>
              <w:t>-1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0.202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0.303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28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17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</w:pPr>
            <w:r>
              <w:t xml:space="preserve">  IL-10/pg*mL</w:t>
            </w:r>
            <w:r>
              <w:rPr>
                <w:vertAlign w:val="superscript"/>
              </w:rPr>
              <w:t>-1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0.33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0.107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25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17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</w:pPr>
            <w:r>
              <w:t xml:space="preserve">  IL-17/pg*mL</w:t>
            </w:r>
            <w:r>
              <w:rPr>
                <w:vertAlign w:val="superscript"/>
              </w:rPr>
              <w:t>-1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0.228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0.283</w:t>
            </w:r>
          </w:p>
        </w:tc>
        <w:tc>
          <w:tcPr>
            <w:tcW w:w="79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24</w:t>
            </w:r>
          </w:p>
        </w:tc>
      </w:tr>
    </w:tbl>
    <w:p>
      <w:r>
        <w:rPr>
          <w:rFonts w:hint="eastAsia"/>
          <w:color w:val="000000"/>
          <w:kern w:val="0"/>
          <w:lang w:val="en-US" w:eastAsia="zh-CN"/>
        </w:rPr>
        <w:t xml:space="preserve">Abbreviations: </w:t>
      </w:r>
      <w:r>
        <w:rPr>
          <w:color w:val="000000"/>
          <w:kern w:val="0"/>
          <w:szCs w:val="21"/>
          <w:lang w:bidi="ar"/>
        </w:rPr>
        <w:t xml:space="preserve">CV, coefficients of variation; SD, standard deviation; </w:t>
      </w:r>
      <w:r>
        <w:rPr>
          <w:szCs w:val="21"/>
        </w:rPr>
        <w:t>AST, aspartate aminotransferase; ALT, alanine transaminase; TBIL, total bilirubin; DBIL, direct bilirubin; IDBIL, indirect bilirubin;</w:t>
      </w:r>
      <w:r>
        <w:rPr>
          <w:rFonts w:hint="eastAsia"/>
          <w:szCs w:val="21"/>
          <w:lang w:val="en-US" w:eastAsia="zh-CN"/>
        </w:rPr>
        <w:t xml:space="preserve"> </w:t>
      </w:r>
      <w:r>
        <w:rPr>
          <w:color w:val="000000"/>
          <w:kern w:val="0"/>
        </w:rPr>
        <w:t xml:space="preserve">CA, carbohydrate antigen; AFP, alpha-fetoprotein; CEA, carcinoembryonic antigen; SCC, squamous cell carcinoma antigen; NSE, </w:t>
      </w:r>
      <w:bookmarkStart w:id="0" w:name="_GoBack"/>
      <w:bookmarkEnd w:id="0"/>
      <w:r>
        <w:rPr>
          <w:color w:val="000000"/>
          <w:kern w:val="0"/>
        </w:rPr>
        <w:t xml:space="preserve">neuron-specific enolase; </w:t>
      </w:r>
      <w:r>
        <w:t xml:space="preserve">CRP, C-reactive protein; </w:t>
      </w:r>
      <w:r>
        <w:rPr>
          <w:color w:val="000000"/>
          <w:kern w:val="0"/>
        </w:rPr>
        <w:t xml:space="preserve">IL, </w:t>
      </w:r>
      <w:r>
        <w:rPr>
          <w:kern w:val="0"/>
        </w:rPr>
        <w:t xml:space="preserve">interleukin; </w:t>
      </w:r>
      <w:r>
        <w:rPr>
          <w:color w:val="000000"/>
          <w:kern w:val="0"/>
        </w:rPr>
        <w:t xml:space="preserve">CYFRA-19, </w:t>
      </w:r>
      <w:r>
        <w:rPr>
          <w:kern w:val="0"/>
        </w:rPr>
        <w:t>c</w:t>
      </w:r>
      <w:r>
        <w:rPr>
          <w:color w:val="000000"/>
          <w:kern w:val="0"/>
        </w:rPr>
        <w:t>ytokeratin fragment 19</w:t>
      </w:r>
      <w:r>
        <w:t>.</w:t>
      </w:r>
    </w:p>
    <w:p>
      <w:pPr>
        <w:rPr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MyNzQ4ZTc1MWRlNTViZTMxYWQyY2EyMDVhZmQyMTQifQ=="/>
  </w:docVars>
  <w:rsids>
    <w:rsidRoot w:val="00F437D0"/>
    <w:rsid w:val="0010407E"/>
    <w:rsid w:val="002B001C"/>
    <w:rsid w:val="00BF1E72"/>
    <w:rsid w:val="00CC30EF"/>
    <w:rsid w:val="00F437D0"/>
    <w:rsid w:val="150572EB"/>
    <w:rsid w:val="33AE55DD"/>
    <w:rsid w:val="35F628DD"/>
    <w:rsid w:val="37E42132"/>
    <w:rsid w:val="49385373"/>
    <w:rsid w:val="4C7255DF"/>
    <w:rsid w:val="51473C5A"/>
    <w:rsid w:val="51AF7672"/>
    <w:rsid w:val="6DBB15E5"/>
    <w:rsid w:val="78743041"/>
    <w:rsid w:val="79024F87"/>
    <w:rsid w:val="7B95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11"/>
    <w:basedOn w:val="4"/>
    <w:autoRedefine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6">
    <w:name w:val="font31"/>
    <w:basedOn w:val="4"/>
    <w:autoRedefine/>
    <w:qFormat/>
    <w:uiPriority w:val="0"/>
    <w:rPr>
      <w:rFonts w:hint="default" w:ascii="Times New Roman" w:hAnsi="Times New Roman" w:cs="Times New Roman"/>
      <w:i/>
      <w:iCs/>
      <w:color w:val="000000"/>
      <w:sz w:val="21"/>
      <w:szCs w:val="21"/>
      <w:u w:val="none"/>
    </w:rPr>
  </w:style>
  <w:style w:type="character" w:customStyle="1" w:styleId="7">
    <w:name w:val="font21"/>
    <w:basedOn w:val="4"/>
    <w:autoRedefine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284</Words>
  <Characters>1729</Characters>
  <Lines>235</Lines>
  <Paragraphs>240</Paragraphs>
  <TotalTime>0</TotalTime>
  <ScaleCrop>false</ScaleCrop>
  <LinksUpToDate>false</LinksUpToDate>
  <CharactersWithSpaces>1829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2023-06-20T02:30:00Z</dcterms:created>
  <dc:creator>Administrator</dc:creator>
  <cp:lastModifiedBy>沈聪</cp:lastModifiedBy>
  <dcterms:modified xsi:type="dcterms:W3CDTF">2024-01-24T10:23:59Z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3313D8682ACC4A1E8DA5093BF8B060EC_13</vt:lpwstr>
  </property>
  <property fmtid="{D5CDD505-2E9C-101B-9397-08002B2CF9AE}" pid="4" name="GrammarlyDocumentId">
    <vt:lpwstr>8353eface474f7f402620e4c56435aaf1ba885be5c3f5bf334a2edee89768daa</vt:lpwstr>
  </property>
</Properties>
</file>