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451E3" w14:textId="77777777" w:rsidR="001026C6" w:rsidRPr="00C44C0A" w:rsidRDefault="001026C6" w:rsidP="001026C6">
      <w:pPr>
        <w:spacing w:line="480" w:lineRule="auto"/>
        <w:rPr>
          <w:lang w:val="en-US"/>
        </w:rPr>
      </w:pPr>
      <w:r>
        <w:rPr>
          <w:b/>
          <w:bCs/>
          <w:lang w:val="en-US"/>
        </w:rPr>
        <w:t>Graph</w:t>
      </w:r>
      <w:r w:rsidRPr="00F85392">
        <w:rPr>
          <w:b/>
          <w:bCs/>
          <w:lang w:val="en-US"/>
        </w:rPr>
        <w:t xml:space="preserve"> 1: </w:t>
      </w:r>
      <w:r w:rsidRPr="00C44C0A">
        <w:rPr>
          <w:lang w:val="en-US"/>
        </w:rPr>
        <w:t>Comparative data on reoperations (%) in both Groups</w:t>
      </w:r>
    </w:p>
    <w:p w14:paraId="65066634" w14:textId="190BC021" w:rsidR="001026C6" w:rsidRDefault="001026C6" w:rsidP="001026C6">
      <w:pPr>
        <w:keepNext/>
        <w:spacing w:line="480" w:lineRule="auto"/>
        <w:jc w:val="both"/>
      </w:pPr>
      <w:r w:rsidRPr="003D67EF">
        <w:rPr>
          <w:lang w:val="en-US"/>
        </w:rPr>
        <w:t xml:space="preserve"> </w:t>
      </w:r>
      <w:r w:rsidRPr="00E21AE5">
        <w:rPr>
          <w:noProof/>
          <w:lang w:val="en-US"/>
        </w:rPr>
        <w:drawing>
          <wp:inline distT="0" distB="0" distL="0" distR="0" wp14:anchorId="14F0B45F" wp14:editId="152A765E">
            <wp:extent cx="5486400" cy="3200400"/>
            <wp:effectExtent l="0" t="0" r="0" b="0"/>
            <wp:docPr id="1198854994" name="Chart 1" descr="Immagine che contiene schermata&#10;&#10;Descrizione generat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418BB2BB" w14:textId="77777777" w:rsidR="001026C6" w:rsidRDefault="001026C6" w:rsidP="001026C6">
      <w:pPr>
        <w:pStyle w:val="Caption"/>
        <w:jc w:val="both"/>
        <w:rPr>
          <w:rFonts w:ascii="Times New Roman" w:hAnsi="Times New Roman"/>
          <w:i w:val="0"/>
          <w:iCs w:val="0"/>
          <w:color w:val="000000"/>
          <w:lang w:val="en-US"/>
        </w:rPr>
      </w:pPr>
      <w:r>
        <w:rPr>
          <w:rFonts w:ascii="Times New Roman" w:hAnsi="Times New Roman"/>
          <w:i w:val="0"/>
          <w:iCs w:val="0"/>
          <w:color w:val="000000"/>
          <w:lang w:val="en-US"/>
        </w:rPr>
        <w:t>ACHD: adult congenital heart disease</w:t>
      </w:r>
    </w:p>
    <w:p w14:paraId="3CF1B0D8" w14:textId="77777777" w:rsidR="001026C6" w:rsidRDefault="001026C6"/>
    <w:p w14:paraId="31696AF5" w14:textId="77777777" w:rsidR="001026C6" w:rsidRPr="00C44C0A" w:rsidRDefault="001026C6" w:rsidP="001026C6">
      <w:pPr>
        <w:spacing w:line="480" w:lineRule="auto"/>
        <w:jc w:val="both"/>
        <w:rPr>
          <w:lang w:val="en-US"/>
        </w:rPr>
      </w:pPr>
      <w:r>
        <w:rPr>
          <w:b/>
          <w:bCs/>
          <w:lang w:val="en-US"/>
        </w:rPr>
        <w:t>Graph</w:t>
      </w:r>
      <w:r w:rsidRPr="00F85392">
        <w:rPr>
          <w:b/>
          <w:bCs/>
          <w:lang w:val="en-US"/>
        </w:rPr>
        <w:t xml:space="preserve"> 2: </w:t>
      </w:r>
      <w:r w:rsidRPr="00C44C0A">
        <w:rPr>
          <w:lang w:val="en-US"/>
        </w:rPr>
        <w:t xml:space="preserve">Distribution of the population (%) in terms of risk, according to Euroscore II (panel A) and Euroscore II/PEACH score (panel B).  </w:t>
      </w:r>
    </w:p>
    <w:p w14:paraId="3439097A" w14:textId="5327871C" w:rsidR="001026C6" w:rsidRPr="00CA7805" w:rsidRDefault="001026C6" w:rsidP="001026C6">
      <w:pPr>
        <w:keepNext/>
      </w:pPr>
      <w:r w:rsidRPr="00E21AE5">
        <w:rPr>
          <w:noProof/>
          <w:sz w:val="32"/>
          <w:szCs w:val="32"/>
        </w:rPr>
        <w:lastRenderedPageBreak/>
        <w:drawing>
          <wp:inline distT="0" distB="0" distL="0" distR="0" wp14:anchorId="7C9105E9" wp14:editId="6CC81702">
            <wp:extent cx="6029325" cy="3533775"/>
            <wp:effectExtent l="0" t="0" r="0" b="0"/>
            <wp:docPr id="1111969810" name="Chart 3" descr="Immagine che contiene schermata, Rettangolo&#10;&#10;Descrizione generat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0B2D6A4F" w14:textId="77777777" w:rsidR="001026C6" w:rsidRDefault="001026C6" w:rsidP="001026C6">
      <w:pPr>
        <w:pStyle w:val="Caption"/>
        <w:rPr>
          <w:rFonts w:ascii="Times New Roman" w:hAnsi="Times New Roman"/>
          <w:color w:val="000000"/>
          <w:lang w:val="en-US"/>
        </w:rPr>
      </w:pPr>
      <w:r>
        <w:rPr>
          <w:rFonts w:ascii="Times New Roman" w:hAnsi="Times New Roman"/>
          <w:color w:val="000000"/>
          <w:lang w:val="en-US"/>
        </w:rPr>
        <w:t>Graph 2, Panel A: Distribution of the population (ACHD, non-ACHD) in terms of risk, according to Euroscore II. ACHD: adult congenital heart disease</w:t>
      </w:r>
    </w:p>
    <w:p w14:paraId="68541C22" w14:textId="77777777" w:rsidR="001026C6" w:rsidRPr="00CA7805" w:rsidRDefault="001026C6" w:rsidP="001026C6">
      <w:pPr>
        <w:rPr>
          <w:lang w:val="en-US"/>
        </w:rPr>
      </w:pPr>
    </w:p>
    <w:p w14:paraId="7DC83078" w14:textId="6ECB07A4" w:rsidR="001026C6" w:rsidRPr="00CA7805" w:rsidRDefault="001026C6" w:rsidP="001026C6">
      <w:pPr>
        <w:keepNext/>
      </w:pPr>
      <w:r w:rsidRPr="00E21AE5">
        <w:rPr>
          <w:noProof/>
          <w:lang w:val="en-US"/>
        </w:rPr>
        <w:drawing>
          <wp:inline distT="0" distB="0" distL="0" distR="0" wp14:anchorId="629CB8C6" wp14:editId="01F35330">
            <wp:extent cx="6029325" cy="3581400"/>
            <wp:effectExtent l="0" t="0" r="0" b="0"/>
            <wp:docPr id="1967303964" name="Chart 2" descr="Immagine che contiene schermata, design&#10;&#10;Descrizione generat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03F86FEC" w14:textId="77777777" w:rsidR="001026C6" w:rsidRDefault="001026C6" w:rsidP="001026C6">
      <w:pPr>
        <w:jc w:val="both"/>
        <w:rPr>
          <w:rFonts w:eastAsia="Calibri"/>
          <w:i/>
          <w:iCs/>
          <w:color w:val="000000"/>
          <w:sz w:val="18"/>
          <w:szCs w:val="18"/>
          <w:lang w:val="en-US" w:eastAsia="en-US"/>
        </w:rPr>
      </w:pPr>
      <w:r>
        <w:rPr>
          <w:rFonts w:eastAsia="Calibri"/>
          <w:i/>
          <w:iCs/>
          <w:color w:val="000000"/>
          <w:sz w:val="18"/>
          <w:szCs w:val="18"/>
          <w:lang w:val="en-US" w:eastAsia="en-US"/>
        </w:rPr>
        <w:t>Graph 2, Panel B: Distribution of the population (ACHD, non-ACHD) in terms of risk, according to Euroscore II/PEACH. ACHD: adult congenital heart disease</w:t>
      </w:r>
    </w:p>
    <w:p w14:paraId="63C9D973" w14:textId="77777777" w:rsidR="001026C6" w:rsidRDefault="001026C6"/>
    <w:sectPr w:rsidR="001026C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6C6"/>
    <w:rsid w:val="00102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076BC"/>
  <w15:chartTrackingRefBased/>
  <w15:docId w15:val="{88218AE4-F568-4DFC-B8FB-0E8FB1317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26C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it-IT" w:eastAsia="it-IT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1026C6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261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en-IN"/>
              <a:t>REDO operations in Group I (ACHD) vs Group II (Non-ACHD)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REDO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cat>
            <c:strRef>
              <c:f>Foglio1!$A$2:$A$3</c:f>
              <c:strCache>
                <c:ptCount val="2"/>
                <c:pt idx="0">
                  <c:v>ACHD</c:v>
                </c:pt>
                <c:pt idx="1">
                  <c:v>Non ACHD</c:v>
                </c:pt>
              </c:strCache>
            </c:strRef>
          </c:cat>
          <c:val>
            <c:numRef>
              <c:f>Foglio1!$B$2:$B$3</c:f>
              <c:numCache>
                <c:formatCode>General</c:formatCode>
                <c:ptCount val="2"/>
                <c:pt idx="0">
                  <c:v>36</c:v>
                </c:pt>
                <c:pt idx="1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875-4223-A34C-952291EA684D}"/>
            </c:ext>
          </c:extLst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Non REDO   (p-value &lt; 0.0001)</c:v>
                </c:pt>
              </c:strCache>
            </c:strRef>
          </c:tx>
          <c:spPr>
            <a:solidFill>
              <a:schemeClr val="accent6">
                <a:lumMod val="40000"/>
                <a:lumOff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Foglio1!$A$2:$A$3</c:f>
              <c:strCache>
                <c:ptCount val="2"/>
                <c:pt idx="0">
                  <c:v>ACHD</c:v>
                </c:pt>
                <c:pt idx="1">
                  <c:v>Non ACHD</c:v>
                </c:pt>
              </c:strCache>
            </c:strRef>
          </c:cat>
          <c:val>
            <c:numRef>
              <c:f>Foglio1!$C$2:$C$3</c:f>
              <c:numCache>
                <c:formatCode>General</c:formatCode>
                <c:ptCount val="2"/>
                <c:pt idx="0">
                  <c:v>64</c:v>
                </c:pt>
                <c:pt idx="1">
                  <c:v>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875-4223-A34C-952291EA684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946812800"/>
        <c:axId val="1"/>
      </c:barChart>
      <c:catAx>
        <c:axId val="9468128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33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1051" b="0" i="0" u="none" strike="noStrike" baseline="0">
                <a:ln>
                  <a:solidFill>
                    <a:srgbClr val="000000"/>
                  </a:solidFill>
                </a:ln>
                <a:noFill/>
                <a:latin typeface="Times New Roman"/>
                <a:ea typeface="Times New Roman"/>
                <a:cs typeface="Times New Roman"/>
              </a:defRPr>
            </a:pPr>
            <a:endParaRPr lang="en-US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ax val="100"/>
        </c:scaling>
        <c:delete val="0"/>
        <c:axPos val="l"/>
        <c:majorGridlines>
          <c:spPr>
            <a:ln w="9533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0" vert="horz"/>
          <a:lstStyle/>
          <a:p>
            <a:pPr>
              <a:defRPr sz="1051" b="0" i="0" u="none" strike="noStrike" baseline="0">
                <a:ln>
                  <a:solidFill>
                    <a:srgbClr val="000000"/>
                  </a:solidFill>
                </a:ln>
                <a:noFill/>
                <a:latin typeface="Times New Roman"/>
                <a:ea typeface="Times New Roman"/>
                <a:cs typeface="Times New Roman"/>
              </a:defRPr>
            </a:pPr>
            <a:endParaRPr lang="en-US"/>
          </a:p>
        </c:txPr>
        <c:crossAx val="946812800"/>
        <c:crosses val="autoZero"/>
        <c:crossBetween val="between"/>
      </c:valAx>
      <c:spPr>
        <a:noFill/>
        <a:ln w="25422">
          <a:noFill/>
        </a:ln>
      </c:spPr>
    </c:plotArea>
    <c:legend>
      <c:legendPos val="b"/>
      <c:layout>
        <c:manualLayout>
          <c:xMode val="edge"/>
          <c:yMode val="edge"/>
          <c:x val="0.3934794828555368"/>
          <c:y val="0.94625922023182296"/>
          <c:w val="0.16638560989319842"/>
          <c:h val="2.3182297154899896E-2"/>
        </c:manualLayout>
      </c:layout>
      <c:overlay val="0"/>
      <c:spPr>
        <a:noFill/>
        <a:ln>
          <a:noFill/>
        </a:ln>
        <a:effectLst/>
      </c:spPr>
      <c:txPr>
        <a:bodyPr/>
        <a:lstStyle/>
        <a:p>
          <a:pPr>
            <a:defRPr sz="966" b="0" i="0" u="none" strike="noStrike" baseline="0">
              <a:ln>
                <a:solidFill>
                  <a:srgbClr val="000000"/>
                </a:solidFill>
              </a:ln>
              <a:noFill/>
              <a:latin typeface="Times New Roman"/>
              <a:ea typeface="Times New Roman"/>
              <a:cs typeface="Times New Roman"/>
            </a:defRPr>
          </a:pPr>
          <a:endParaRPr lang="en-US"/>
        </a:p>
      </c:txPr>
    </c:legend>
    <c:plotVisOnly val="1"/>
    <c:dispBlanksAs val="gap"/>
    <c:showDLblsOverMax val="0"/>
  </c:chart>
  <c:spPr>
    <a:noFill/>
    <a:ln>
      <a:noFill/>
    </a:ln>
    <a:effectLst/>
  </c:spPr>
  <c:txPr>
    <a:bodyPr/>
    <a:lstStyle/>
    <a:p>
      <a:pPr>
        <a:defRPr sz="1051" b="0" i="0" u="none" strike="noStrike" baseline="0">
          <a:ln>
            <a:solidFill>
              <a:srgbClr val="000000"/>
            </a:solidFill>
          </a:ln>
          <a:noFill/>
          <a:latin typeface="Times New Roman"/>
          <a:ea typeface="Times New Roman"/>
          <a:cs typeface="Times New Roman"/>
        </a:defRPr>
      </a:pPr>
      <a:endParaRPr lang="en-US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ACHD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51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Foglio1!$A$2:$A$4</c:f>
              <c:strCache>
                <c:ptCount val="3"/>
                <c:pt idx="0">
                  <c:v>Low Risk</c:v>
                </c:pt>
                <c:pt idx="1">
                  <c:v>Medium Risk</c:v>
                </c:pt>
                <c:pt idx="2">
                  <c:v>High Risk</c:v>
                </c:pt>
              </c:strCache>
            </c:strRef>
          </c:cat>
          <c:val>
            <c:numRef>
              <c:f>Foglio1!$B$2:$B$4</c:f>
              <c:numCache>
                <c:formatCode>General</c:formatCode>
                <c:ptCount val="3"/>
                <c:pt idx="0">
                  <c:v>85</c:v>
                </c:pt>
                <c:pt idx="1">
                  <c:v>11</c:v>
                </c:pt>
                <c:pt idx="2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B89-4387-B5E4-AA153D9B2094}"/>
            </c:ext>
          </c:extLst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Non-ACHD</c:v>
                </c:pt>
              </c:strCache>
            </c:strRef>
          </c:tx>
          <c:spPr>
            <a:solidFill>
              <a:schemeClr val="accent6">
                <a:lumMod val="40000"/>
                <a:lumOff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51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Foglio1!$A$2:$A$4</c:f>
              <c:strCache>
                <c:ptCount val="3"/>
                <c:pt idx="0">
                  <c:v>Low Risk</c:v>
                </c:pt>
                <c:pt idx="1">
                  <c:v>Medium Risk</c:v>
                </c:pt>
                <c:pt idx="2">
                  <c:v>High Risk</c:v>
                </c:pt>
              </c:strCache>
            </c:strRef>
          </c:cat>
          <c:val>
            <c:numRef>
              <c:f>Foglio1!$C$2:$C$4</c:f>
              <c:numCache>
                <c:formatCode>General</c:formatCode>
                <c:ptCount val="3"/>
                <c:pt idx="0">
                  <c:v>72</c:v>
                </c:pt>
                <c:pt idx="1">
                  <c:v>17</c:v>
                </c:pt>
                <c:pt idx="2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B89-4387-B5E4-AA153D9B209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45678688"/>
        <c:axId val="1"/>
      </c:barChart>
      <c:catAx>
        <c:axId val="6456786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37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1051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en-US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ax val="100"/>
        </c:scaling>
        <c:delete val="0"/>
        <c:axPos val="l"/>
        <c:majorGridlines>
          <c:spPr>
            <a:ln w="9537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/>
              <a:lstStyle/>
              <a:p>
                <a:pPr>
                  <a:defRPr sz="1051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en-IN"/>
                  <a:t>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0" vert="horz"/>
          <a:lstStyle/>
          <a:p>
            <a:pPr>
              <a:defRPr sz="1051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en-US"/>
          </a:p>
        </c:txPr>
        <c:crossAx val="645678688"/>
        <c:crosses val="autoZero"/>
        <c:crossBetween val="between"/>
      </c:valAx>
      <c:spPr>
        <a:noFill/>
        <a:ln w="25432">
          <a:noFill/>
        </a:ln>
      </c:spPr>
    </c:plotArea>
    <c:legend>
      <c:legendPos val="r"/>
      <c:layout>
        <c:manualLayout>
          <c:xMode val="edge"/>
          <c:yMode val="edge"/>
          <c:x val="0.88925259138025092"/>
          <c:y val="0.49261083743842365"/>
          <c:w val="4.8554282596835786E-2"/>
          <c:h val="4.5320197044334973E-2"/>
        </c:manualLayout>
      </c:layout>
      <c:overlay val="0"/>
      <c:spPr>
        <a:noFill/>
        <a:ln>
          <a:noFill/>
        </a:ln>
        <a:effectLst/>
      </c:spPr>
      <c:txPr>
        <a:bodyPr/>
        <a:lstStyle/>
        <a:p>
          <a:pPr>
            <a:defRPr sz="966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en-US"/>
        </a:p>
      </c:txPr>
    </c:legend>
    <c:plotVisOnly val="1"/>
    <c:dispBlanksAs val="gap"/>
    <c:showDLblsOverMax val="0"/>
  </c:chart>
  <c:spPr>
    <a:noFill/>
    <a:ln>
      <a:noFill/>
    </a:ln>
    <a:effectLst/>
  </c:spPr>
  <c:txPr>
    <a:bodyPr/>
    <a:lstStyle/>
    <a:p>
      <a:pPr>
        <a:defRPr sz="1051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en-US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ACHD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51" b="0" i="0" u="none" strike="noStrike" baseline="0">
                    <a:solidFill>
                      <a:srgbClr val="333333"/>
                    </a:solidFill>
                    <a:latin typeface="Calibri"/>
                    <a:ea typeface="Calibri"/>
                    <a:cs typeface="Calibri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Foglio1!$A$2:$A$4</c:f>
              <c:strCache>
                <c:ptCount val="3"/>
                <c:pt idx="0">
                  <c:v>Low Risk</c:v>
                </c:pt>
                <c:pt idx="1">
                  <c:v>Medium Risk</c:v>
                </c:pt>
                <c:pt idx="2">
                  <c:v>High Risk</c:v>
                </c:pt>
              </c:strCache>
            </c:strRef>
          </c:cat>
          <c:val>
            <c:numRef>
              <c:f>Foglio1!$B$2:$B$4</c:f>
              <c:numCache>
                <c:formatCode>General</c:formatCode>
                <c:ptCount val="3"/>
                <c:pt idx="0">
                  <c:v>69</c:v>
                </c:pt>
                <c:pt idx="1">
                  <c:v>23</c:v>
                </c:pt>
                <c:pt idx="2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035-4D6A-8632-37282F0842EA}"/>
            </c:ext>
          </c:extLst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Non-ACHD</c:v>
                </c:pt>
              </c:strCache>
            </c:strRef>
          </c:tx>
          <c:spPr>
            <a:solidFill>
              <a:schemeClr val="accent6">
                <a:lumMod val="40000"/>
                <a:lumOff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51" b="0" i="0" u="none" strike="noStrike" baseline="0">
                    <a:solidFill>
                      <a:srgbClr val="333333"/>
                    </a:solidFill>
                    <a:latin typeface="Calibri"/>
                    <a:ea typeface="Calibri"/>
                    <a:cs typeface="Calibri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Foglio1!$A$2:$A$4</c:f>
              <c:strCache>
                <c:ptCount val="3"/>
                <c:pt idx="0">
                  <c:v>Low Risk</c:v>
                </c:pt>
                <c:pt idx="1">
                  <c:v>Medium Risk</c:v>
                </c:pt>
                <c:pt idx="2">
                  <c:v>High Risk</c:v>
                </c:pt>
              </c:strCache>
            </c:strRef>
          </c:cat>
          <c:val>
            <c:numRef>
              <c:f>Foglio1!$C$2:$C$4</c:f>
              <c:numCache>
                <c:formatCode>General</c:formatCode>
                <c:ptCount val="3"/>
                <c:pt idx="0">
                  <c:v>72</c:v>
                </c:pt>
                <c:pt idx="1">
                  <c:v>17</c:v>
                </c:pt>
                <c:pt idx="2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035-4D6A-8632-37282F0842E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45675328"/>
        <c:axId val="1"/>
      </c:barChart>
      <c:catAx>
        <c:axId val="645675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37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1051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en-US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ax val="100"/>
        </c:scaling>
        <c:delete val="0"/>
        <c:axPos val="l"/>
        <c:majorGridlines>
          <c:spPr>
            <a:ln w="9537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/>
              <a:lstStyle/>
              <a:p>
                <a:pPr>
                  <a:defRPr sz="1051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en-IN"/>
                  <a:t>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0" vert="horz"/>
          <a:lstStyle/>
          <a:p>
            <a:pPr>
              <a:defRPr sz="1051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en-US"/>
          </a:p>
        </c:txPr>
        <c:crossAx val="645675328"/>
        <c:crosses val="autoZero"/>
        <c:crossBetween val="between"/>
      </c:valAx>
      <c:spPr>
        <a:noFill/>
        <a:ln w="25432">
          <a:noFill/>
        </a:ln>
      </c:spPr>
    </c:plotArea>
    <c:legend>
      <c:legendPos val="r"/>
      <c:layout>
        <c:manualLayout>
          <c:xMode val="edge"/>
          <c:yMode val="edge"/>
          <c:x val="0.88870431893687707"/>
          <c:y val="0.48879837067209775"/>
          <c:w val="4.9280177187153933E-2"/>
          <c:h val="4.684317718940937E-2"/>
        </c:manualLayout>
      </c:layout>
      <c:overlay val="0"/>
      <c:spPr>
        <a:noFill/>
        <a:ln>
          <a:noFill/>
        </a:ln>
        <a:effectLst/>
      </c:spPr>
      <c:txPr>
        <a:bodyPr/>
        <a:lstStyle/>
        <a:p>
          <a:pPr>
            <a:defRPr sz="966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en-US"/>
        </a:p>
      </c:txPr>
    </c:legend>
    <c:plotVisOnly val="1"/>
    <c:dispBlanksAs val="gap"/>
    <c:showDLblsOverMax val="0"/>
  </c:chart>
  <c:spPr>
    <a:noFill/>
    <a:ln>
      <a:noFill/>
    </a:ln>
    <a:effectLst/>
  </c:spPr>
  <c:txPr>
    <a:bodyPr/>
    <a:lstStyle/>
    <a:p>
      <a:pPr>
        <a:defRPr sz="1051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en-US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82</Words>
  <Characters>468</Characters>
  <Application>Microsoft Office Word</Application>
  <DocSecurity>0</DocSecurity>
  <Lines>3</Lines>
  <Paragraphs>1</Paragraphs>
  <ScaleCrop>false</ScaleCrop>
  <Company>Springer Nature</Company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2024-02-06T20:12:00Z</dcterms:created>
  <dcterms:modified xsi:type="dcterms:W3CDTF">2024-02-06T20:13:00Z</dcterms:modified>
</cp:coreProperties>
</file>