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Times New Roman"/>
          <w:b/>
          <w:sz w:val="20"/>
          <w:szCs w:val="20"/>
          <w:lang w:eastAsia="en-GB"/>
        </w:rPr>
      </w:pPr>
      <w:r>
        <w:rPr>
          <w:rFonts w:eastAsia="Times New Roman"/>
          <w:b/>
          <w:sz w:val="20"/>
          <w:szCs w:val="20"/>
          <w:lang w:eastAsia="en-GB"/>
        </w:rPr>
        <w:t>STROBE-MR checklist of recommended items to address in reports of Mendelian randomization studies</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 W","non-dropping-particle":"","parse-names":false,"suffix":""},{"dropping-particle":"","family":"Richmond","given":"R C","non-dropping-particle":"","parse-names":false,"suffix":""},{"dropping-particle":"","family":"Woolf","given":"B A R","non-dropping-particle":"","parse-names":false,"suffix":""},{"dropping-particle":"","family":"Yarmolinsky","given":"J","non-dropping-particle":"","parse-names":false,"suffix":""},{"dropping-particle":"","family":"Davies","given":"N M","non-dropping-particle":"","parse-names":false,"suffix":""},{"dropping-particle":"","family":"Swanson","given":"S A","non-dropping-particle":"","parse-names":false,"suffix":""},{"dropping-particle":"","family":"VanderWeele","given":"T J","non-dropping-particle":"","parse-names":false,"suffix":""},{"dropping-particle":"","family":"Higgins","given":"J P H","non-dropping-particle":"","parse-names":false,"suffix":""},{"dropping-particle":"","family":"Timpson","given":"N J","non-dropping-particle":"","parse-names":false,"suffix":""},{"dropping-particle":"","family":"Dimou","given":"N","non-dropping-particle":"","parse-names":false,"suffix":""},{"dropping-particle":"","family":"Langenberg","given":"C","non-dropping-particle":"","parse-names":false,"suffix":""},{"dropping-particle":"","family":"Loder","given":"E W","non-dropping-particle":"","parse-names":false,"suffix":""},{"dropping-particle":"","family":"Golub","given":"R","non-dropping-particle":"","parse-names":false,"suffix":""},{"dropping-particle":"","family":"Gallo","given":"V","non-dropping-particle":"","parse-names":false,"suffix":""},{"dropping-particle":"","family":"Tybjaerg-Hansen","given":"A","non-dropping-particle":"","parse-names":false,"suffix":""},{"dropping-particle":"","family":"Davey Smith","given":"G","non-dropping-particle":"","parse-names":false,"suffix":""},{"dropping-particle":"","family":"Egger","given":"M","non-dropping-particle":"","parse-names":false,"suffix":""},{"dropping-particle":"","family":"Richards","given":"J B","non-dropping-particle":"","parse-names":false,"suffix":""}],"container-title":"JAMA","id":"ITEM-1","issued":{"date-parts":[["2021"]]},"page":"under review","title":"Strengthening the Reporting of Observational Studies in Epidemiology using Mendelian Randomization (STROBE-MR) Statement","type":"article-journal"},"uris":["http://www.mendeley.com/documents/?uuid=29dd9aa2-14fd-450b-83fb-4c6b74b75061"]}],"mendeley":{"formattedCitation":"&lt;sup&gt;1&lt;/sup&gt;","plainTextFormattedCitation":"1"},"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1</w:t>
      </w:r>
      <w:r>
        <w:rPr>
          <w:rFonts w:eastAsia="Times New Roman"/>
          <w:b/>
          <w:sz w:val="20"/>
          <w:szCs w:val="20"/>
          <w:lang w:eastAsia="en-GB"/>
        </w:rPr>
        <w:fldChar w:fldCharType="end"/>
      </w:r>
      <w:r>
        <w:rPr>
          <w:rFonts w:eastAsia="Times New Roman"/>
          <w:b/>
          <w:sz w:val="20"/>
          <w:szCs w:val="20"/>
          <w:lang w:eastAsia="en-GB"/>
        </w:rPr>
        <w:t xml:space="preserve"> </w:t>
      </w:r>
      <w:r>
        <w:rPr>
          <w:rFonts w:eastAsia="Times New Roman"/>
          <w:b/>
          <w:sz w:val="20"/>
          <w:szCs w:val="20"/>
          <w:lang w:eastAsia="en-GB"/>
        </w:rPr>
        <w:fldChar w:fldCharType="begin" w:fldLock="1"/>
      </w:r>
      <w:r>
        <w:rPr>
          <w:rFonts w:eastAsia="Times New Roman"/>
          <w:b/>
          <w:sz w:val="20"/>
          <w:szCs w:val="20"/>
          <w:lang w:eastAsia="en-GB"/>
        </w:rPr>
        <w:instrText xml:space="preserve">ADDIN CSL_CITATION {"citationItems":[{"id":"ITEM-1","itemData":{"author":[{"dropping-particle":"","family":"Skrivankova","given":"Veronika W","non-dropping-particle":"","parse-names":false,"suffix":""},{"dropping-particle":"","family":"Richmond","given":"Rebecca C","non-dropping-particle":"","parse-names":false,"suffix":""},{"dropping-particle":"","family":"Woolf","given":"Benjamin A R","non-dropping-particle":"","parse-names":false,"suffix":""},{"dropping-particle":"","family":"Davies","given":"Neil M","non-dropping-particle":"","parse-names":false,"suffix":""},{"dropping-particle":"","family":"Swanson","given":"Sonja A","non-dropping-particle":"","parse-names":false,"suffix":""},{"dropping-particle":"","family":"VanderWeele","given":"Tyler J","non-dropping-particle":"","parse-names":false,"suffix":""},{"dropping-particle":"","family":"Timpson","given":"Nicholas J","non-dropping-particle":"","parse-names":false,"suffix":""},{"dropping-particle":"","family":"Higgins","given":"Julian P T","non-dropping-particle":"","parse-names":false,"suffix":""},{"dropping-particle":"","family":"Dimou","given":"Niki","non-dropping-particle":"","parse-names":false,"suffix":""},{"dropping-particle":"","family":"Langenberg","given":"Claudia","non-dropping-particle":"","parse-names":false,"suffix":""},{"dropping-particle":"","family":"Loder","given":"Elizabeth W","non-dropping-particle":"","parse-names":false,"suffix":""},{"dropping-particle":"","family":"Golub","given":"Robert M","non-dropping-particle":"","parse-names":false,"suffix":""},{"dropping-particle":"","family":"Egger","given":"Mathias","non-dropping-particle":"","parse-names":false,"suffix":""},{"dropping-particle":"","family":"Davey Smith","given":"George","non-dropping-particle":"","parse-names":false,"suffix":""},{"dropping-particle":"","family":"Richards","given":"J Brent","non-dropping-particle":"","parse-names":false,"suffix":""}],"container-title":"BMJ","id":"ITEM-1","issued":{"date-parts":[["2021"]]},"title":"Strengthening the Reporting of Observational Studies in Epidemiology using Mendelian Randomisation (STROBE-MR): Explanation and Elaboration","type":"article-journal","volume":"375:n2233"},"uris":["http://www.mendeley.com/documents/?uuid=af64eb33-5308-4d72-bd7e-6fe0d8fe3570"]}],"mendeley":{"formattedCitation":"&lt;sup&gt;2&lt;/sup&gt;","plainTextFormattedCitation":"2","previouslyFormattedCitation":"&lt;sup&gt;1&lt;/sup&gt;"},"properties":{"noteIndex":0},"schema":"https://github.com/citation-style-language/schema/raw/master/csl-citation.json"}</w:instrText>
      </w:r>
      <w:r>
        <w:rPr>
          <w:rFonts w:eastAsia="Times New Roman"/>
          <w:b/>
          <w:sz w:val="20"/>
          <w:szCs w:val="20"/>
          <w:lang w:eastAsia="en-GB"/>
        </w:rPr>
        <w:fldChar w:fldCharType="separate"/>
      </w:r>
      <w:r>
        <w:rPr>
          <w:rFonts w:eastAsia="Times New Roman"/>
          <w:sz w:val="20"/>
          <w:szCs w:val="20"/>
          <w:vertAlign w:val="superscript"/>
          <w:lang w:eastAsia="en-GB"/>
        </w:rPr>
        <w:t>2</w:t>
      </w:r>
      <w:r>
        <w:rPr>
          <w:rFonts w:eastAsia="Times New Roman"/>
          <w:b/>
          <w:sz w:val="20"/>
          <w:szCs w:val="20"/>
          <w:lang w:eastAsia="en-GB"/>
        </w:rPr>
        <w:fldChar w:fldCharType="end"/>
      </w:r>
      <w:r>
        <w:rPr>
          <w:rFonts w:eastAsia="Times New Roman"/>
          <w:b/>
          <w:sz w:val="20"/>
          <w:szCs w:val="20"/>
          <w:lang w:eastAsia="en-GB"/>
        </w:rPr>
        <w:t> </w:t>
      </w:r>
    </w:p>
    <w:p>
      <w:pPr>
        <w:rPr>
          <w:rFonts w:eastAsia="Times New Roman"/>
          <w:b/>
          <w:sz w:val="20"/>
          <w:szCs w:val="20"/>
          <w:lang w:eastAsia="en-GB"/>
        </w:rPr>
      </w:pPr>
    </w:p>
    <w:tbl>
      <w:tblPr>
        <w:tblStyle w:val="3"/>
        <w:tblW w:w="13559" w:type="dxa"/>
        <w:tblInd w:w="0" w:type="dxa"/>
        <w:tblLayout w:type="autofit"/>
        <w:tblCellMar>
          <w:top w:w="0" w:type="dxa"/>
          <w:left w:w="108" w:type="dxa"/>
          <w:bottom w:w="0" w:type="dxa"/>
          <w:right w:w="108" w:type="dxa"/>
        </w:tblCellMar>
      </w:tblPr>
      <w:tblGrid>
        <w:gridCol w:w="782"/>
        <w:gridCol w:w="2429"/>
        <w:gridCol w:w="9388"/>
        <w:gridCol w:w="960"/>
      </w:tblGrid>
      <w:tr>
        <w:tblPrEx>
          <w:tblCellMar>
            <w:top w:w="0" w:type="dxa"/>
            <w:left w:w="108" w:type="dxa"/>
            <w:bottom w:w="0" w:type="dxa"/>
            <w:right w:w="108" w:type="dxa"/>
          </w:tblCellMar>
        </w:tblPrEx>
        <w:trPr>
          <w:trHeight w:val="720" w:hRule="atLeast"/>
        </w:trPr>
        <w:tc>
          <w:tcPr>
            <w:tcW w:w="782" w:type="dxa"/>
            <w:tcBorders>
              <w:top w:val="single" w:color="auto" w:sz="4" w:space="0"/>
              <w:bottom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b/>
                <w:bCs/>
                <w:sz w:val="18"/>
                <w:szCs w:val="18"/>
                <w:lang w:val="en-GB" w:eastAsia="en-US"/>
              </w:rPr>
            </w:pPr>
            <w:r>
              <w:rPr>
                <w:rFonts w:hint="default" w:eastAsia="Cambria"/>
                <w:b/>
                <w:bCs/>
                <w:sz w:val="18"/>
                <w:szCs w:val="18"/>
                <w:lang w:val="en-GB" w:eastAsia="en-US"/>
              </w:rPr>
              <w:t>Item No.</w:t>
            </w:r>
          </w:p>
        </w:tc>
        <w:tc>
          <w:tcPr>
            <w:tcW w:w="2429" w:type="dxa"/>
            <w:tcBorders>
              <w:top w:val="single" w:color="auto" w:sz="4" w:space="0"/>
              <w:bottom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b/>
                <w:bCs/>
                <w:sz w:val="18"/>
                <w:szCs w:val="18"/>
                <w:lang w:val="en-GB" w:eastAsia="en-US"/>
              </w:rPr>
            </w:pPr>
            <w:r>
              <w:rPr>
                <w:rFonts w:hint="default" w:eastAsia="Cambria"/>
                <w:b/>
                <w:bCs/>
                <w:sz w:val="18"/>
                <w:szCs w:val="18"/>
                <w:lang w:val="en-GB" w:eastAsia="en-US"/>
              </w:rPr>
              <w:t>Section</w:t>
            </w:r>
          </w:p>
        </w:tc>
        <w:tc>
          <w:tcPr>
            <w:tcW w:w="9388" w:type="dxa"/>
            <w:tcBorders>
              <w:top w:val="single" w:color="auto" w:sz="4" w:space="0"/>
              <w:bottom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b/>
                <w:bCs/>
                <w:sz w:val="18"/>
                <w:szCs w:val="18"/>
                <w:lang w:val="en-GB" w:eastAsia="en-US"/>
              </w:rPr>
            </w:pPr>
            <w:r>
              <w:rPr>
                <w:rFonts w:hint="default" w:eastAsia="Cambria"/>
                <w:b/>
                <w:bCs/>
                <w:sz w:val="18"/>
                <w:szCs w:val="18"/>
                <w:lang w:val="en-GB" w:eastAsia="en-US"/>
              </w:rPr>
              <w:t xml:space="preserve">Checklist item </w:t>
            </w:r>
          </w:p>
        </w:tc>
        <w:tc>
          <w:tcPr>
            <w:tcW w:w="960" w:type="dxa"/>
            <w:tcBorders>
              <w:top w:val="single" w:color="auto" w:sz="4" w:space="0"/>
              <w:bottom w:val="single" w:color="7F7F7F" w:sz="6" w:space="0"/>
            </w:tcBorders>
          </w:tcPr>
          <w:p>
            <w:pPr>
              <w:keepNext w:val="0"/>
              <w:keepLines w:val="0"/>
              <w:widowControl/>
              <w:suppressLineNumbers w:val="0"/>
              <w:spacing w:before="96" w:beforeLines="40" w:beforeAutospacing="0" w:after="96" w:afterLines="40" w:afterAutospacing="0" w:line="24" w:lineRule="atLeast"/>
              <w:ind w:left="0" w:right="0"/>
              <w:rPr>
                <w:rFonts w:hint="default" w:eastAsia="Cambria"/>
                <w:b/>
                <w:bCs/>
                <w:sz w:val="18"/>
                <w:szCs w:val="18"/>
                <w:lang w:val="en-GB" w:eastAsia="en-US"/>
              </w:rPr>
            </w:pPr>
            <w:r>
              <w:rPr>
                <w:rFonts w:hint="default" w:eastAsia="Cambria"/>
                <w:b/>
                <w:bCs/>
                <w:sz w:val="18"/>
                <w:szCs w:val="18"/>
                <w:lang w:val="en-GB" w:eastAsia="en-US"/>
              </w:rPr>
              <w:t>Page No.</w:t>
            </w:r>
          </w:p>
        </w:tc>
      </w:tr>
      <w:tr>
        <w:tblPrEx>
          <w:tblCellMar>
            <w:top w:w="0" w:type="dxa"/>
            <w:left w:w="108" w:type="dxa"/>
            <w:bottom w:w="0" w:type="dxa"/>
            <w:right w:w="108" w:type="dxa"/>
          </w:tblCellMar>
        </w:tblPrEx>
        <w:trPr>
          <w:trHeight w:val="726" w:hRule="atLeast"/>
        </w:trPr>
        <w:tc>
          <w:tcPr>
            <w:tcW w:w="782" w:type="dxa"/>
            <w:tcBorders>
              <w:top w:val="single" w:color="7F7F7F" w:sz="6" w:space="0"/>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w:t>
            </w:r>
          </w:p>
        </w:tc>
        <w:tc>
          <w:tcPr>
            <w:tcW w:w="2429" w:type="dxa"/>
            <w:tcBorders>
              <w:top w:val="single" w:color="7F7F7F" w:sz="6" w:space="0"/>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TITLE and ABSTRACT</w:t>
            </w:r>
          </w:p>
        </w:tc>
        <w:tc>
          <w:tcPr>
            <w:tcW w:w="9388" w:type="dxa"/>
            <w:tcBorders>
              <w:top w:val="single" w:color="7F7F7F" w:sz="6" w:space="0"/>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Indicate Mendelian randomization (MR) as the study’s design in the title and/or the abstract if that is a main purpose of the study</w:t>
            </w:r>
          </w:p>
        </w:tc>
        <w:tc>
          <w:tcPr>
            <w:tcW w:w="960" w:type="dxa"/>
            <w:tcBorders>
              <w:top w:val="single" w:color="7F7F7F" w:sz="6" w:space="0"/>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eastAsia" w:eastAsia="宋体"/>
                <w:sz w:val="18"/>
                <w:szCs w:val="18"/>
                <w:lang w:val="en-US" w:eastAsia="zh-CN"/>
              </w:rPr>
            </w:pPr>
            <w:r>
              <w:rPr>
                <w:rFonts w:hint="eastAsia" w:eastAsia="宋体"/>
                <w:sz w:val="18"/>
                <w:szCs w:val="18"/>
                <w:lang w:val="en-US" w:eastAsia="zh-CN"/>
              </w:rPr>
              <w:t>1</w:t>
            </w:r>
          </w:p>
        </w:tc>
      </w:tr>
      <w:tr>
        <w:tblPrEx>
          <w:tblCellMar>
            <w:top w:w="0" w:type="dxa"/>
            <w:left w:w="108" w:type="dxa"/>
            <w:bottom w:w="0" w:type="dxa"/>
            <w:right w:w="108" w:type="dxa"/>
          </w:tblCellMar>
        </w:tblPrEx>
        <w:trPr>
          <w:trHeight w:val="483" w:hRule="atLeast"/>
        </w:trPr>
        <w:tc>
          <w:tcPr>
            <w:tcW w:w="782"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p>
        </w:tc>
        <w:tc>
          <w:tcPr>
            <w:tcW w:w="2429"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INTRODUCTION</w:t>
            </w:r>
          </w:p>
        </w:tc>
        <w:tc>
          <w:tcPr>
            <w:tcW w:w="9388"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tcBorders>
              <w:top w:val="single" w:color="7F7F7F" w:sz="6" w:space="0"/>
            </w:tcBorders>
          </w:tcPr>
          <w:p>
            <w:pPr>
              <w:keepNext w:val="0"/>
              <w:keepLines w:val="0"/>
              <w:widowControl/>
              <w:suppressLineNumbers w:val="0"/>
              <w:spacing w:before="96" w:beforeLines="40" w:beforeAutospacing="0" w:after="96" w:afterLines="40" w:afterAutospacing="0" w:line="24" w:lineRule="atLeast"/>
              <w:ind w:left="0" w:right="0"/>
              <w:rPr>
                <w:rFonts w:hint="eastAsia" w:eastAsia="宋体"/>
                <w:sz w:val="18"/>
                <w:szCs w:val="18"/>
                <w:lang w:val="en-US" w:eastAsia="zh-CN"/>
              </w:rPr>
            </w:pPr>
            <w:r>
              <w:rPr>
                <w:rFonts w:hint="eastAsia" w:eastAsia="宋体"/>
                <w:sz w:val="18"/>
                <w:szCs w:val="18"/>
                <w:lang w:val="en-US" w:eastAsia="zh-CN"/>
              </w:rPr>
              <w:t>1</w:t>
            </w:r>
          </w:p>
        </w:tc>
      </w:tr>
      <w:tr>
        <w:tblPrEx>
          <w:tblCellMar>
            <w:top w:w="0" w:type="dxa"/>
            <w:left w:w="108" w:type="dxa"/>
            <w:bottom w:w="0" w:type="dxa"/>
            <w:right w:w="108" w:type="dxa"/>
          </w:tblCellMar>
        </w:tblPrEx>
        <w:trPr>
          <w:trHeight w:val="951"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2</w:t>
            </w: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bookmarkStart w:id="0" w:name="OLE_LINK1"/>
            <w:r>
              <w:rPr>
                <w:rFonts w:hint="default" w:eastAsia="Times New Roman"/>
                <w:b/>
                <w:bCs/>
                <w:sz w:val="18"/>
                <w:szCs w:val="18"/>
                <w:lang w:val="en-GB" w:eastAsia="en-GB"/>
              </w:rPr>
              <w:t>Background</w:t>
            </w:r>
            <w:bookmarkEnd w:id="0"/>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Explain the scientific background and rationale for the reported study. What is the exposure? Is a potential causal relationship between exposure and outcome plausible? Justify why MR is a helpful method to address the study question</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2</w:t>
            </w:r>
          </w:p>
        </w:tc>
      </w:tr>
      <w:tr>
        <w:tblPrEx>
          <w:tblCellMar>
            <w:top w:w="0" w:type="dxa"/>
            <w:left w:w="108" w:type="dxa"/>
            <w:bottom w:w="0" w:type="dxa"/>
            <w:right w:w="108" w:type="dxa"/>
          </w:tblCellMar>
        </w:tblPrEx>
        <w:trPr>
          <w:trHeight w:val="951" w:hRule="atLeast"/>
        </w:trPr>
        <w:tc>
          <w:tcPr>
            <w:tcW w:w="782" w:type="dxa"/>
            <w:tcBorders>
              <w:bottom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3</w:t>
            </w:r>
          </w:p>
        </w:tc>
        <w:tc>
          <w:tcPr>
            <w:tcW w:w="2429" w:type="dxa"/>
            <w:tcBorders>
              <w:bottom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b/>
                <w:bCs/>
                <w:sz w:val="18"/>
                <w:szCs w:val="18"/>
                <w:lang w:val="en-GB" w:eastAsia="en-GB"/>
              </w:rPr>
              <w:t>Objectives</w:t>
            </w:r>
          </w:p>
        </w:tc>
        <w:tc>
          <w:tcPr>
            <w:tcW w:w="9388" w:type="dxa"/>
            <w:tcBorders>
              <w:bottom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State specific objectives clearly, including pre-specified causal hypotheses (if any). State that MR is a method that, under specific assumptions, intends to estimate causal effects</w:t>
            </w:r>
          </w:p>
        </w:tc>
        <w:tc>
          <w:tcPr>
            <w:tcW w:w="960" w:type="dxa"/>
            <w:tcBorders>
              <w:bottom w:val="single" w:color="7F7F7F" w:sz="6" w:space="0"/>
            </w:tcBorders>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2</w:t>
            </w:r>
          </w:p>
        </w:tc>
      </w:tr>
      <w:tr>
        <w:tblPrEx>
          <w:tblCellMar>
            <w:top w:w="0" w:type="dxa"/>
            <w:left w:w="108" w:type="dxa"/>
            <w:bottom w:w="0" w:type="dxa"/>
            <w:right w:w="108" w:type="dxa"/>
          </w:tblCellMar>
        </w:tblPrEx>
        <w:trPr>
          <w:trHeight w:val="483" w:hRule="atLeast"/>
        </w:trPr>
        <w:tc>
          <w:tcPr>
            <w:tcW w:w="782" w:type="dxa"/>
            <w:tcBorders>
              <w:top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p>
        </w:tc>
        <w:tc>
          <w:tcPr>
            <w:tcW w:w="2429" w:type="dxa"/>
            <w:tcBorders>
              <w:top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b/>
                <w:bCs/>
                <w:sz w:val="18"/>
                <w:szCs w:val="18"/>
                <w:lang w:val="en-GB" w:eastAsia="en-GB"/>
              </w:rPr>
              <w:t>METHODS</w:t>
            </w:r>
          </w:p>
        </w:tc>
        <w:tc>
          <w:tcPr>
            <w:tcW w:w="9388" w:type="dxa"/>
            <w:tcBorders>
              <w:top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tcBorders>
              <w:top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r>
      <w:tr>
        <w:tblPrEx>
          <w:tblCellMar>
            <w:top w:w="0" w:type="dxa"/>
            <w:left w:w="108" w:type="dxa"/>
            <w:bottom w:w="0" w:type="dxa"/>
            <w:right w:w="108" w:type="dxa"/>
          </w:tblCellMar>
        </w:tblPrEx>
        <w:trPr>
          <w:trHeight w:val="951"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4</w:t>
            </w: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Study design and data sources</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Present key elements of the study design early in the article. Consider including a table listing sources of data for all phases of the study. For each data source contributing to the analysis, describe the following: </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3</w:t>
            </w:r>
          </w:p>
        </w:tc>
      </w:tr>
      <w:tr>
        <w:tblPrEx>
          <w:tblCellMar>
            <w:top w:w="0" w:type="dxa"/>
            <w:left w:w="108" w:type="dxa"/>
            <w:bottom w:w="0" w:type="dxa"/>
            <w:right w:w="108" w:type="dxa"/>
          </w:tblCellMar>
        </w:tblPrEx>
        <w:trPr>
          <w:trHeight w:val="951"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a)</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shd w:val="clear" w:color="auto" w:fill="FFFFFF"/>
                <w:lang w:val="en-GB" w:eastAsia="en-GB"/>
              </w:rPr>
              <w:t xml:space="preserve">Setting: </w:t>
            </w:r>
            <w:r>
              <w:rPr>
                <w:rFonts w:hint="default" w:eastAsia="Times New Roman"/>
                <w:sz w:val="18"/>
                <w:szCs w:val="18"/>
                <w:lang w:val="en-GB" w:eastAsia="en-GB"/>
              </w:rPr>
              <w:t xml:space="preserve">Describe the study design and the underlying population, if possible. </w:t>
            </w:r>
            <w:r>
              <w:rPr>
                <w:rFonts w:hint="default" w:eastAsia="Times New Roman"/>
                <w:sz w:val="18"/>
                <w:szCs w:val="18"/>
                <w:shd w:val="clear" w:color="auto" w:fill="FFFFFF"/>
                <w:lang w:val="en-GB" w:eastAsia="en-GB"/>
              </w:rPr>
              <w:t xml:space="preserve">Describe the setting, locations, and relevant dates, including periods </w:t>
            </w:r>
            <w:r>
              <w:rPr>
                <w:rFonts w:hint="default" w:eastAsia="Times New Roman"/>
                <w:color w:val="000000"/>
                <w:sz w:val="18"/>
                <w:szCs w:val="18"/>
                <w:shd w:val="clear" w:color="auto" w:fill="FFFFFF"/>
                <w:lang w:val="en-GB" w:eastAsia="en-GB"/>
              </w:rPr>
              <w:t>of recruitment, exposure, follow-up, and data collection, when available.</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3</w:t>
            </w:r>
          </w:p>
        </w:tc>
      </w:tr>
      <w:tr>
        <w:tblPrEx>
          <w:tblCellMar>
            <w:top w:w="0" w:type="dxa"/>
            <w:left w:w="108" w:type="dxa"/>
            <w:bottom w:w="0" w:type="dxa"/>
            <w:right w:w="108" w:type="dxa"/>
          </w:tblCellMar>
        </w:tblPrEx>
        <w:trPr>
          <w:trHeight w:val="951"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b)</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textAlignment w:val="baseline"/>
              <w:rPr>
                <w:rFonts w:hint="default" w:eastAsia="Cambria"/>
                <w:sz w:val="18"/>
                <w:szCs w:val="18"/>
                <w:lang w:val="en-GB" w:eastAsia="en-US"/>
              </w:rPr>
            </w:pPr>
            <w:r>
              <w:rPr>
                <w:rFonts w:hint="default" w:eastAsia="Times New Roman"/>
                <w:sz w:val="18"/>
                <w:szCs w:val="18"/>
                <w:shd w:val="clear" w:color="auto" w:fill="FFFFFF"/>
                <w:lang w:val="en-GB" w:eastAsia="en-GB"/>
              </w:rPr>
              <w:t xml:space="preserve">Participants: Give the eligibility criteria, and the sources and methods of selection of participants. </w:t>
            </w:r>
            <w:r>
              <w:rPr>
                <w:rFonts w:hint="default" w:eastAsia="Times New Roman"/>
                <w:color w:val="000000"/>
                <w:sz w:val="18"/>
                <w:szCs w:val="18"/>
              </w:rPr>
              <w:t>Report the sample size, and whether any power or sample size calculations were carried out prior to the main analysis</w:t>
            </w:r>
            <w:r>
              <w:rPr>
                <w:rFonts w:hint="default" w:eastAsia="Times New Roman"/>
                <w:sz w:val="18"/>
                <w:szCs w:val="18"/>
                <w:lang w:val="en-GB" w:eastAsia="en-GB"/>
              </w:rPr>
              <w:t> </w:t>
            </w:r>
          </w:p>
        </w:tc>
        <w:tc>
          <w:tcPr>
            <w:tcW w:w="960" w:type="dxa"/>
          </w:tcPr>
          <w:p>
            <w:pPr>
              <w:keepNext w:val="0"/>
              <w:keepLines w:val="0"/>
              <w:widowControl/>
              <w:suppressLineNumbers w:val="0"/>
              <w:spacing w:before="96" w:beforeLines="40" w:beforeAutospacing="0" w:after="96" w:afterLines="40" w:afterAutospacing="0" w:line="24" w:lineRule="atLeast"/>
              <w:ind w:left="0" w:right="0"/>
              <w:textAlignment w:val="baseline"/>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3</w:t>
            </w:r>
          </w:p>
        </w:tc>
      </w:tr>
      <w:tr>
        <w:tblPrEx>
          <w:tblCellMar>
            <w:top w:w="0" w:type="dxa"/>
            <w:left w:w="108" w:type="dxa"/>
            <w:bottom w:w="0" w:type="dxa"/>
            <w:right w:w="108" w:type="dxa"/>
          </w:tblCellMar>
        </w:tblPrEx>
        <w:trPr>
          <w:trHeight w:val="466"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c)</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Describe measurement, quality control and selection of genetic variants</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3-4</w:t>
            </w:r>
          </w:p>
        </w:tc>
      </w:tr>
      <w:tr>
        <w:tblPrEx>
          <w:tblCellMar>
            <w:top w:w="0" w:type="dxa"/>
            <w:left w:w="108" w:type="dxa"/>
            <w:bottom w:w="0" w:type="dxa"/>
            <w:right w:w="108" w:type="dxa"/>
          </w:tblCellMar>
        </w:tblPrEx>
        <w:trPr>
          <w:trHeight w:val="708"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d)</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textAlignment w:val="baseline"/>
              <w:rPr>
                <w:rFonts w:hint="default" w:eastAsia="Cambria"/>
                <w:sz w:val="18"/>
                <w:szCs w:val="18"/>
                <w:lang w:val="en-GB" w:eastAsia="en-US"/>
              </w:rPr>
            </w:pPr>
            <w:r>
              <w:rPr>
                <w:rFonts w:hint="default" w:eastAsia="Times New Roman"/>
                <w:sz w:val="18"/>
                <w:szCs w:val="18"/>
                <w:shd w:val="clear" w:color="auto" w:fill="FFFFFF"/>
                <w:lang w:val="en-GB" w:eastAsia="en-GB"/>
              </w:rPr>
              <w:t>For each exposure, outcome, and other relevant variables, describe methods of assessment and diagnostic criteria for diseases</w:t>
            </w:r>
          </w:p>
        </w:tc>
        <w:tc>
          <w:tcPr>
            <w:tcW w:w="960" w:type="dxa"/>
          </w:tcPr>
          <w:p>
            <w:pPr>
              <w:keepNext w:val="0"/>
              <w:keepLines w:val="0"/>
              <w:widowControl/>
              <w:suppressLineNumbers w:val="0"/>
              <w:spacing w:before="96" w:beforeLines="40" w:beforeAutospacing="0" w:after="96" w:afterLines="40" w:afterAutospacing="0" w:line="24" w:lineRule="atLeast"/>
              <w:ind w:left="0" w:right="0"/>
              <w:textAlignment w:val="baseline"/>
              <w:rPr>
                <w:rFonts w:hint="default" w:eastAsia="宋体"/>
                <w:sz w:val="18"/>
                <w:szCs w:val="18"/>
                <w:shd w:val="clear" w:color="auto" w:fill="FFFFFF"/>
                <w:lang w:val="en-US" w:eastAsia="zh-CN"/>
              </w:rPr>
            </w:pPr>
            <w:r>
              <w:rPr>
                <w:rFonts w:hint="eastAsia" w:eastAsia="宋体"/>
                <w:sz w:val="18"/>
                <w:szCs w:val="18"/>
                <w:shd w:val="clear" w:color="auto" w:fill="FFFFFF"/>
                <w:lang w:val="en-US" w:eastAsia="zh-CN"/>
              </w:rPr>
              <w:t>3-4</w:t>
            </w:r>
          </w:p>
        </w:tc>
      </w:tr>
      <w:tr>
        <w:tblPrEx>
          <w:tblCellMar>
            <w:top w:w="0" w:type="dxa"/>
            <w:left w:w="108" w:type="dxa"/>
            <w:bottom w:w="0" w:type="dxa"/>
            <w:right w:w="108" w:type="dxa"/>
          </w:tblCellMar>
        </w:tblPrEx>
        <w:trPr>
          <w:trHeight w:val="708"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e)</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textAlignment w:val="baseline"/>
              <w:rPr>
                <w:rFonts w:hint="default" w:eastAsia="Cambria"/>
                <w:sz w:val="18"/>
                <w:szCs w:val="18"/>
                <w:lang w:val="en-GB" w:eastAsia="en-US"/>
              </w:rPr>
            </w:pPr>
            <w:r>
              <w:rPr>
                <w:rFonts w:hint="default" w:eastAsia="Times New Roman"/>
                <w:sz w:val="18"/>
                <w:szCs w:val="18"/>
                <w:shd w:val="clear" w:color="auto" w:fill="FFFFFF"/>
                <w:lang w:val="en-GB" w:eastAsia="en-GB"/>
              </w:rPr>
              <w:t>Provide details of ethics committee approval and participant informed consent, if relevant</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textAlignment w:val="baseline"/>
              <w:rPr>
                <w:rFonts w:hint="eastAsia" w:eastAsia="宋体"/>
                <w:sz w:val="18"/>
                <w:szCs w:val="18"/>
                <w:shd w:val="clear" w:color="auto" w:fill="FFFFFF"/>
                <w:lang w:val="en-US" w:eastAsia="zh-CN"/>
              </w:rPr>
            </w:pPr>
            <w:r>
              <w:rPr>
                <w:rFonts w:hint="eastAsia" w:eastAsia="宋体"/>
                <w:sz w:val="18"/>
                <w:szCs w:val="18"/>
                <w:shd w:val="clear" w:color="auto" w:fill="FFFFFF"/>
                <w:lang w:val="en-US" w:eastAsia="zh-CN"/>
              </w:rPr>
              <w:t>3</w:t>
            </w:r>
          </w:p>
        </w:tc>
      </w:tr>
      <w:tr>
        <w:tblPrEx>
          <w:tblCellMar>
            <w:top w:w="0" w:type="dxa"/>
            <w:left w:w="108" w:type="dxa"/>
            <w:bottom w:w="0" w:type="dxa"/>
            <w:right w:w="108" w:type="dxa"/>
          </w:tblCellMar>
        </w:tblPrEx>
        <w:trPr>
          <w:trHeight w:val="951"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5</w:t>
            </w: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Assumptions</w:t>
            </w:r>
          </w:p>
          <w:p>
            <w:pPr>
              <w:keepNext w:val="0"/>
              <w:keepLines w:val="0"/>
              <w:widowControl/>
              <w:suppressLineNumbers w:val="0"/>
              <w:spacing w:before="96" w:beforeLines="40" w:beforeAutospacing="0" w:after="96" w:afterLines="40" w:afterAutospacing="0" w:line="24" w:lineRule="atLeast"/>
              <w:ind w:left="0" w:right="0"/>
              <w:jc w:val="center"/>
              <w:rPr>
                <w:rFonts w:hint="default" w:eastAsia="Cambria"/>
                <w:sz w:val="18"/>
                <w:szCs w:val="18"/>
                <w:lang w:val="en-GB" w:eastAsia="en-US"/>
              </w:rPr>
            </w:pP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Explicitly state the three core IV assumptions for the main analysis (relevance, independence and exclusion restriction) as well assumptions for any additional or sensitivity analysis</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eastAsia" w:eastAsia="宋体"/>
                <w:sz w:val="18"/>
                <w:szCs w:val="18"/>
                <w:lang w:val="en-US" w:eastAsia="zh-CN"/>
              </w:rPr>
            </w:pPr>
            <w:r>
              <w:rPr>
                <w:rFonts w:hint="eastAsia" w:eastAsia="宋体"/>
                <w:sz w:val="18"/>
                <w:szCs w:val="18"/>
                <w:lang w:val="en-US" w:eastAsia="zh-CN"/>
              </w:rPr>
              <w:t>3</w:t>
            </w:r>
          </w:p>
        </w:tc>
      </w:tr>
      <w:tr>
        <w:tblPrEx>
          <w:tblCellMar>
            <w:top w:w="0" w:type="dxa"/>
            <w:left w:w="108" w:type="dxa"/>
            <w:bottom w:w="0" w:type="dxa"/>
            <w:right w:w="108" w:type="dxa"/>
          </w:tblCellMar>
        </w:tblPrEx>
        <w:trPr>
          <w:trHeight w:val="951"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6</w:t>
            </w: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b/>
                <w:bCs/>
                <w:sz w:val="18"/>
                <w:szCs w:val="18"/>
                <w:lang w:val="en-GB" w:eastAsia="en-GB"/>
              </w:rPr>
              <w:t>Statistical methods: main analysis</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Describe statistical methods and statistics used</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eastAsia" w:eastAsia="宋体"/>
                <w:sz w:val="18"/>
                <w:szCs w:val="18"/>
                <w:lang w:val="en-US" w:eastAsia="zh-CN"/>
              </w:rPr>
            </w:pPr>
            <w:r>
              <w:rPr>
                <w:rFonts w:hint="eastAsia" w:eastAsia="宋体"/>
                <w:sz w:val="18"/>
                <w:szCs w:val="18"/>
                <w:lang w:val="en-US" w:eastAsia="zh-CN"/>
              </w:rPr>
              <w:t>4</w:t>
            </w:r>
          </w:p>
        </w:tc>
      </w:tr>
      <w:tr>
        <w:tblPrEx>
          <w:tblCellMar>
            <w:top w:w="0" w:type="dxa"/>
            <w:left w:w="108" w:type="dxa"/>
            <w:bottom w:w="0" w:type="dxa"/>
            <w:right w:w="108" w:type="dxa"/>
          </w:tblCellMar>
        </w:tblPrEx>
        <w:trPr>
          <w:trHeight w:val="708"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a)</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Describe how quantitative variables were handled in the analyses (i.e., scale, units, model)</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4</w:t>
            </w:r>
          </w:p>
        </w:tc>
      </w:tr>
      <w:tr>
        <w:tblPrEx>
          <w:tblCellMar>
            <w:top w:w="0" w:type="dxa"/>
            <w:left w:w="108" w:type="dxa"/>
            <w:bottom w:w="0" w:type="dxa"/>
            <w:right w:w="108" w:type="dxa"/>
          </w:tblCellMar>
        </w:tblPrEx>
        <w:trPr>
          <w:trHeight w:val="708"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b)</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Describe how genetic variants were handled in the analyses and, if applicable, how their weights were selected</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4</w:t>
            </w:r>
          </w:p>
        </w:tc>
      </w:tr>
      <w:tr>
        <w:tblPrEx>
          <w:tblCellMar>
            <w:top w:w="0" w:type="dxa"/>
            <w:left w:w="108" w:type="dxa"/>
            <w:bottom w:w="0" w:type="dxa"/>
            <w:right w:w="108" w:type="dxa"/>
          </w:tblCellMar>
        </w:tblPrEx>
        <w:trPr>
          <w:trHeight w:val="951"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c)</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Describe the MR estimator (e.g. two-stage least squares, Wald ratio) and related statistics. Detail the included covariates and, in case of two-sample MR, whether the same covariate set was used for adjustment in the two samples</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4</w:t>
            </w:r>
          </w:p>
        </w:tc>
      </w:tr>
      <w:tr>
        <w:tblPrEx>
          <w:tblCellMar>
            <w:top w:w="0" w:type="dxa"/>
            <w:left w:w="108" w:type="dxa"/>
            <w:bottom w:w="0" w:type="dxa"/>
            <w:right w:w="108" w:type="dxa"/>
          </w:tblCellMar>
        </w:tblPrEx>
        <w:trPr>
          <w:trHeight w:val="466"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d)</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Explain how missing data were addressed</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eastAsia" w:eastAsia="宋体"/>
                <w:sz w:val="18"/>
                <w:szCs w:val="18"/>
                <w:lang w:val="en-US" w:eastAsia="zh-CN"/>
              </w:rPr>
            </w:pPr>
            <w:r>
              <w:rPr>
                <w:rFonts w:hint="eastAsia" w:eastAsia="宋体"/>
                <w:sz w:val="18"/>
                <w:szCs w:val="18"/>
                <w:lang w:val="en-US" w:eastAsia="zh-CN"/>
              </w:rPr>
              <w:t>4</w:t>
            </w:r>
          </w:p>
        </w:tc>
      </w:tr>
      <w:tr>
        <w:tblPrEx>
          <w:tblCellMar>
            <w:top w:w="0" w:type="dxa"/>
            <w:left w:w="108" w:type="dxa"/>
            <w:bottom w:w="0" w:type="dxa"/>
            <w:right w:w="108" w:type="dxa"/>
          </w:tblCellMar>
        </w:tblPrEx>
        <w:trPr>
          <w:trHeight w:val="466"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e)</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If applicable, indicate how multiple testing was addressed</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4</w:t>
            </w:r>
          </w:p>
        </w:tc>
      </w:tr>
      <w:tr>
        <w:tblPrEx>
          <w:tblCellMar>
            <w:top w:w="0" w:type="dxa"/>
            <w:left w:w="108" w:type="dxa"/>
            <w:bottom w:w="0" w:type="dxa"/>
            <w:right w:w="108" w:type="dxa"/>
          </w:tblCellMar>
        </w:tblPrEx>
        <w:trPr>
          <w:trHeight w:val="708"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7</w:t>
            </w: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b/>
                <w:bCs/>
                <w:sz w:val="18"/>
                <w:szCs w:val="18"/>
                <w:lang w:val="en-GB" w:eastAsia="en-GB"/>
              </w:rPr>
              <w:t>Assessment of assumptions</w:t>
            </w:r>
          </w:p>
        </w:tc>
        <w:tc>
          <w:tcPr>
            <w:tcW w:w="9388" w:type="dxa"/>
            <w:shd w:val="clear" w:color="auto" w:fill="EEEEEE"/>
          </w:tcPr>
          <w:p>
            <w:pPr>
              <w:keepNext w:val="0"/>
              <w:keepLines w:val="0"/>
              <w:widowControl/>
              <w:suppressLineNumbers w:val="0"/>
              <w:tabs>
                <w:tab w:val="left" w:pos="1620"/>
              </w:tabs>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Describe any methods or prior knowledge used to assess the assumptions or justify their validity</w:t>
            </w:r>
            <w:r>
              <w:rPr>
                <w:rFonts w:hint="default" w:eastAsia="Cambria"/>
                <w:sz w:val="18"/>
                <w:szCs w:val="18"/>
                <w:lang w:val="en-GB" w:eastAsia="en-US"/>
              </w:rPr>
              <w:tab/>
            </w:r>
          </w:p>
        </w:tc>
        <w:tc>
          <w:tcPr>
            <w:tcW w:w="960" w:type="dxa"/>
            <w:shd w:val="clear" w:color="auto" w:fill="EEEEEE"/>
          </w:tcPr>
          <w:p>
            <w:pPr>
              <w:keepNext w:val="0"/>
              <w:keepLines w:val="0"/>
              <w:widowControl/>
              <w:suppressLineNumbers w:val="0"/>
              <w:tabs>
                <w:tab w:val="left" w:pos="1620"/>
              </w:tabs>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4</w:t>
            </w:r>
          </w:p>
        </w:tc>
      </w:tr>
      <w:tr>
        <w:tblPrEx>
          <w:tblCellMar>
            <w:top w:w="0" w:type="dxa"/>
            <w:left w:w="108" w:type="dxa"/>
            <w:bottom w:w="0" w:type="dxa"/>
            <w:right w:w="108" w:type="dxa"/>
          </w:tblCellMar>
        </w:tblPrEx>
        <w:trPr>
          <w:trHeight w:val="1194"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8</w:t>
            </w: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b/>
                <w:bCs/>
                <w:sz w:val="18"/>
                <w:szCs w:val="18"/>
                <w:lang w:val="en-GB" w:eastAsia="en-GB"/>
              </w:rPr>
              <w:t>Sensitivity analyses and additional analyses</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Describe any sensitivity analyses or additional analyses performed (e.g. comparison of effect estimates from different approaches, independent replication, bias analytic techniques, validation of instruments, simulations)</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4</w:t>
            </w:r>
          </w:p>
        </w:tc>
      </w:tr>
      <w:tr>
        <w:tblPrEx>
          <w:tblCellMar>
            <w:top w:w="0" w:type="dxa"/>
            <w:left w:w="108" w:type="dxa"/>
            <w:bottom w:w="0" w:type="dxa"/>
            <w:right w:w="108" w:type="dxa"/>
          </w:tblCellMar>
        </w:tblPrEx>
        <w:trPr>
          <w:trHeight w:val="708"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9</w:t>
            </w: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b/>
                <w:bCs/>
                <w:sz w:val="18"/>
                <w:szCs w:val="18"/>
                <w:lang w:val="en-GB" w:eastAsia="en-GB"/>
              </w:rPr>
              <w:t>Software and pre-registration</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r>
      <w:tr>
        <w:tblPrEx>
          <w:tblCellMar>
            <w:top w:w="0" w:type="dxa"/>
            <w:left w:w="108" w:type="dxa"/>
            <w:bottom w:w="0" w:type="dxa"/>
            <w:right w:w="108" w:type="dxa"/>
          </w:tblCellMar>
        </w:tblPrEx>
        <w:trPr>
          <w:trHeight w:val="466"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a)</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Name statistical software and package(s), including version and settings used </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eastAsia" w:eastAsia="宋体"/>
                <w:sz w:val="18"/>
                <w:szCs w:val="18"/>
                <w:lang w:val="en-US" w:eastAsia="zh-CN"/>
              </w:rPr>
            </w:pPr>
            <w:r>
              <w:rPr>
                <w:rFonts w:hint="eastAsia" w:eastAsia="宋体"/>
                <w:sz w:val="18"/>
                <w:szCs w:val="18"/>
                <w:lang w:val="en-US" w:eastAsia="zh-CN"/>
              </w:rPr>
              <w:t>4</w:t>
            </w:r>
          </w:p>
        </w:tc>
      </w:tr>
      <w:tr>
        <w:tblPrEx>
          <w:tblCellMar>
            <w:top w:w="0" w:type="dxa"/>
            <w:left w:w="108" w:type="dxa"/>
            <w:bottom w:w="0" w:type="dxa"/>
            <w:right w:w="108" w:type="dxa"/>
          </w:tblCellMar>
        </w:tblPrEx>
        <w:trPr>
          <w:trHeight w:val="708" w:hRule="atLeast"/>
        </w:trPr>
        <w:tc>
          <w:tcPr>
            <w:tcW w:w="782"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b)</w:t>
            </w:r>
          </w:p>
        </w:tc>
        <w:tc>
          <w:tcPr>
            <w:tcW w:w="9388"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State whether the study protocol and details were pre-registered (as well as when and where)</w:t>
            </w:r>
          </w:p>
        </w:tc>
        <w:tc>
          <w:tcPr>
            <w:tcW w:w="960"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eastAsia" w:eastAsia="宋体"/>
                <w:sz w:val="18"/>
                <w:szCs w:val="18"/>
                <w:lang w:val="en-US" w:eastAsia="zh-CN"/>
              </w:rPr>
            </w:pPr>
            <w:r>
              <w:rPr>
                <w:rFonts w:hint="eastAsia" w:eastAsia="宋体"/>
                <w:sz w:val="18"/>
                <w:szCs w:val="18"/>
                <w:lang w:val="en-US" w:eastAsia="zh-CN"/>
              </w:rPr>
              <w:t>4</w:t>
            </w:r>
          </w:p>
        </w:tc>
      </w:tr>
      <w:tr>
        <w:tblPrEx>
          <w:tblCellMar>
            <w:top w:w="0" w:type="dxa"/>
            <w:left w:w="108" w:type="dxa"/>
            <w:bottom w:w="0" w:type="dxa"/>
            <w:right w:w="108" w:type="dxa"/>
          </w:tblCellMar>
        </w:tblPrEx>
        <w:trPr>
          <w:trHeight w:val="483" w:hRule="atLeast"/>
        </w:trPr>
        <w:tc>
          <w:tcPr>
            <w:tcW w:w="782"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p>
        </w:tc>
        <w:tc>
          <w:tcPr>
            <w:tcW w:w="2429"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RESULTS</w:t>
            </w:r>
          </w:p>
        </w:tc>
        <w:tc>
          <w:tcPr>
            <w:tcW w:w="9388"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tcBorders>
              <w:top w:val="single" w:color="7F7F7F" w:sz="6" w:space="0"/>
            </w:tcBorders>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r>
      <w:tr>
        <w:tblPrEx>
          <w:tblCellMar>
            <w:top w:w="0" w:type="dxa"/>
            <w:left w:w="108" w:type="dxa"/>
            <w:bottom w:w="0" w:type="dxa"/>
            <w:right w:w="108" w:type="dxa"/>
          </w:tblCellMar>
        </w:tblPrEx>
        <w:trPr>
          <w:trHeight w:val="466"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10</w:t>
            </w: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Descriptive data</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r>
      <w:tr>
        <w:tblPrEx>
          <w:tblCellMar>
            <w:top w:w="0" w:type="dxa"/>
            <w:left w:w="108" w:type="dxa"/>
            <w:bottom w:w="0" w:type="dxa"/>
            <w:right w:w="108" w:type="dxa"/>
          </w:tblCellMar>
        </w:tblPrEx>
        <w:trPr>
          <w:trHeight w:val="708"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a)</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Report the numbers of individuals at each stage of included studies and reasons for exclusion. Consider use of a flow diagram</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5-6</w:t>
            </w:r>
          </w:p>
        </w:tc>
      </w:tr>
      <w:tr>
        <w:tblPrEx>
          <w:tblCellMar>
            <w:top w:w="0" w:type="dxa"/>
            <w:left w:w="108" w:type="dxa"/>
            <w:bottom w:w="0" w:type="dxa"/>
            <w:right w:w="108" w:type="dxa"/>
          </w:tblCellMar>
        </w:tblPrEx>
        <w:trPr>
          <w:trHeight w:val="708"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b)</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Report summary statistics for phenotypic exposure(s), outcome(s), and other relevant variables (e.g. means, SDs, proportions)</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5</w:t>
            </w:r>
          </w:p>
        </w:tc>
      </w:tr>
      <w:tr>
        <w:tblPrEx>
          <w:tblCellMar>
            <w:top w:w="0" w:type="dxa"/>
            <w:left w:w="108" w:type="dxa"/>
            <w:bottom w:w="0" w:type="dxa"/>
            <w:right w:w="108" w:type="dxa"/>
          </w:tblCellMar>
        </w:tblPrEx>
        <w:trPr>
          <w:trHeight w:val="708"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c)</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If the data sources include meta-analyses of previous studies, provide the assessments of heterogeneity across these studies</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w:t>
            </w:r>
          </w:p>
        </w:tc>
      </w:tr>
      <w:tr>
        <w:tblPrEx>
          <w:tblCellMar>
            <w:top w:w="0" w:type="dxa"/>
            <w:left w:w="108" w:type="dxa"/>
            <w:bottom w:w="0" w:type="dxa"/>
            <w:right w:w="108" w:type="dxa"/>
          </w:tblCellMar>
        </w:tblPrEx>
        <w:trPr>
          <w:trHeight w:val="1306"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d)</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 xml:space="preserve">For </w:t>
            </w:r>
            <w:r>
              <w:rPr>
                <w:rFonts w:hint="default" w:eastAsia="Times New Roman"/>
                <w:iCs/>
                <w:sz w:val="18"/>
                <w:szCs w:val="18"/>
                <w:lang w:val="en-GB" w:eastAsia="en-GB"/>
              </w:rPr>
              <w:t>two-sample</w:t>
            </w:r>
            <w:r>
              <w:rPr>
                <w:rFonts w:hint="default" w:eastAsia="Times New Roman"/>
                <w:sz w:val="18"/>
                <w:szCs w:val="18"/>
                <w:lang w:val="en-GB" w:eastAsia="en-GB"/>
              </w:rPr>
              <w:t xml:space="preserve"> MR:</w:t>
            </w:r>
          </w:p>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 xml:space="preserve">   i.  Provide justification of the similarity of the genetic variant-exposure associations between the exposure and outcome samples</w:t>
            </w:r>
          </w:p>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 xml:space="preserve">   ii.  Provide information on the number of individuals who overlap between the exposure and outcome studies</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5-7</w:t>
            </w:r>
          </w:p>
        </w:tc>
      </w:tr>
      <w:tr>
        <w:tblPrEx>
          <w:tblCellMar>
            <w:top w:w="0" w:type="dxa"/>
            <w:left w:w="108" w:type="dxa"/>
            <w:bottom w:w="0" w:type="dxa"/>
            <w:right w:w="108" w:type="dxa"/>
          </w:tblCellMar>
        </w:tblPrEx>
        <w:trPr>
          <w:trHeight w:val="466"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11</w:t>
            </w: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b/>
                <w:bCs/>
                <w:sz w:val="18"/>
                <w:szCs w:val="18"/>
                <w:lang w:val="en-GB" w:eastAsia="en-GB"/>
              </w:rPr>
              <w:t>Main results</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r>
      <w:tr>
        <w:tblPrEx>
          <w:tblCellMar>
            <w:top w:w="0" w:type="dxa"/>
            <w:left w:w="108" w:type="dxa"/>
            <w:bottom w:w="0" w:type="dxa"/>
            <w:right w:w="108" w:type="dxa"/>
          </w:tblCellMar>
        </w:tblPrEx>
        <w:trPr>
          <w:trHeight w:val="708"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a)</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Report the associations between genetic variant and exposure, and between genetic variant and outcome, preferably on an interpretable scale</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5-7</w:t>
            </w:r>
          </w:p>
        </w:tc>
      </w:tr>
      <w:tr>
        <w:tblPrEx>
          <w:tblCellMar>
            <w:top w:w="0" w:type="dxa"/>
            <w:left w:w="108" w:type="dxa"/>
            <w:bottom w:w="0" w:type="dxa"/>
            <w:right w:w="108" w:type="dxa"/>
          </w:tblCellMar>
        </w:tblPrEx>
        <w:trPr>
          <w:trHeight w:val="951"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b)</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Report MR estimates of the relationship between exposure and outcome, and the measures of uncertainty from the MR analysis, on an interpretable scale, such as odds ratio or relative risk per SD difference</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5-7</w:t>
            </w:r>
          </w:p>
        </w:tc>
      </w:tr>
      <w:tr>
        <w:tblPrEx>
          <w:tblCellMar>
            <w:top w:w="0" w:type="dxa"/>
            <w:left w:w="108" w:type="dxa"/>
            <w:bottom w:w="0" w:type="dxa"/>
            <w:right w:w="108" w:type="dxa"/>
          </w:tblCellMar>
        </w:tblPrEx>
        <w:trPr>
          <w:trHeight w:val="708"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c)</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If relevant, consider translating estimates of relative risk into absolute risk for a meaningful time period</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8</w:t>
            </w:r>
          </w:p>
        </w:tc>
      </w:tr>
      <w:tr>
        <w:tblPrEx>
          <w:tblCellMar>
            <w:top w:w="0" w:type="dxa"/>
            <w:left w:w="108" w:type="dxa"/>
            <w:bottom w:w="0" w:type="dxa"/>
            <w:right w:w="108" w:type="dxa"/>
          </w:tblCellMar>
        </w:tblPrEx>
        <w:trPr>
          <w:trHeight w:val="708"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d)</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Consider plots to visualize results (e.g. forest plot, scatterplot of associations between genetic variants and outcome versus between genetic variants and exposure)</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8</w:t>
            </w:r>
          </w:p>
        </w:tc>
      </w:tr>
      <w:tr>
        <w:tblPrEx>
          <w:tblCellMar>
            <w:top w:w="0" w:type="dxa"/>
            <w:left w:w="108" w:type="dxa"/>
            <w:bottom w:w="0" w:type="dxa"/>
            <w:right w:w="108" w:type="dxa"/>
          </w:tblCellMar>
        </w:tblPrEx>
        <w:trPr>
          <w:trHeight w:val="708"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12</w:t>
            </w: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b/>
                <w:bCs/>
                <w:sz w:val="18"/>
                <w:szCs w:val="18"/>
                <w:lang w:val="en-GB" w:eastAsia="en-GB"/>
              </w:rPr>
              <w:t>Assessment of assumptions</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r>
      <w:tr>
        <w:tblPrEx>
          <w:tblCellMar>
            <w:top w:w="0" w:type="dxa"/>
            <w:left w:w="108" w:type="dxa"/>
            <w:bottom w:w="0" w:type="dxa"/>
            <w:right w:w="108" w:type="dxa"/>
          </w:tblCellMar>
        </w:tblPrEx>
        <w:trPr>
          <w:trHeight w:val="466"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a)</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Report the assessment of the validity of the assumptions</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5</w:t>
            </w:r>
          </w:p>
        </w:tc>
      </w:tr>
      <w:tr>
        <w:tblPrEx>
          <w:tblCellMar>
            <w:top w:w="0" w:type="dxa"/>
            <w:left w:w="108" w:type="dxa"/>
            <w:bottom w:w="0" w:type="dxa"/>
            <w:right w:w="108" w:type="dxa"/>
          </w:tblCellMar>
        </w:tblPrEx>
        <w:trPr>
          <w:trHeight w:val="708"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b)</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 xml:space="preserve">Report any additional statistics (e.g., assessments of heterogeneity </w:t>
            </w:r>
            <w:r>
              <w:rPr>
                <w:rFonts w:hint="default" w:eastAsia="Times New Roman"/>
                <w:sz w:val="18"/>
                <w:szCs w:val="18"/>
                <w:lang w:eastAsia="en-GB"/>
              </w:rPr>
              <w:t>across genetic variants</w:t>
            </w:r>
            <w:r>
              <w:rPr>
                <w:rFonts w:hint="default" w:eastAsia="Times New Roman"/>
                <w:sz w:val="18"/>
                <w:szCs w:val="18"/>
                <w:lang w:val="en-GB" w:eastAsia="en-GB"/>
              </w:rPr>
              <w:t xml:space="preserve">, such as </w:t>
            </w:r>
            <w:r>
              <w:rPr>
                <w:rFonts w:hint="default" w:eastAsia="Times New Roman"/>
                <w:i/>
                <w:sz w:val="18"/>
                <w:szCs w:val="18"/>
                <w:lang w:val="en-GB" w:eastAsia="en-GB"/>
              </w:rPr>
              <w:t>I</w:t>
            </w:r>
            <w:r>
              <w:rPr>
                <w:rFonts w:hint="default" w:eastAsia="Times New Roman"/>
                <w:i/>
                <w:sz w:val="18"/>
                <w:szCs w:val="18"/>
                <w:vertAlign w:val="superscript"/>
                <w:lang w:val="en-GB" w:eastAsia="en-GB"/>
              </w:rPr>
              <w:t>2</w:t>
            </w:r>
            <w:r>
              <w:rPr>
                <w:rFonts w:hint="default" w:eastAsia="Times New Roman"/>
                <w:sz w:val="18"/>
                <w:szCs w:val="18"/>
                <w:lang w:val="en-GB" w:eastAsia="en-GB"/>
              </w:rPr>
              <w:t>, Q statistic or E-value)</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5</w:t>
            </w:r>
          </w:p>
        </w:tc>
      </w:tr>
      <w:tr>
        <w:tblPrEx>
          <w:tblCellMar>
            <w:top w:w="0" w:type="dxa"/>
            <w:left w:w="108" w:type="dxa"/>
            <w:bottom w:w="0" w:type="dxa"/>
            <w:right w:w="108" w:type="dxa"/>
          </w:tblCellMar>
        </w:tblPrEx>
        <w:trPr>
          <w:trHeight w:val="1194"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13</w:t>
            </w: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Sensitivity analyses and additional analyses</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r>
      <w:tr>
        <w:tblPrEx>
          <w:tblCellMar>
            <w:top w:w="0" w:type="dxa"/>
            <w:left w:w="108" w:type="dxa"/>
            <w:bottom w:w="0" w:type="dxa"/>
            <w:right w:w="108" w:type="dxa"/>
          </w:tblCellMar>
        </w:tblPrEx>
        <w:trPr>
          <w:trHeight w:val="708"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a)</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Report any sensitivity analyses to assess the robustness of the main results to violations of the assumptions</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9</w:t>
            </w:r>
          </w:p>
        </w:tc>
      </w:tr>
      <w:tr>
        <w:tblPrEx>
          <w:tblCellMar>
            <w:top w:w="0" w:type="dxa"/>
            <w:left w:w="108" w:type="dxa"/>
            <w:bottom w:w="0" w:type="dxa"/>
            <w:right w:w="108" w:type="dxa"/>
          </w:tblCellMar>
        </w:tblPrEx>
        <w:trPr>
          <w:trHeight w:val="466"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b)</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Report results from other sensitivity analyses or additional analyses</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9</w:t>
            </w:r>
          </w:p>
        </w:tc>
      </w:tr>
      <w:tr>
        <w:tblPrEx>
          <w:tblCellMar>
            <w:top w:w="0" w:type="dxa"/>
            <w:left w:w="108" w:type="dxa"/>
            <w:bottom w:w="0" w:type="dxa"/>
            <w:right w:w="108" w:type="dxa"/>
          </w:tblCellMar>
        </w:tblPrEx>
        <w:trPr>
          <w:trHeight w:val="466"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c)</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Report any assessment of direction of causal relationship (e.g., bidirectional MR)</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9</w:t>
            </w:r>
          </w:p>
        </w:tc>
      </w:tr>
      <w:tr>
        <w:tblPrEx>
          <w:tblCellMar>
            <w:top w:w="0" w:type="dxa"/>
            <w:left w:w="108" w:type="dxa"/>
            <w:bottom w:w="0" w:type="dxa"/>
            <w:right w:w="108" w:type="dxa"/>
          </w:tblCellMar>
        </w:tblPrEx>
        <w:trPr>
          <w:trHeight w:val="466"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d)</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When relevant, report and compare with estimates from non-MR analyses</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eastAsia" w:eastAsia="宋体"/>
                <w:sz w:val="18"/>
                <w:szCs w:val="18"/>
                <w:lang w:val="en-US" w:eastAsia="zh-CN"/>
              </w:rPr>
            </w:pPr>
            <w:r>
              <w:rPr>
                <w:rFonts w:hint="eastAsia" w:eastAsia="宋体"/>
                <w:sz w:val="18"/>
                <w:szCs w:val="18"/>
                <w:lang w:val="en-US" w:eastAsia="zh-CN"/>
              </w:rPr>
              <w:t>-</w:t>
            </w:r>
          </w:p>
        </w:tc>
      </w:tr>
      <w:tr>
        <w:tblPrEx>
          <w:tblCellMar>
            <w:top w:w="0" w:type="dxa"/>
            <w:left w:w="108" w:type="dxa"/>
            <w:bottom w:w="0" w:type="dxa"/>
            <w:right w:w="108" w:type="dxa"/>
          </w:tblCellMar>
        </w:tblPrEx>
        <w:trPr>
          <w:trHeight w:val="466" w:hRule="atLeast"/>
        </w:trPr>
        <w:tc>
          <w:tcPr>
            <w:tcW w:w="782"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e)</w:t>
            </w:r>
          </w:p>
        </w:tc>
        <w:tc>
          <w:tcPr>
            <w:tcW w:w="9388"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Consider additional plots to visualize results (e.g., leave-one-out analyses)</w:t>
            </w:r>
          </w:p>
        </w:tc>
        <w:tc>
          <w:tcPr>
            <w:tcW w:w="960"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9</w:t>
            </w:r>
          </w:p>
        </w:tc>
      </w:tr>
      <w:tr>
        <w:tblPrEx>
          <w:tblCellMar>
            <w:top w:w="0" w:type="dxa"/>
            <w:left w:w="108" w:type="dxa"/>
            <w:bottom w:w="0" w:type="dxa"/>
            <w:right w:w="108" w:type="dxa"/>
          </w:tblCellMar>
        </w:tblPrEx>
        <w:trPr>
          <w:trHeight w:val="483" w:hRule="atLeast"/>
        </w:trPr>
        <w:tc>
          <w:tcPr>
            <w:tcW w:w="782"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p>
        </w:tc>
        <w:tc>
          <w:tcPr>
            <w:tcW w:w="2429"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b/>
                <w:bCs/>
                <w:sz w:val="18"/>
                <w:szCs w:val="18"/>
                <w:lang w:val="en-GB" w:eastAsia="en-GB"/>
              </w:rPr>
              <w:t>DISCUSSION</w:t>
            </w:r>
          </w:p>
        </w:tc>
        <w:tc>
          <w:tcPr>
            <w:tcW w:w="9388"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tcBorders>
              <w:top w:val="single" w:color="7F7F7F" w:sz="6" w:space="0"/>
            </w:tcBorders>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r>
      <w:tr>
        <w:tblPrEx>
          <w:tblCellMar>
            <w:top w:w="0" w:type="dxa"/>
            <w:left w:w="108" w:type="dxa"/>
            <w:bottom w:w="0" w:type="dxa"/>
            <w:right w:w="108" w:type="dxa"/>
          </w:tblCellMar>
        </w:tblPrEx>
        <w:trPr>
          <w:trHeight w:val="466"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14</w:t>
            </w: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Key results </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Summarize key results with reference to study objectives</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9</w:t>
            </w:r>
          </w:p>
        </w:tc>
      </w:tr>
      <w:tr>
        <w:tblPrEx>
          <w:tblCellMar>
            <w:top w:w="0" w:type="dxa"/>
            <w:left w:w="108" w:type="dxa"/>
            <w:bottom w:w="0" w:type="dxa"/>
            <w:right w:w="108" w:type="dxa"/>
          </w:tblCellMar>
        </w:tblPrEx>
        <w:trPr>
          <w:trHeight w:val="951"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15</w:t>
            </w: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Limitations</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Discuss limitations of the study, taking into account the validity of the IV assumptions, other sources of potential bias, and imprecision. Discuss both direction and magnitude of any potential bias and any efforts to address them</w:t>
            </w:r>
            <w:r>
              <w:rPr>
                <w:rFonts w:hint="default" w:eastAsia="Times New Roman"/>
                <w:sz w:val="18"/>
                <w:szCs w:val="18"/>
                <w:shd w:val="clear" w:color="auto" w:fill="FFFFFF"/>
                <w:lang w:val="en-GB" w:eastAsia="en-GB"/>
              </w:rPr>
              <w:t> </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11</w:t>
            </w:r>
          </w:p>
        </w:tc>
      </w:tr>
      <w:tr>
        <w:tblPrEx>
          <w:tblCellMar>
            <w:top w:w="0" w:type="dxa"/>
            <w:left w:w="108" w:type="dxa"/>
            <w:bottom w:w="0" w:type="dxa"/>
            <w:right w:w="108" w:type="dxa"/>
          </w:tblCellMar>
        </w:tblPrEx>
        <w:trPr>
          <w:trHeight w:val="466"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16</w:t>
            </w: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Interpretation</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r>
      <w:tr>
        <w:tblPrEx>
          <w:tblCellMar>
            <w:top w:w="0" w:type="dxa"/>
            <w:left w:w="108" w:type="dxa"/>
            <w:bottom w:w="0" w:type="dxa"/>
            <w:right w:w="108" w:type="dxa"/>
          </w:tblCellMar>
        </w:tblPrEx>
        <w:trPr>
          <w:trHeight w:val="708"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a)</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Meaning: Give a cautious overall interpretation of results in the context of their limitations and in comparison with other studies</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9</w:t>
            </w:r>
          </w:p>
        </w:tc>
      </w:tr>
      <w:tr>
        <w:tblPrEx>
          <w:tblCellMar>
            <w:top w:w="0" w:type="dxa"/>
            <w:left w:w="108" w:type="dxa"/>
            <w:bottom w:w="0" w:type="dxa"/>
            <w:right w:w="108" w:type="dxa"/>
          </w:tblCellMar>
        </w:tblPrEx>
        <w:trPr>
          <w:trHeight w:val="1436"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b)</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 xml:space="preserve">Mechanism: Discuss underlying biological mechanisms that could drive a potential causal relationship between the investigated exposure and the outcome, and whether the gene-environment equivalence assumption is reasonable. Use causal language carefully, clarifying that IV estimates may provide causal effects only under certain assumptions </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9</w:t>
            </w:r>
          </w:p>
        </w:tc>
      </w:tr>
      <w:tr>
        <w:tblPrEx>
          <w:tblCellMar>
            <w:top w:w="0" w:type="dxa"/>
            <w:left w:w="108" w:type="dxa"/>
            <w:bottom w:w="0" w:type="dxa"/>
            <w:right w:w="108" w:type="dxa"/>
          </w:tblCellMar>
        </w:tblPrEx>
        <w:trPr>
          <w:trHeight w:val="708"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b/>
                <w:bCs/>
                <w:sz w:val="18"/>
                <w:szCs w:val="18"/>
                <w:lang w:val="en-GB" w:eastAsia="en-US"/>
              </w:rPr>
            </w:pP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jc w:val="right"/>
              <w:rPr>
                <w:rFonts w:hint="default" w:eastAsia="Cambria"/>
                <w:sz w:val="18"/>
                <w:szCs w:val="18"/>
                <w:lang w:val="en-GB" w:eastAsia="en-US"/>
              </w:rPr>
            </w:pPr>
            <w:r>
              <w:rPr>
                <w:rFonts w:hint="default" w:eastAsia="Cambria"/>
                <w:sz w:val="18"/>
                <w:szCs w:val="18"/>
                <w:lang w:val="en-GB" w:eastAsia="en-US"/>
              </w:rPr>
              <w:t>c)</w:t>
            </w:r>
          </w:p>
        </w:tc>
        <w:tc>
          <w:tcPr>
            <w:tcW w:w="9388" w:type="dxa"/>
            <w:shd w:val="clear" w:color="auto" w:fill="auto"/>
          </w:tcPr>
          <w:p>
            <w:pPr>
              <w:keepNext w:val="0"/>
              <w:keepLines w:val="0"/>
              <w:widowControl/>
              <w:suppressLineNumbers w:val="0"/>
              <w:tabs>
                <w:tab w:val="left" w:pos="1350"/>
              </w:tabs>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 xml:space="preserve">Clinical relevance: Discuss whether the results have clinical or public policy relevance, and </w:t>
            </w:r>
            <w:r>
              <w:rPr>
                <w:rFonts w:hint="default" w:eastAsia="Times New Roman"/>
                <w:color w:val="000000"/>
                <w:sz w:val="18"/>
                <w:szCs w:val="18"/>
                <w:lang w:eastAsia="en-GB"/>
              </w:rPr>
              <w:t>to what extent they inform effect sizes of possible interventions</w:t>
            </w:r>
          </w:p>
        </w:tc>
        <w:tc>
          <w:tcPr>
            <w:tcW w:w="960" w:type="dxa"/>
          </w:tcPr>
          <w:p>
            <w:pPr>
              <w:keepNext w:val="0"/>
              <w:keepLines w:val="0"/>
              <w:widowControl/>
              <w:suppressLineNumbers w:val="0"/>
              <w:tabs>
                <w:tab w:val="left" w:pos="1350"/>
              </w:tabs>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9-11</w:t>
            </w:r>
          </w:p>
        </w:tc>
      </w:tr>
      <w:tr>
        <w:tblPrEx>
          <w:tblCellMar>
            <w:top w:w="0" w:type="dxa"/>
            <w:left w:w="108" w:type="dxa"/>
            <w:bottom w:w="0" w:type="dxa"/>
            <w:right w:w="108" w:type="dxa"/>
          </w:tblCellMar>
        </w:tblPrEx>
        <w:trPr>
          <w:trHeight w:val="708" w:hRule="atLeast"/>
        </w:trPr>
        <w:tc>
          <w:tcPr>
            <w:tcW w:w="782"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17</w:t>
            </w:r>
          </w:p>
        </w:tc>
        <w:tc>
          <w:tcPr>
            <w:tcW w:w="2429"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 xml:space="preserve">Generalizability  </w:t>
            </w:r>
            <w:r>
              <w:rPr>
                <w:rFonts w:hint="default" w:eastAsia="Times New Roman"/>
                <w:sz w:val="18"/>
                <w:szCs w:val="18"/>
                <w:lang w:val="en-GB" w:eastAsia="en-GB"/>
              </w:rPr>
              <w:t> </w:t>
            </w:r>
          </w:p>
        </w:tc>
        <w:tc>
          <w:tcPr>
            <w:tcW w:w="9388"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sz w:val="18"/>
                <w:szCs w:val="18"/>
                <w:lang w:val="en-GB" w:eastAsia="en-GB"/>
              </w:rPr>
              <w:t>Discuss the generalizability of the study results (a) to other populations, (b) across other exposure periods/timings, and (c) across other levels of exposure</w:t>
            </w:r>
          </w:p>
        </w:tc>
        <w:tc>
          <w:tcPr>
            <w:tcW w:w="960"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11</w:t>
            </w:r>
          </w:p>
        </w:tc>
      </w:tr>
      <w:tr>
        <w:tblPrEx>
          <w:tblCellMar>
            <w:top w:w="0" w:type="dxa"/>
            <w:left w:w="108" w:type="dxa"/>
            <w:bottom w:w="0" w:type="dxa"/>
            <w:right w:w="108" w:type="dxa"/>
          </w:tblCellMar>
        </w:tblPrEx>
        <w:trPr>
          <w:trHeight w:val="726" w:hRule="atLeast"/>
        </w:trPr>
        <w:tc>
          <w:tcPr>
            <w:tcW w:w="782"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p>
        </w:tc>
        <w:tc>
          <w:tcPr>
            <w:tcW w:w="2429"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OTHER INFORMATION</w:t>
            </w:r>
          </w:p>
        </w:tc>
        <w:tc>
          <w:tcPr>
            <w:tcW w:w="9388" w:type="dxa"/>
            <w:tcBorders>
              <w:top w:val="single" w:color="7F7F7F" w:sz="6" w:space="0"/>
            </w:tcBorders>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c>
          <w:tcPr>
            <w:tcW w:w="960" w:type="dxa"/>
            <w:tcBorders>
              <w:top w:val="single" w:color="7F7F7F" w:sz="6" w:space="0"/>
            </w:tcBorders>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p>
        </w:tc>
      </w:tr>
      <w:tr>
        <w:tblPrEx>
          <w:tblCellMar>
            <w:top w:w="0" w:type="dxa"/>
            <w:left w:w="108" w:type="dxa"/>
            <w:bottom w:w="0" w:type="dxa"/>
            <w:right w:w="108" w:type="dxa"/>
          </w:tblCellMar>
        </w:tblPrEx>
        <w:trPr>
          <w:trHeight w:val="951" w:hRule="atLeast"/>
        </w:trPr>
        <w:tc>
          <w:tcPr>
            <w:tcW w:w="782"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18</w:t>
            </w:r>
          </w:p>
        </w:tc>
        <w:tc>
          <w:tcPr>
            <w:tcW w:w="2429"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Cambria"/>
                <w:sz w:val="18"/>
                <w:szCs w:val="18"/>
                <w:lang w:val="en-GB" w:eastAsia="en-US"/>
              </w:rPr>
            </w:pPr>
            <w:r>
              <w:rPr>
                <w:rFonts w:hint="default" w:eastAsia="Times New Roman"/>
                <w:b/>
                <w:bCs/>
                <w:sz w:val="18"/>
                <w:szCs w:val="18"/>
                <w:lang w:val="en-GB" w:eastAsia="en-GB"/>
              </w:rPr>
              <w:t>Funding</w:t>
            </w:r>
          </w:p>
        </w:tc>
        <w:tc>
          <w:tcPr>
            <w:tcW w:w="9388"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Describe sources of funding and the role of funders in the present study and, if applicable, sources of funding for the databases and original study or studies on which the present study is based</w:t>
            </w:r>
          </w:p>
        </w:tc>
        <w:tc>
          <w:tcPr>
            <w:tcW w:w="960" w:type="dxa"/>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12</w:t>
            </w:r>
          </w:p>
        </w:tc>
      </w:tr>
      <w:tr>
        <w:tblPrEx>
          <w:tblCellMar>
            <w:top w:w="0" w:type="dxa"/>
            <w:left w:w="108" w:type="dxa"/>
            <w:bottom w:w="0" w:type="dxa"/>
            <w:right w:w="108" w:type="dxa"/>
          </w:tblCellMar>
        </w:tblPrEx>
        <w:trPr>
          <w:trHeight w:val="1194" w:hRule="atLeast"/>
        </w:trPr>
        <w:tc>
          <w:tcPr>
            <w:tcW w:w="782"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19</w:t>
            </w:r>
          </w:p>
        </w:tc>
        <w:tc>
          <w:tcPr>
            <w:tcW w:w="2429"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Data and data sharing </w:t>
            </w:r>
          </w:p>
        </w:tc>
        <w:tc>
          <w:tcPr>
            <w:tcW w:w="9388" w:type="dxa"/>
            <w:shd w:val="clear" w:color="auto" w:fill="auto"/>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Provide the data used to perform all analyses or report where and how the data can be accessed, and reference these sources in the article. Provide the statistical code needed to reproduce the results in the article, or report whether the code is publicly accessible and if so, where</w:t>
            </w:r>
          </w:p>
        </w:tc>
        <w:tc>
          <w:tcPr>
            <w:tcW w:w="960" w:type="dxa"/>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12</w:t>
            </w:r>
          </w:p>
        </w:tc>
      </w:tr>
      <w:tr>
        <w:tblPrEx>
          <w:tblCellMar>
            <w:top w:w="0" w:type="dxa"/>
            <w:left w:w="108" w:type="dxa"/>
            <w:bottom w:w="0" w:type="dxa"/>
            <w:right w:w="108" w:type="dxa"/>
          </w:tblCellMar>
        </w:tblPrEx>
        <w:trPr>
          <w:trHeight w:val="726" w:hRule="atLeast"/>
        </w:trPr>
        <w:tc>
          <w:tcPr>
            <w:tcW w:w="782"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b/>
                <w:bCs/>
                <w:sz w:val="18"/>
                <w:szCs w:val="18"/>
                <w:lang w:val="en-GB" w:eastAsia="en-GB"/>
              </w:rPr>
            </w:pPr>
            <w:r>
              <w:rPr>
                <w:rFonts w:hint="default" w:eastAsia="Times New Roman"/>
                <w:sz w:val="18"/>
                <w:szCs w:val="18"/>
                <w:lang w:val="en-GB" w:eastAsia="en-GB"/>
              </w:rPr>
              <w:t>20</w:t>
            </w:r>
          </w:p>
        </w:tc>
        <w:tc>
          <w:tcPr>
            <w:tcW w:w="2429"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b/>
                <w:bCs/>
                <w:sz w:val="18"/>
                <w:szCs w:val="18"/>
                <w:lang w:val="en-GB" w:eastAsia="en-GB"/>
              </w:rPr>
              <w:t>Conflicts of Interest  </w:t>
            </w:r>
          </w:p>
        </w:tc>
        <w:tc>
          <w:tcPr>
            <w:tcW w:w="9388"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Times New Roman"/>
                <w:sz w:val="18"/>
                <w:szCs w:val="18"/>
                <w:lang w:val="en-GB" w:eastAsia="en-GB"/>
              </w:rPr>
            </w:pPr>
            <w:r>
              <w:rPr>
                <w:rFonts w:hint="default" w:eastAsia="Times New Roman"/>
                <w:sz w:val="18"/>
                <w:szCs w:val="18"/>
                <w:lang w:val="en-GB" w:eastAsia="en-GB"/>
              </w:rPr>
              <w:t>All authors should declare all potential conflicts of interest</w:t>
            </w:r>
          </w:p>
        </w:tc>
        <w:tc>
          <w:tcPr>
            <w:tcW w:w="960" w:type="dxa"/>
            <w:tcBorders>
              <w:bottom w:val="single" w:color="7F7F7F" w:sz="6" w:space="0"/>
            </w:tcBorders>
            <w:shd w:val="clear" w:color="auto" w:fill="EEEEEE"/>
          </w:tcPr>
          <w:p>
            <w:pPr>
              <w:keepNext w:val="0"/>
              <w:keepLines w:val="0"/>
              <w:widowControl/>
              <w:suppressLineNumbers w:val="0"/>
              <w:spacing w:before="96" w:beforeLines="40" w:beforeAutospacing="0" w:after="96" w:afterLines="40" w:afterAutospacing="0" w:line="24" w:lineRule="atLeast"/>
              <w:ind w:left="0" w:right="0"/>
              <w:rPr>
                <w:rFonts w:hint="default" w:eastAsia="宋体"/>
                <w:sz w:val="18"/>
                <w:szCs w:val="18"/>
                <w:lang w:val="en-US" w:eastAsia="zh-CN"/>
              </w:rPr>
            </w:pPr>
            <w:r>
              <w:rPr>
                <w:rFonts w:hint="eastAsia" w:eastAsia="宋体"/>
                <w:sz w:val="18"/>
                <w:szCs w:val="18"/>
                <w:lang w:val="en-US" w:eastAsia="zh-CN"/>
              </w:rPr>
              <w:t>13</w:t>
            </w:r>
            <w:bookmarkStart w:id="1" w:name="_GoBack"/>
            <w:bookmarkEnd w:id="1"/>
          </w:p>
        </w:tc>
      </w:tr>
    </w:tbl>
    <w:p>
      <w:pPr>
        <w:spacing w:before="240" w:after="240"/>
        <w:rPr>
          <w:sz w:val="19"/>
          <w:szCs w:val="19"/>
        </w:rPr>
      </w:pPr>
      <w:r>
        <w:rPr>
          <w:sz w:val="19"/>
          <w:szCs w:val="19"/>
        </w:rPr>
        <w:t>This checklist is copyrighted by the Equator Network under the Creative Commons Attribution 3.0 Unported (CC BY 3.0) license.</w:t>
      </w:r>
    </w:p>
    <w:p>
      <w:pPr>
        <w:widowControl w:val="0"/>
        <w:autoSpaceDE w:val="0"/>
        <w:autoSpaceDN w:val="0"/>
        <w:adjustRightInd w:val="0"/>
        <w:spacing w:before="240" w:after="240" w:line="240" w:lineRule="auto"/>
        <w:ind w:left="640" w:hanging="640"/>
        <w:rPr>
          <w:sz w:val="19"/>
          <w:szCs w:val="19"/>
        </w:rPr>
      </w:pPr>
      <w:r>
        <w:rPr>
          <w:sz w:val="19"/>
          <w:szCs w:val="19"/>
        </w:rPr>
        <w:fldChar w:fldCharType="begin" w:fldLock="1"/>
      </w:r>
      <w:r>
        <w:rPr>
          <w:sz w:val="19"/>
          <w:szCs w:val="19"/>
        </w:rPr>
        <w:instrText xml:space="preserve">ADDIN Mendeley Bibliography CSL_BIBLIOGRAPHY </w:instrText>
      </w:r>
      <w:r>
        <w:rPr>
          <w:sz w:val="19"/>
          <w:szCs w:val="19"/>
        </w:rPr>
        <w:fldChar w:fldCharType="separate"/>
      </w:r>
      <w:r>
        <w:rPr>
          <w:sz w:val="19"/>
          <w:szCs w:val="19"/>
        </w:rPr>
        <w:t xml:space="preserve">1. </w:t>
      </w:r>
      <w:r>
        <w:rPr>
          <w:sz w:val="19"/>
          <w:szCs w:val="19"/>
        </w:rPr>
        <w:tab/>
      </w:r>
      <w:r>
        <w:rPr>
          <w:sz w:val="19"/>
          <w:szCs w:val="19"/>
        </w:rPr>
        <w:t xml:space="preserve">Skrivankova VW, Richmond RC, Woolf BAR, Yarmolinsky J, Davies NM, Swanson SA, et al. Strengthening the Reporting of Observational Studies in Epidemiology using Mendelian Randomization (STROBE-MR) Statement. JAMA. 2021;under review. </w:t>
      </w:r>
    </w:p>
    <w:p>
      <w:pPr>
        <w:widowControl w:val="0"/>
        <w:autoSpaceDE w:val="0"/>
        <w:autoSpaceDN w:val="0"/>
        <w:adjustRightInd w:val="0"/>
        <w:spacing w:before="240" w:after="240" w:line="240" w:lineRule="auto"/>
        <w:ind w:left="640" w:hanging="640"/>
        <w:rPr>
          <w:sz w:val="19"/>
          <w:szCs w:val="19"/>
        </w:rPr>
      </w:pPr>
      <w:r>
        <w:rPr>
          <w:sz w:val="19"/>
          <w:szCs w:val="19"/>
        </w:rPr>
        <w:t xml:space="preserve">2. </w:t>
      </w:r>
      <w:r>
        <w:rPr>
          <w:sz w:val="19"/>
          <w:szCs w:val="19"/>
        </w:rPr>
        <w:tab/>
      </w:r>
      <w:r>
        <w:rPr>
          <w:sz w:val="19"/>
          <w:szCs w:val="19"/>
        </w:rPr>
        <w:t xml:space="preserve">Skrivankova VW, Richmond RC, Woolf BAR, Davies NM, Swanson SA, VanderWeele TJ, et al. Strengthening the Reporting of Observational Studies in Epidemiology using Mendelian Randomisation (STROBE-MR): Explanation and Elaboration. BMJ. 2021;375:n2233. </w:t>
      </w:r>
    </w:p>
    <w:p>
      <w:pPr>
        <w:spacing w:before="240" w:after="240"/>
      </w:pPr>
      <w:r>
        <w:rPr>
          <w:sz w:val="19"/>
          <w:szCs w:val="19"/>
        </w:rPr>
        <w:fldChar w:fldCharType="end"/>
      </w:r>
    </w:p>
    <w:sectPr>
      <w:footerReference r:id="rId5" w:type="default"/>
      <w:footerReference r:id="rId6" w:type="even"/>
      <w:pgSz w:w="15840" w:h="12240" w:orient="landscape"/>
      <w:pgMar w:top="1008" w:right="720" w:bottom="1008" w:left="720" w:header="720" w:footer="720" w:gutter="0"/>
      <w:pgNumType w:start="1"/>
      <w:cols w:space="720" w:num="1"/>
      <w:docGrid w:linePitch="299"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pPr>
    <w:r>
      <w:fldChar w:fldCharType="begin"/>
    </w:r>
    <w:r>
      <w:instrText xml:space="preserve"> PAGE   \* MERGEFORMAT </w:instrText>
    </w:r>
    <w:r>
      <w:fldChar w:fldCharType="separate"/>
    </w:r>
    <w:r>
      <w:t>1</w:t>
    </w:r>
    <w:r>
      <w:fldChar w:fldCharType="end"/>
    </w:r>
  </w:p>
  <w:p>
    <w:pPr>
      <w:pStyle w:val="2"/>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uto" w:vAnchor="text" w:hAnchor="margin" w:xAlign="right" w:y="1"/>
      <w:rPr>
        <w:rStyle w:val="5"/>
      </w:rPr>
    </w:pPr>
  </w:p>
  <w:p>
    <w:pPr>
      <w:pStyle w:val="2"/>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720"/>
  <w:displayHorizontalDrawingGridEvery w:val="0"/>
  <w:displayVerticalDrawingGridEvery w:val="2"/>
  <w:characterSpacingControl w:val="doNotCompress"/>
  <w:footnotePr>
    <w:footnote w:id="0"/>
    <w:footnote w:id="1"/>
  </w:footnotePr>
  <w:endnotePr>
    <w:endnote w:id="0"/>
    <w:endnote w:id="1"/>
  </w:endnotePr>
  <w:compat>
    <w:balanceSingleByteDoubleByteWidth/>
    <w:doNotExpandShiftReturn/>
    <w:adjustLineHeightInTable/>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GI4NjI5OTBmMDM1ODFlMDkzNDFlZTFiMWNhZWU5ZTMifQ=="/>
  </w:docVars>
  <w:rsids>
    <w:rsidRoot w:val="00914C56"/>
    <w:rsid w:val="000A4CE8"/>
    <w:rsid w:val="002663E6"/>
    <w:rsid w:val="003D447D"/>
    <w:rsid w:val="003D47DD"/>
    <w:rsid w:val="004B5CBB"/>
    <w:rsid w:val="004E11D4"/>
    <w:rsid w:val="00514462"/>
    <w:rsid w:val="005520ED"/>
    <w:rsid w:val="005A0D0D"/>
    <w:rsid w:val="00685D31"/>
    <w:rsid w:val="006912BF"/>
    <w:rsid w:val="006A41D0"/>
    <w:rsid w:val="006B08D5"/>
    <w:rsid w:val="00804498"/>
    <w:rsid w:val="00914C56"/>
    <w:rsid w:val="00950729"/>
    <w:rsid w:val="009854A9"/>
    <w:rsid w:val="009E033F"/>
    <w:rsid w:val="00BB6328"/>
    <w:rsid w:val="00D65199"/>
    <w:rsid w:val="00D8098C"/>
    <w:rsid w:val="00ED48A3"/>
    <w:rsid w:val="00EF4B94"/>
    <w:rsid w:val="3443482E"/>
    <w:rsid w:val="574D3726"/>
    <w:rsid w:val="5CC605E3"/>
    <w:rsid w:val="759721F6"/>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qFormat="1"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spacing w:after="0" w:line="276" w:lineRule="auto"/>
    </w:pPr>
    <w:rPr>
      <w:rFonts w:ascii="Arial" w:hAnsi="Arial" w:eastAsia="Arial" w:cs="Arial"/>
      <w:sz w:val="22"/>
      <w:szCs w:val="22"/>
      <w:lang w:val="en" w:eastAsia="de-CH" w:bidi="ar-SA"/>
    </w:rPr>
  </w:style>
  <w:style w:type="character" w:default="1" w:styleId="4">
    <w:name w:val="Default Paragraph Font"/>
    <w:autoRedefine/>
    <w:semiHidden/>
    <w:unhideWhenUsed/>
    <w:qFormat/>
    <w:uiPriority w:val="1"/>
  </w:style>
  <w:style w:type="table" w:default="1" w:styleId="3">
    <w:name w:val="Normal Table"/>
    <w:autoRedefin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footer"/>
    <w:basedOn w:val="1"/>
    <w:link w:val="7"/>
    <w:autoRedefine/>
    <w:unhideWhenUsed/>
    <w:qFormat/>
    <w:uiPriority w:val="99"/>
    <w:pPr>
      <w:tabs>
        <w:tab w:val="center" w:pos="4680"/>
        <w:tab w:val="right" w:pos="9360"/>
      </w:tabs>
      <w:spacing w:line="240" w:lineRule="auto"/>
    </w:pPr>
  </w:style>
  <w:style w:type="character" w:styleId="5">
    <w:name w:val="page number"/>
    <w:basedOn w:val="4"/>
    <w:autoRedefine/>
    <w:semiHidden/>
    <w:unhideWhenUsed/>
    <w:qFormat/>
    <w:uiPriority w:val="99"/>
  </w:style>
  <w:style w:type="character" w:styleId="6">
    <w:name w:val="line number"/>
    <w:basedOn w:val="4"/>
    <w:autoRedefine/>
    <w:semiHidden/>
    <w:unhideWhenUsed/>
    <w:qFormat/>
    <w:uiPriority w:val="99"/>
  </w:style>
  <w:style w:type="character" w:customStyle="1" w:styleId="7">
    <w:name w:val="Footer Char"/>
    <w:basedOn w:val="4"/>
    <w:link w:val="2"/>
    <w:autoRedefine/>
    <w:qFormat/>
    <w:uiPriority w:val="99"/>
    <w:rPr>
      <w:rFonts w:ascii="Arial" w:hAnsi="Arial" w:eastAsia="Arial" w:cs="Arial"/>
      <w:lang w:val="en" w:eastAsia="de-CH"/>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D76252F6EC97BD48BFC15397CDF87BCA" ma:contentTypeVersion="14" ma:contentTypeDescription="Ein neues Dokument erstellen." ma:contentTypeScope="" ma:versionID="99bba3a2774fdba6befc8d470ad041a8">
  <xsd:schema xmlns:xsd="http://www.w3.org/2001/XMLSchema" xmlns:xs="http://www.w3.org/2001/XMLSchema" xmlns:p="http://schemas.microsoft.com/office/2006/metadata/properties" xmlns:ns3="892d8916-a04a-483c-b38c-baf9957a1c5f" xmlns:ns4="697eed72-5420-4f01-93c1-7c9f4310e871" targetNamespace="http://schemas.microsoft.com/office/2006/metadata/properties" ma:root="true" ma:fieldsID="08b8b0ba8c484102a3bbe13611225d97" ns3:_="" ns4:_="">
    <xsd:import namespace="892d8916-a04a-483c-b38c-baf9957a1c5f"/>
    <xsd:import namespace="697eed72-5420-4f01-93c1-7c9f4310e87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92d8916-a04a-483c-b38c-baf9957a1c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697eed72-5420-4f01-93c1-7c9f4310e871"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SharingHintHash" ma:index="20"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7DA32DB-E5B8-4E32-AD11-08F2E668867B}">
  <ds:schemaRefs/>
</ds:datastoreItem>
</file>

<file path=customXml/itemProps2.xml><?xml version="1.0" encoding="utf-8"?>
<ds:datastoreItem xmlns:ds="http://schemas.openxmlformats.org/officeDocument/2006/customXml" ds:itemID="{9FB0931C-FCE2-4CC4-80DE-15614B41F1F9}">
  <ds:schemaRefs/>
</ds:datastoreItem>
</file>

<file path=customXml/itemProps3.xml><?xml version="1.0" encoding="utf-8"?>
<ds:datastoreItem xmlns:ds="http://schemas.openxmlformats.org/officeDocument/2006/customXml" ds:itemID="{5DF20111-77FD-4F18-8E31-D737874646AB}">
  <ds:schemaRefs/>
</ds:datastoreItem>
</file>

<file path=customXml/itemProps4.xml><?xml version="1.0" encoding="utf-8"?>
<ds:datastoreItem xmlns:ds="http://schemas.openxmlformats.org/officeDocument/2006/customXml" ds:itemID="{A9898B61-61B7-44F1-9388-8B27875B1EDA}">
  <ds:schemaRefs/>
</ds:datastoreItem>
</file>

<file path=docProps/app.xml><?xml version="1.0" encoding="utf-8"?>
<Properties xmlns="http://schemas.openxmlformats.org/officeDocument/2006/extended-properties" xmlns:vt="http://schemas.openxmlformats.org/officeDocument/2006/docPropsVTypes">
  <Template>Normal.dotm</Template>
  <Company>University of Bern</Company>
  <Pages>4</Pages>
  <Words>1713</Words>
  <Characters>11466</Characters>
  <Lines>286</Lines>
  <Paragraphs>146</Paragraphs>
  <TotalTime>16</TotalTime>
  <ScaleCrop>false</ScaleCrop>
  <LinksUpToDate>false</LinksUpToDate>
  <CharactersWithSpaces>13033</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2022-04-07T08:09:00Z</dcterms:created>
  <dc:creator>Whitesell, Veronika (ISPM)</dc:creator>
  <cp:lastModifiedBy>赵骏阳</cp:lastModifiedBy>
  <cp:lastPrinted>2021-09-28T07:08:00Z</cp:lastPrinted>
  <dcterms:modified xsi:type="dcterms:W3CDTF">2024-02-02T14:49:13Z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0x010100D76252F6EC97BD48BFC15397CDF87BCA</vt:lpwstr>
  </property>
  <property fmtid="{D5CDD505-2E9C-101B-9397-08002B2CF9AE}" pid="3" name="Mendeley Document_1">
    <vt:lpwstr>True</vt:lpwstr>
  </property>
  <property fmtid="{D5CDD505-2E9C-101B-9397-08002B2CF9AE}" pid="4" name="Mendeley Unique User Id_1">
    <vt:lpwstr>54eed440-5ecd-3ecc-9960-859334ccb0da</vt:lpwstr>
  </property>
  <property fmtid="{D5CDD505-2E9C-101B-9397-08002B2CF9AE}" pid="5" name="Mendeley Citation Style_1">
    <vt:lpwstr>http://www.zotero.org/styles/vancouver-superscript</vt:lpwstr>
  </property>
  <property fmtid="{D5CDD505-2E9C-101B-9397-08002B2CF9AE}" pid="6" name="Mendeley Recent Style Id 0_1">
    <vt:lpwstr>http://www.zotero.org/styles/american-medical-association</vt:lpwstr>
  </property>
  <property fmtid="{D5CDD505-2E9C-101B-9397-08002B2CF9AE}" pid="7" name="Mendeley Recent Style Name 0_1">
    <vt:lpwstr>American Medical Association</vt:lpwstr>
  </property>
  <property fmtid="{D5CDD505-2E9C-101B-9397-08002B2CF9AE}" pid="8" name="Mendeley Recent Style Id 1_1">
    <vt:lpwstr>http://www.zotero.org/styles/american-political-science-association</vt:lpwstr>
  </property>
  <property fmtid="{D5CDD505-2E9C-101B-9397-08002B2CF9AE}" pid="9" name="Mendeley Recent Style Name 1_1">
    <vt:lpwstr>American Political Science Association</vt:lpwstr>
  </property>
  <property fmtid="{D5CDD505-2E9C-101B-9397-08002B2CF9AE}" pid="10" name="Mendeley Recent Style Id 2_1">
    <vt:lpwstr>http://www.zotero.org/styles/apa</vt:lpwstr>
  </property>
  <property fmtid="{D5CDD505-2E9C-101B-9397-08002B2CF9AE}" pid="11" name="Mendeley Recent Style Name 2_1">
    <vt:lpwstr>American Psychological Association 6th edition</vt:lpwstr>
  </property>
  <property fmtid="{D5CDD505-2E9C-101B-9397-08002B2CF9AE}" pid="12" name="Mendeley Recent Style Id 3_1">
    <vt:lpwstr>http://www.zotero.org/styles/american-sociological-association</vt:lpwstr>
  </property>
  <property fmtid="{D5CDD505-2E9C-101B-9397-08002B2CF9AE}" pid="13" name="Mendeley Recent Style Name 3_1">
    <vt:lpwstr>American Sociological Association</vt:lpwstr>
  </property>
  <property fmtid="{D5CDD505-2E9C-101B-9397-08002B2CF9AE}" pid="14" name="Mendeley Recent Style Id 4_1">
    <vt:lpwstr>http://www.zotero.org/styles/chicago-author-date</vt:lpwstr>
  </property>
  <property fmtid="{D5CDD505-2E9C-101B-9397-08002B2CF9AE}" pid="15" name="Mendeley Recent Style Name 4_1">
    <vt:lpwstr>Chicago Manual of Style 17th edition (author-date)</vt:lpwstr>
  </property>
  <property fmtid="{D5CDD505-2E9C-101B-9397-08002B2CF9AE}" pid="16" name="Mendeley Recent Style Id 5_1">
    <vt:lpwstr>http://www.zotero.org/styles/harvard-cite-them-right</vt:lpwstr>
  </property>
  <property fmtid="{D5CDD505-2E9C-101B-9397-08002B2CF9AE}" pid="17" name="Mendeley Recent Style Name 5_1">
    <vt:lpwstr>Cite Them Right 10th edition - Harvard</vt:lpwstr>
  </property>
  <property fmtid="{D5CDD505-2E9C-101B-9397-08002B2CF9AE}" pid="18" name="Mendeley Recent Style Id 6_1">
    <vt:lpwstr>http://www.zotero.org/styles/ieee</vt:lpwstr>
  </property>
  <property fmtid="{D5CDD505-2E9C-101B-9397-08002B2CF9AE}" pid="19" name="Mendeley Recent Style Name 6_1">
    <vt:lpwstr>IEEE</vt:lpwstr>
  </property>
  <property fmtid="{D5CDD505-2E9C-101B-9397-08002B2CF9AE}" pid="20" name="Mendeley Recent Style Id 7_1">
    <vt:lpwstr>http://www.zotero.org/styles/vancouver-imperial-college-london</vt:lpwstr>
  </property>
  <property fmtid="{D5CDD505-2E9C-101B-9397-08002B2CF9AE}" pid="21" name="Mendeley Recent Style Name 7_1">
    <vt:lpwstr>Imperial College London - Vancouver</vt:lpwstr>
  </property>
  <property fmtid="{D5CDD505-2E9C-101B-9397-08002B2CF9AE}" pid="22" name="Mendeley Recent Style Id 8_1">
    <vt:lpwstr>http://www.zotero.org/styles/vancouver</vt:lpwstr>
  </property>
  <property fmtid="{D5CDD505-2E9C-101B-9397-08002B2CF9AE}" pid="23" name="Mendeley Recent Style Name 8_1">
    <vt:lpwstr>Vancouver</vt:lpwstr>
  </property>
  <property fmtid="{D5CDD505-2E9C-101B-9397-08002B2CF9AE}" pid="24" name="Mendeley Recent Style Id 9_1">
    <vt:lpwstr>http://www.zotero.org/styles/vancouver-superscript</vt:lpwstr>
  </property>
  <property fmtid="{D5CDD505-2E9C-101B-9397-08002B2CF9AE}" pid="25" name="Mendeley Recent Style Name 9_1">
    <vt:lpwstr>Vancouver (superscript)</vt:lpwstr>
  </property>
  <property fmtid="{D5CDD505-2E9C-101B-9397-08002B2CF9AE}" pid="26" name="KSOProductBuildVer">
    <vt:lpwstr>2052-12.1.0.16120</vt:lpwstr>
  </property>
  <property fmtid="{D5CDD505-2E9C-101B-9397-08002B2CF9AE}" pid="27" name="ICV">
    <vt:lpwstr>4397AB651E774E0A804DF21FFFE2E23B_12</vt:lpwstr>
  </property>
</Properties>
</file>