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4B601B" w14:textId="77777777" w:rsidR="00081E36" w:rsidRPr="003C5365" w:rsidRDefault="00081E36" w:rsidP="00081E36">
      <w:pPr>
        <w:spacing w:before="240" w:after="240"/>
        <w:jc w:val="center"/>
        <w:rPr>
          <w:rFonts w:ascii="Calibri" w:hAnsi="Calibri" w:cs="Calibri"/>
          <w:b/>
          <w:color w:val="FF0000"/>
          <w:sz w:val="36"/>
        </w:rPr>
      </w:pPr>
      <w:r w:rsidRPr="003C5365">
        <w:rPr>
          <w:rFonts w:ascii="Calibri" w:hAnsi="Calibri" w:cs="Calibri"/>
          <w:noProof/>
          <w:lang w:eastAsia="en-GB"/>
        </w:rPr>
        <w:drawing>
          <wp:inline distT="0" distB="0" distL="0" distR="0" wp14:anchorId="7C9C8906" wp14:editId="1C41AC49">
            <wp:extent cx="2657475" cy="1266825"/>
            <wp:effectExtent l="0" t="0" r="9525" b="9525"/>
            <wp:docPr id="5" name="Picture 5" descr="design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ign image"/>
                    <pic:cNvPicPr>
                      <a:picLocks noChangeAspect="1" noChangeArrowheads="1"/>
                    </pic:cNvPicPr>
                  </pic:nvPicPr>
                  <pic:blipFill rotWithShape="1">
                    <a:blip r:embed="rId11">
                      <a:extLst>
                        <a:ext uri="{28A0092B-C50C-407E-A947-70E740481C1C}">
                          <a14:useLocalDpi xmlns:a14="http://schemas.microsoft.com/office/drawing/2010/main" val="0"/>
                        </a:ext>
                      </a:extLst>
                    </a:blip>
                    <a:srcRect l="2231" t="11751" r="53304" b="68713"/>
                    <a:stretch/>
                  </pic:blipFill>
                  <pic:spPr bwMode="auto">
                    <a:xfrm>
                      <a:off x="0" y="0"/>
                      <a:ext cx="2657481" cy="1266828"/>
                    </a:xfrm>
                    <a:prstGeom prst="rect">
                      <a:avLst/>
                    </a:prstGeom>
                    <a:noFill/>
                    <a:ln>
                      <a:noFill/>
                    </a:ln>
                    <a:extLst>
                      <a:ext uri="{53640926-AAD7-44D8-BBD7-CCE9431645EC}">
                        <a14:shadowObscured xmlns:a14="http://schemas.microsoft.com/office/drawing/2010/main"/>
                      </a:ext>
                    </a:extLst>
                  </pic:spPr>
                </pic:pic>
              </a:graphicData>
            </a:graphic>
          </wp:inline>
        </w:drawing>
      </w:r>
    </w:p>
    <w:p w14:paraId="5FB2CEA3" w14:textId="77777777" w:rsidR="00081E36" w:rsidRPr="003C5365" w:rsidRDefault="00081E36" w:rsidP="00081E36">
      <w:pPr>
        <w:jc w:val="center"/>
        <w:rPr>
          <w:rFonts w:ascii="Calibri" w:hAnsi="Calibri" w:cs="Calibri"/>
        </w:rPr>
      </w:pPr>
      <w:r w:rsidRPr="003C5365">
        <w:rPr>
          <w:rFonts w:ascii="Calibri" w:hAnsi="Calibri" w:cs="Calibri"/>
          <w:b/>
        </w:rPr>
        <w:t xml:space="preserve">Study Title: A randomised controlled trial of </w:t>
      </w:r>
      <w:proofErr w:type="spellStart"/>
      <w:r w:rsidRPr="003C5365">
        <w:rPr>
          <w:rFonts w:ascii="Calibri" w:hAnsi="Calibri" w:cs="Calibri"/>
          <w:b/>
        </w:rPr>
        <w:t>TRANSrectal</w:t>
      </w:r>
      <w:proofErr w:type="spellEnd"/>
      <w:r w:rsidRPr="003C5365">
        <w:rPr>
          <w:rFonts w:ascii="Calibri" w:hAnsi="Calibri" w:cs="Calibri"/>
          <w:b/>
        </w:rPr>
        <w:t xml:space="preserve"> biopsy versus Local Anaesthetic </w:t>
      </w:r>
      <w:proofErr w:type="spellStart"/>
      <w:r w:rsidRPr="003C5365">
        <w:rPr>
          <w:rFonts w:ascii="Calibri" w:hAnsi="Calibri" w:cs="Calibri"/>
          <w:b/>
        </w:rPr>
        <w:t>Transperineal</w:t>
      </w:r>
      <w:proofErr w:type="spellEnd"/>
      <w:r w:rsidRPr="003C5365">
        <w:rPr>
          <w:rFonts w:ascii="Calibri" w:hAnsi="Calibri" w:cs="Calibri"/>
          <w:b/>
        </w:rPr>
        <w:t xml:space="preserve"> biopsy Evaluation (TRANSLATE) of potentially clinically significant prostate </w:t>
      </w:r>
      <w:proofErr w:type="gramStart"/>
      <w:r w:rsidRPr="003C5365">
        <w:rPr>
          <w:rFonts w:ascii="Calibri" w:hAnsi="Calibri" w:cs="Calibri"/>
          <w:b/>
        </w:rPr>
        <w:t>cancer</w:t>
      </w:r>
      <w:proofErr w:type="gramEnd"/>
    </w:p>
    <w:p w14:paraId="69AE3375" w14:textId="77777777" w:rsidR="00081E36" w:rsidRPr="003C5365" w:rsidRDefault="00081E36" w:rsidP="00081E36">
      <w:pPr>
        <w:spacing w:before="240" w:after="240"/>
        <w:jc w:val="center"/>
        <w:rPr>
          <w:rFonts w:ascii="Calibri" w:hAnsi="Calibri" w:cs="Calibri"/>
          <w:b/>
          <w:sz w:val="36"/>
        </w:rPr>
      </w:pPr>
      <w:r>
        <w:rPr>
          <w:rFonts w:ascii="Calibri" w:hAnsi="Calibri" w:cs="Calibri"/>
          <w:b/>
          <w:sz w:val="36"/>
        </w:rPr>
        <w:t>Bayesian</w:t>
      </w:r>
      <w:r w:rsidRPr="003C5365">
        <w:rPr>
          <w:rFonts w:ascii="Calibri" w:hAnsi="Calibri" w:cs="Calibri"/>
          <w:b/>
          <w:sz w:val="36"/>
        </w:rPr>
        <w:t xml:space="preserve"> Analysis Plan (</w:t>
      </w:r>
      <w:r>
        <w:rPr>
          <w:rFonts w:ascii="Calibri" w:hAnsi="Calibri" w:cs="Calibri"/>
          <w:b/>
          <w:sz w:val="36"/>
        </w:rPr>
        <w:t>B</w:t>
      </w:r>
      <w:r w:rsidRPr="003C5365">
        <w:rPr>
          <w:rFonts w:ascii="Calibri" w:hAnsi="Calibri" w:cs="Calibri"/>
          <w:b/>
          <w:sz w:val="36"/>
        </w:rPr>
        <w:t xml:space="preserve">AP) </w:t>
      </w:r>
    </w:p>
    <w:p w14:paraId="5AF8ED17" w14:textId="09F2DEA4" w:rsidR="00081E36" w:rsidRPr="003C5365" w:rsidRDefault="00081E36" w:rsidP="00081E36">
      <w:pPr>
        <w:spacing w:after="120"/>
        <w:jc w:val="center"/>
        <w:rPr>
          <w:rFonts w:ascii="Calibri" w:hAnsi="Calibri" w:cs="Calibri"/>
          <w:sz w:val="28"/>
        </w:rPr>
      </w:pPr>
      <w:r w:rsidRPr="003C5365">
        <w:rPr>
          <w:rFonts w:ascii="Calibri" w:hAnsi="Calibri" w:cs="Calibri"/>
          <w:sz w:val="28"/>
        </w:rPr>
        <w:t>Version</w:t>
      </w:r>
      <w:r>
        <w:rPr>
          <w:rFonts w:ascii="Calibri" w:hAnsi="Calibri" w:cs="Calibri"/>
          <w:sz w:val="28"/>
        </w:rPr>
        <w:t xml:space="preserve"> </w:t>
      </w:r>
      <w:r w:rsidR="002E1D8B">
        <w:rPr>
          <w:rFonts w:ascii="Calibri" w:hAnsi="Calibri" w:cs="Calibri"/>
          <w:sz w:val="28"/>
        </w:rPr>
        <w:t>1</w:t>
      </w:r>
      <w:r w:rsidR="006744A0">
        <w:rPr>
          <w:rFonts w:ascii="Calibri" w:hAnsi="Calibri" w:cs="Calibri"/>
          <w:sz w:val="28"/>
        </w:rPr>
        <w:t xml:space="preserve">.0 - </w:t>
      </w:r>
      <w:r w:rsidR="00D32E18">
        <w:rPr>
          <w:rFonts w:ascii="Calibri" w:hAnsi="Calibri" w:cs="Calibri"/>
          <w:sz w:val="28"/>
        </w:rPr>
        <w:t>3</w:t>
      </w:r>
      <w:r w:rsidR="006744A0">
        <w:rPr>
          <w:rFonts w:ascii="Calibri" w:hAnsi="Calibri" w:cs="Calibri"/>
          <w:sz w:val="28"/>
        </w:rPr>
        <w:t>1</w:t>
      </w:r>
      <w:r w:rsidR="002F46D6">
        <w:rPr>
          <w:rFonts w:ascii="Calibri" w:hAnsi="Calibri" w:cs="Calibri"/>
          <w:sz w:val="28"/>
        </w:rPr>
        <w:t>Jan</w:t>
      </w:r>
      <w:r w:rsidRPr="00835B75">
        <w:rPr>
          <w:rFonts w:ascii="Calibri" w:hAnsi="Calibri" w:cs="Calibri"/>
          <w:sz w:val="28"/>
        </w:rPr>
        <w:t>202</w:t>
      </w:r>
      <w:r w:rsidR="002F46D6">
        <w:rPr>
          <w:rFonts w:ascii="Calibri" w:hAnsi="Calibri" w:cs="Calibri"/>
          <w:sz w:val="28"/>
        </w:rPr>
        <w:t>4</w:t>
      </w:r>
    </w:p>
    <w:p w14:paraId="1AAC602D" w14:textId="77777777" w:rsidR="00081E36" w:rsidRPr="003C5365" w:rsidRDefault="00081E36" w:rsidP="00081E36">
      <w:pPr>
        <w:spacing w:after="120"/>
        <w:jc w:val="center"/>
        <w:rPr>
          <w:rStyle w:val="complextitleprimary"/>
          <w:rFonts w:ascii="Calibri" w:hAnsi="Calibri" w:cs="Calibri"/>
          <w:sz w:val="28"/>
        </w:rPr>
      </w:pPr>
      <w:r w:rsidRPr="003C5365">
        <w:rPr>
          <w:rFonts w:ascii="Calibri" w:hAnsi="Calibri" w:cs="Calibri"/>
          <w:sz w:val="28"/>
        </w:rPr>
        <w:t xml:space="preserve">Trial Registration: ISRCTN </w:t>
      </w:r>
      <w:r w:rsidRPr="003C5365">
        <w:rPr>
          <w:rStyle w:val="complextitleprimary"/>
          <w:rFonts w:ascii="Calibri" w:hAnsi="Calibri" w:cs="Calibri"/>
          <w:sz w:val="28"/>
        </w:rPr>
        <w:t>98159689</w:t>
      </w:r>
    </w:p>
    <w:p w14:paraId="61F26980" w14:textId="77777777" w:rsidR="00081E36" w:rsidRPr="003C5365" w:rsidRDefault="00081E36" w:rsidP="00081E36">
      <w:pPr>
        <w:jc w:val="center"/>
        <w:rPr>
          <w:rFonts w:ascii="Calibri" w:hAnsi="Calibri" w:cs="Calibri"/>
          <w:sz w:val="28"/>
        </w:rPr>
      </w:pPr>
      <w:r w:rsidRPr="003C5365">
        <w:rPr>
          <w:rFonts w:ascii="Calibri" w:hAnsi="Calibri" w:cs="Calibri"/>
          <w:sz w:val="28"/>
        </w:rPr>
        <w:t xml:space="preserve">Based on Protocol Version </w:t>
      </w:r>
      <w:r>
        <w:rPr>
          <w:rFonts w:ascii="Calibri" w:hAnsi="Calibri" w:cs="Calibri"/>
          <w:sz w:val="28"/>
        </w:rPr>
        <w:t>3</w:t>
      </w:r>
      <w:r w:rsidRPr="003C5365">
        <w:rPr>
          <w:rFonts w:ascii="Calibri" w:hAnsi="Calibri" w:cs="Calibri"/>
          <w:sz w:val="28"/>
        </w:rPr>
        <w:t xml:space="preserve">.0 – </w:t>
      </w:r>
      <w:r>
        <w:rPr>
          <w:rFonts w:ascii="Calibri" w:hAnsi="Calibri" w:cs="Calibri"/>
          <w:sz w:val="28"/>
        </w:rPr>
        <w:t>14Nov2022</w:t>
      </w:r>
    </w:p>
    <w:p w14:paraId="2BC63475" w14:textId="77777777" w:rsidR="00081E36" w:rsidRPr="003C5365" w:rsidRDefault="00081E36" w:rsidP="00081E36">
      <w:pPr>
        <w:jc w:val="center"/>
        <w:rPr>
          <w:rFonts w:ascii="Calibri" w:hAnsi="Calibri" w:cs="Calibri"/>
          <w:sz w:val="28"/>
        </w:rPr>
      </w:pPr>
    </w:p>
    <w:p w14:paraId="6DD747FD" w14:textId="77777777" w:rsidR="00081E36" w:rsidRPr="003C5365" w:rsidRDefault="00081E36" w:rsidP="00081E36">
      <w:pPr>
        <w:jc w:val="both"/>
        <w:rPr>
          <w:rFonts w:ascii="Calibri" w:hAnsi="Calibri" w:cs="Calibri"/>
          <w:sz w:val="28"/>
        </w:rPr>
      </w:pPr>
    </w:p>
    <w:p w14:paraId="76F1ACCB" w14:textId="77777777" w:rsidR="00081E36" w:rsidRPr="003C5365" w:rsidRDefault="00081E36" w:rsidP="00081E36">
      <w:pPr>
        <w:jc w:val="both"/>
        <w:rPr>
          <w:rFonts w:ascii="Calibri" w:hAnsi="Calibri" w:cs="Calibri"/>
          <w:sz w:val="28"/>
        </w:rPr>
      </w:pPr>
    </w:p>
    <w:p w14:paraId="307ED990" w14:textId="77777777" w:rsidR="00081E36" w:rsidRPr="003C5365" w:rsidRDefault="00081E36" w:rsidP="00081E36">
      <w:pPr>
        <w:spacing w:after="120"/>
        <w:jc w:val="center"/>
        <w:rPr>
          <w:rFonts w:ascii="Calibri" w:hAnsi="Calibri" w:cs="Calibri"/>
          <w:b/>
          <w:sz w:val="28"/>
        </w:rPr>
      </w:pPr>
      <w:r w:rsidRPr="003C5365">
        <w:rPr>
          <w:rFonts w:ascii="Calibri" w:hAnsi="Calibri" w:cs="Calibri"/>
          <w:b/>
          <w:sz w:val="28"/>
        </w:rPr>
        <w:t>Oxford Clinical Trials Research Unit (OCTRU)</w:t>
      </w:r>
    </w:p>
    <w:p w14:paraId="0D6D3FDC" w14:textId="77777777" w:rsidR="00081E36" w:rsidRPr="003C5365" w:rsidRDefault="00081E36" w:rsidP="00081E36">
      <w:pPr>
        <w:spacing w:after="120"/>
        <w:jc w:val="center"/>
        <w:rPr>
          <w:rFonts w:ascii="Calibri" w:hAnsi="Calibri" w:cs="Calibri"/>
          <w:b/>
          <w:sz w:val="28"/>
        </w:rPr>
      </w:pPr>
      <w:r w:rsidRPr="003C5365">
        <w:rPr>
          <w:rFonts w:ascii="Calibri" w:hAnsi="Calibri" w:cs="Calibri"/>
          <w:b/>
          <w:sz w:val="28"/>
        </w:rPr>
        <w:t>and</w:t>
      </w:r>
    </w:p>
    <w:p w14:paraId="33378688" w14:textId="77777777" w:rsidR="00081E36" w:rsidRPr="003C5365" w:rsidRDefault="00081E36" w:rsidP="00081E36">
      <w:pPr>
        <w:spacing w:after="120"/>
        <w:jc w:val="center"/>
        <w:rPr>
          <w:rFonts w:ascii="Calibri" w:hAnsi="Calibri" w:cs="Calibri"/>
          <w:b/>
          <w:sz w:val="28"/>
        </w:rPr>
      </w:pPr>
      <w:r w:rsidRPr="003C5365">
        <w:rPr>
          <w:rFonts w:ascii="Calibri" w:hAnsi="Calibri" w:cs="Calibri"/>
          <w:b/>
          <w:sz w:val="28"/>
        </w:rPr>
        <w:t>Centre for Statistics in Medicine (CSM)</w:t>
      </w:r>
    </w:p>
    <w:p w14:paraId="7430DE4E" w14:textId="77777777" w:rsidR="00081E36" w:rsidRPr="003C5365" w:rsidRDefault="00081E36" w:rsidP="00081E36">
      <w:pPr>
        <w:spacing w:after="120"/>
        <w:jc w:val="both"/>
        <w:rPr>
          <w:rFonts w:ascii="Calibri" w:hAnsi="Calibri" w:cs="Calibri"/>
          <w:b/>
          <w:sz w:val="28"/>
        </w:rPr>
      </w:pPr>
    </w:p>
    <w:p w14:paraId="11CD3A71" w14:textId="77777777" w:rsidR="00081E36" w:rsidRPr="003C5365" w:rsidRDefault="00081E36" w:rsidP="00081E36">
      <w:pPr>
        <w:spacing w:after="120"/>
        <w:jc w:val="both"/>
        <w:rPr>
          <w:rFonts w:ascii="Calibri" w:hAnsi="Calibri" w:cs="Calibri"/>
          <w:b/>
          <w:sz w:val="28"/>
        </w:rPr>
      </w:pPr>
      <w:r w:rsidRPr="003C5365">
        <w:rPr>
          <w:rFonts w:ascii="Calibri" w:hAnsi="Calibri" w:cs="Calibri"/>
          <w:b/>
          <w:noProof/>
          <w:sz w:val="28"/>
          <w:lang w:eastAsia="en-GB"/>
        </w:rPr>
        <w:drawing>
          <wp:anchor distT="0" distB="0" distL="114300" distR="114300" simplePos="0" relativeHeight="251660288" behindDoc="0" locked="0" layoutInCell="1" allowOverlap="1" wp14:anchorId="1E7B1ECC" wp14:editId="74594D60">
            <wp:simplePos x="0" y="0"/>
            <wp:positionH relativeFrom="column">
              <wp:posOffset>2943225</wp:posOffset>
            </wp:positionH>
            <wp:positionV relativeFrom="paragraph">
              <wp:posOffset>40005</wp:posOffset>
            </wp:positionV>
            <wp:extent cx="1581785" cy="840105"/>
            <wp:effectExtent l="0" t="0" r="0" b="0"/>
            <wp:wrapSquare wrapText="bothSides"/>
            <wp:docPr id="3" name="Picture 3"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Icon&#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581785" cy="840105"/>
                    </a:xfrm>
                    <a:prstGeom prst="rect">
                      <a:avLst/>
                    </a:prstGeom>
                  </pic:spPr>
                </pic:pic>
              </a:graphicData>
            </a:graphic>
            <wp14:sizeRelH relativeFrom="margin">
              <wp14:pctWidth>0</wp14:pctWidth>
            </wp14:sizeRelH>
          </wp:anchor>
        </w:drawing>
      </w:r>
      <w:r w:rsidRPr="003C5365">
        <w:rPr>
          <w:rFonts w:ascii="Calibri" w:hAnsi="Calibri" w:cs="Calibri"/>
          <w:b/>
          <w:noProof/>
          <w:sz w:val="28"/>
          <w:lang w:eastAsia="en-GB"/>
        </w:rPr>
        <w:drawing>
          <wp:anchor distT="0" distB="0" distL="114300" distR="114300" simplePos="0" relativeHeight="251659264" behindDoc="0" locked="0" layoutInCell="1" allowOverlap="1" wp14:anchorId="20FA50D7" wp14:editId="3DFC1069">
            <wp:simplePos x="0" y="0"/>
            <wp:positionH relativeFrom="column">
              <wp:posOffset>1314450</wp:posOffset>
            </wp:positionH>
            <wp:positionV relativeFrom="paragraph">
              <wp:posOffset>40005</wp:posOffset>
            </wp:positionV>
            <wp:extent cx="1400695" cy="802178"/>
            <wp:effectExtent l="0" t="0" r="9525" b="0"/>
            <wp:wrapSquare wrapText="bothSides"/>
            <wp:docPr id="2" name="Picture 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1400695" cy="802178"/>
                    </a:xfrm>
                    <a:prstGeom prst="rect">
                      <a:avLst/>
                    </a:prstGeom>
                  </pic:spPr>
                </pic:pic>
              </a:graphicData>
            </a:graphic>
          </wp:anchor>
        </w:drawing>
      </w:r>
    </w:p>
    <w:p w14:paraId="0947CE4E" w14:textId="77777777" w:rsidR="00081E36" w:rsidRPr="003C5365" w:rsidRDefault="00081E36" w:rsidP="00081E36">
      <w:pPr>
        <w:spacing w:after="120"/>
        <w:jc w:val="both"/>
        <w:rPr>
          <w:rFonts w:ascii="Calibri" w:hAnsi="Calibri" w:cs="Calibri"/>
          <w:b/>
          <w:sz w:val="28"/>
        </w:rPr>
      </w:pPr>
    </w:p>
    <w:p w14:paraId="22C2443B" w14:textId="77777777" w:rsidR="00081E36" w:rsidRPr="003C5365" w:rsidRDefault="00081E36" w:rsidP="00081E36">
      <w:pPr>
        <w:spacing w:after="120"/>
        <w:jc w:val="both"/>
        <w:rPr>
          <w:rFonts w:ascii="Calibri" w:hAnsi="Calibri" w:cs="Calibri"/>
          <w:b/>
          <w:sz w:val="28"/>
        </w:rPr>
      </w:pPr>
    </w:p>
    <w:p w14:paraId="11C04043" w14:textId="77777777" w:rsidR="00081E36" w:rsidRDefault="00081E36" w:rsidP="00081E36">
      <w:r>
        <w:br w:type="page"/>
      </w:r>
    </w:p>
    <w:sdt>
      <w:sdtPr>
        <w:rPr>
          <w:rFonts w:asciiTheme="minorHAnsi" w:eastAsiaTheme="minorHAnsi" w:hAnsiTheme="minorHAnsi" w:cstheme="minorBidi"/>
          <w:color w:val="auto"/>
          <w:sz w:val="22"/>
          <w:szCs w:val="22"/>
          <w:lang w:val="en-GB"/>
        </w:rPr>
        <w:id w:val="1672368611"/>
        <w:docPartObj>
          <w:docPartGallery w:val="Table of Contents"/>
          <w:docPartUnique/>
        </w:docPartObj>
      </w:sdtPr>
      <w:sdtEndPr>
        <w:rPr>
          <w:b/>
          <w:bCs/>
          <w:noProof/>
        </w:rPr>
      </w:sdtEndPr>
      <w:sdtContent>
        <w:p w14:paraId="176DFFFE" w14:textId="77777777" w:rsidR="00081E36" w:rsidRDefault="00081E36" w:rsidP="00081E36">
          <w:pPr>
            <w:pStyle w:val="TOCHeading"/>
          </w:pPr>
          <w:r>
            <w:t>Contents</w:t>
          </w:r>
        </w:p>
        <w:p w14:paraId="720268D8" w14:textId="77777777" w:rsidR="00081E36" w:rsidRDefault="00081E36" w:rsidP="009864FA">
          <w:pPr>
            <w:pStyle w:val="TOC1"/>
            <w:rPr>
              <w:rFonts w:eastAsiaTheme="minorEastAsia"/>
              <w:noProof/>
              <w:kern w:val="2"/>
              <w:lang w:eastAsia="en-GB"/>
              <w14:ligatures w14:val="standardContextual"/>
            </w:rPr>
          </w:pPr>
          <w:r>
            <w:fldChar w:fldCharType="begin"/>
          </w:r>
          <w:r>
            <w:instrText xml:space="preserve"> TOC \o "1-3" \h \z \u </w:instrText>
          </w:r>
          <w:r>
            <w:fldChar w:fldCharType="separate"/>
          </w:r>
          <w:hyperlink w:anchor="_Toc149732733" w:history="1">
            <w:r w:rsidRPr="00E36B8C">
              <w:rPr>
                <w:rStyle w:val="Hyperlink"/>
                <w:noProof/>
              </w:rPr>
              <w:t>Key personnel</w:t>
            </w:r>
            <w:r>
              <w:rPr>
                <w:noProof/>
                <w:webHidden/>
              </w:rPr>
              <w:tab/>
            </w:r>
            <w:r>
              <w:rPr>
                <w:noProof/>
                <w:webHidden/>
              </w:rPr>
              <w:fldChar w:fldCharType="begin"/>
            </w:r>
            <w:r>
              <w:rPr>
                <w:noProof/>
                <w:webHidden/>
              </w:rPr>
              <w:instrText xml:space="preserve"> PAGEREF _Toc149732733 \h </w:instrText>
            </w:r>
            <w:r>
              <w:rPr>
                <w:noProof/>
                <w:webHidden/>
              </w:rPr>
            </w:r>
            <w:r>
              <w:rPr>
                <w:noProof/>
                <w:webHidden/>
              </w:rPr>
              <w:fldChar w:fldCharType="separate"/>
            </w:r>
            <w:r>
              <w:rPr>
                <w:noProof/>
                <w:webHidden/>
              </w:rPr>
              <w:t>2</w:t>
            </w:r>
            <w:r>
              <w:rPr>
                <w:noProof/>
                <w:webHidden/>
              </w:rPr>
              <w:fldChar w:fldCharType="end"/>
            </w:r>
          </w:hyperlink>
        </w:p>
        <w:p w14:paraId="617D21CD" w14:textId="77777777" w:rsidR="00081E36" w:rsidRDefault="00F064AC" w:rsidP="009864FA">
          <w:pPr>
            <w:pStyle w:val="TOC1"/>
            <w:rPr>
              <w:rFonts w:eastAsiaTheme="minorEastAsia"/>
              <w:noProof/>
              <w:kern w:val="2"/>
              <w:lang w:eastAsia="en-GB"/>
              <w14:ligatures w14:val="standardContextual"/>
            </w:rPr>
          </w:pPr>
          <w:hyperlink w:anchor="_Toc149732734" w:history="1">
            <w:r w:rsidR="00081E36" w:rsidRPr="00E36B8C">
              <w:rPr>
                <w:rStyle w:val="Hyperlink"/>
                <w:noProof/>
              </w:rPr>
              <w:t>Background</w:t>
            </w:r>
            <w:r w:rsidR="00081E36">
              <w:rPr>
                <w:noProof/>
                <w:webHidden/>
              </w:rPr>
              <w:tab/>
            </w:r>
            <w:r w:rsidR="00081E36">
              <w:rPr>
                <w:noProof/>
                <w:webHidden/>
              </w:rPr>
              <w:fldChar w:fldCharType="begin"/>
            </w:r>
            <w:r w:rsidR="00081E36">
              <w:rPr>
                <w:noProof/>
                <w:webHidden/>
              </w:rPr>
              <w:instrText xml:space="preserve"> PAGEREF _Toc149732734 \h </w:instrText>
            </w:r>
            <w:r w:rsidR="00081E36">
              <w:rPr>
                <w:noProof/>
                <w:webHidden/>
              </w:rPr>
            </w:r>
            <w:r w:rsidR="00081E36">
              <w:rPr>
                <w:noProof/>
                <w:webHidden/>
              </w:rPr>
              <w:fldChar w:fldCharType="separate"/>
            </w:r>
            <w:r w:rsidR="00081E36">
              <w:rPr>
                <w:noProof/>
                <w:webHidden/>
              </w:rPr>
              <w:t>2</w:t>
            </w:r>
            <w:r w:rsidR="00081E36">
              <w:rPr>
                <w:noProof/>
                <w:webHidden/>
              </w:rPr>
              <w:fldChar w:fldCharType="end"/>
            </w:r>
          </w:hyperlink>
        </w:p>
        <w:p w14:paraId="18868EB7" w14:textId="77777777" w:rsidR="00081E36" w:rsidRDefault="00F064AC" w:rsidP="009864FA">
          <w:pPr>
            <w:pStyle w:val="TOC1"/>
            <w:rPr>
              <w:rFonts w:eastAsiaTheme="minorEastAsia"/>
              <w:noProof/>
              <w:kern w:val="2"/>
              <w:lang w:eastAsia="en-GB"/>
              <w14:ligatures w14:val="standardContextual"/>
            </w:rPr>
          </w:pPr>
          <w:hyperlink w:anchor="_Toc149732735" w:history="1">
            <w:r w:rsidR="00081E36" w:rsidRPr="00E36B8C">
              <w:rPr>
                <w:rStyle w:val="Hyperlink"/>
                <w:noProof/>
              </w:rPr>
              <w:t>Statistical Analysis Outline</w:t>
            </w:r>
            <w:r w:rsidR="00081E36">
              <w:rPr>
                <w:noProof/>
                <w:webHidden/>
              </w:rPr>
              <w:tab/>
            </w:r>
            <w:r w:rsidR="00081E36">
              <w:rPr>
                <w:noProof/>
                <w:webHidden/>
              </w:rPr>
              <w:fldChar w:fldCharType="begin"/>
            </w:r>
            <w:r w:rsidR="00081E36">
              <w:rPr>
                <w:noProof/>
                <w:webHidden/>
              </w:rPr>
              <w:instrText xml:space="preserve"> PAGEREF _Toc149732735 \h </w:instrText>
            </w:r>
            <w:r w:rsidR="00081E36">
              <w:rPr>
                <w:noProof/>
                <w:webHidden/>
              </w:rPr>
            </w:r>
            <w:r w:rsidR="00081E36">
              <w:rPr>
                <w:noProof/>
                <w:webHidden/>
              </w:rPr>
              <w:fldChar w:fldCharType="separate"/>
            </w:r>
            <w:r w:rsidR="00081E36">
              <w:rPr>
                <w:noProof/>
                <w:webHidden/>
              </w:rPr>
              <w:t>3</w:t>
            </w:r>
            <w:r w:rsidR="00081E36">
              <w:rPr>
                <w:noProof/>
                <w:webHidden/>
              </w:rPr>
              <w:fldChar w:fldCharType="end"/>
            </w:r>
          </w:hyperlink>
        </w:p>
        <w:p w14:paraId="7D1DC2C4" w14:textId="77777777" w:rsidR="00081E36" w:rsidRDefault="00F064AC" w:rsidP="009864FA">
          <w:pPr>
            <w:pStyle w:val="TOC1"/>
            <w:rPr>
              <w:rFonts w:eastAsiaTheme="minorEastAsia"/>
              <w:noProof/>
              <w:kern w:val="2"/>
              <w:lang w:eastAsia="en-GB"/>
              <w14:ligatures w14:val="standardContextual"/>
            </w:rPr>
          </w:pPr>
          <w:hyperlink w:anchor="_Toc149732736" w:history="1">
            <w:r w:rsidR="00081E36" w:rsidRPr="00E36B8C">
              <w:rPr>
                <w:rStyle w:val="Hyperlink"/>
                <w:noProof/>
              </w:rPr>
              <w:t>Simulation Study (Trial Design)</w:t>
            </w:r>
            <w:r w:rsidR="00081E36">
              <w:rPr>
                <w:noProof/>
                <w:webHidden/>
              </w:rPr>
              <w:tab/>
            </w:r>
            <w:r w:rsidR="00081E36">
              <w:rPr>
                <w:noProof/>
                <w:webHidden/>
              </w:rPr>
              <w:fldChar w:fldCharType="begin"/>
            </w:r>
            <w:r w:rsidR="00081E36">
              <w:rPr>
                <w:noProof/>
                <w:webHidden/>
              </w:rPr>
              <w:instrText xml:space="preserve"> PAGEREF _Toc149732736 \h </w:instrText>
            </w:r>
            <w:r w:rsidR="00081E36">
              <w:rPr>
                <w:noProof/>
                <w:webHidden/>
              </w:rPr>
            </w:r>
            <w:r w:rsidR="00081E36">
              <w:rPr>
                <w:noProof/>
                <w:webHidden/>
              </w:rPr>
              <w:fldChar w:fldCharType="separate"/>
            </w:r>
            <w:r w:rsidR="00081E36">
              <w:rPr>
                <w:noProof/>
                <w:webHidden/>
              </w:rPr>
              <w:t>3</w:t>
            </w:r>
            <w:r w:rsidR="00081E36">
              <w:rPr>
                <w:noProof/>
                <w:webHidden/>
              </w:rPr>
              <w:fldChar w:fldCharType="end"/>
            </w:r>
          </w:hyperlink>
        </w:p>
        <w:p w14:paraId="79C5D38F" w14:textId="77777777" w:rsidR="00081E36" w:rsidRDefault="00F064AC" w:rsidP="009864FA">
          <w:pPr>
            <w:pStyle w:val="TOC1"/>
            <w:rPr>
              <w:rFonts w:eastAsiaTheme="minorEastAsia"/>
              <w:noProof/>
              <w:kern w:val="2"/>
              <w:lang w:eastAsia="en-GB"/>
              <w14:ligatures w14:val="standardContextual"/>
            </w:rPr>
          </w:pPr>
          <w:hyperlink w:anchor="_Toc149732737" w:history="1">
            <w:r w:rsidR="00081E36" w:rsidRPr="00E36B8C">
              <w:rPr>
                <w:rStyle w:val="Hyperlink"/>
                <w:noProof/>
              </w:rPr>
              <w:t>Trial Re-Analysis</w:t>
            </w:r>
            <w:r w:rsidR="00081E36">
              <w:rPr>
                <w:noProof/>
                <w:webHidden/>
              </w:rPr>
              <w:tab/>
            </w:r>
            <w:r w:rsidR="00081E36">
              <w:rPr>
                <w:noProof/>
                <w:webHidden/>
              </w:rPr>
              <w:fldChar w:fldCharType="begin"/>
            </w:r>
            <w:r w:rsidR="00081E36">
              <w:rPr>
                <w:noProof/>
                <w:webHidden/>
              </w:rPr>
              <w:instrText xml:space="preserve"> PAGEREF _Toc149732737 \h </w:instrText>
            </w:r>
            <w:r w:rsidR="00081E36">
              <w:rPr>
                <w:noProof/>
                <w:webHidden/>
              </w:rPr>
            </w:r>
            <w:r w:rsidR="00081E36">
              <w:rPr>
                <w:noProof/>
                <w:webHidden/>
              </w:rPr>
              <w:fldChar w:fldCharType="separate"/>
            </w:r>
            <w:r w:rsidR="00081E36">
              <w:rPr>
                <w:noProof/>
                <w:webHidden/>
              </w:rPr>
              <w:t>5</w:t>
            </w:r>
            <w:r w:rsidR="00081E36">
              <w:rPr>
                <w:noProof/>
                <w:webHidden/>
              </w:rPr>
              <w:fldChar w:fldCharType="end"/>
            </w:r>
          </w:hyperlink>
        </w:p>
        <w:p w14:paraId="3552069E" w14:textId="77777777" w:rsidR="00081E36" w:rsidRDefault="00F064AC" w:rsidP="009864FA">
          <w:pPr>
            <w:pStyle w:val="TOC1"/>
            <w:rPr>
              <w:rFonts w:eastAsiaTheme="minorEastAsia"/>
              <w:noProof/>
              <w:kern w:val="2"/>
              <w:lang w:eastAsia="en-GB"/>
              <w14:ligatures w14:val="standardContextual"/>
            </w:rPr>
          </w:pPr>
          <w:hyperlink w:anchor="_Toc149732738" w:history="1">
            <w:r w:rsidR="00081E36" w:rsidRPr="00E36B8C">
              <w:rPr>
                <w:rStyle w:val="Hyperlink"/>
                <w:noProof/>
              </w:rPr>
              <w:t>References</w:t>
            </w:r>
            <w:r w:rsidR="00081E36">
              <w:rPr>
                <w:noProof/>
                <w:webHidden/>
              </w:rPr>
              <w:tab/>
            </w:r>
            <w:r w:rsidR="00081E36">
              <w:rPr>
                <w:noProof/>
                <w:webHidden/>
              </w:rPr>
              <w:fldChar w:fldCharType="begin"/>
            </w:r>
            <w:r w:rsidR="00081E36">
              <w:rPr>
                <w:noProof/>
                <w:webHidden/>
              </w:rPr>
              <w:instrText xml:space="preserve"> PAGEREF _Toc149732738 \h </w:instrText>
            </w:r>
            <w:r w:rsidR="00081E36">
              <w:rPr>
                <w:noProof/>
                <w:webHidden/>
              </w:rPr>
            </w:r>
            <w:r w:rsidR="00081E36">
              <w:rPr>
                <w:noProof/>
                <w:webHidden/>
              </w:rPr>
              <w:fldChar w:fldCharType="separate"/>
            </w:r>
            <w:r w:rsidR="00081E36">
              <w:rPr>
                <w:noProof/>
                <w:webHidden/>
              </w:rPr>
              <w:t>6</w:t>
            </w:r>
            <w:r w:rsidR="00081E36">
              <w:rPr>
                <w:noProof/>
                <w:webHidden/>
              </w:rPr>
              <w:fldChar w:fldCharType="end"/>
            </w:r>
          </w:hyperlink>
        </w:p>
        <w:p w14:paraId="26D4A401" w14:textId="77777777" w:rsidR="00081E36" w:rsidRDefault="00081E36" w:rsidP="00081E36">
          <w:r>
            <w:rPr>
              <w:b/>
              <w:bCs/>
              <w:noProof/>
            </w:rPr>
            <w:fldChar w:fldCharType="end"/>
          </w:r>
        </w:p>
      </w:sdtContent>
    </w:sdt>
    <w:p w14:paraId="46A49494" w14:textId="77777777" w:rsidR="00081E36" w:rsidRDefault="00081E36" w:rsidP="00081E36">
      <w:pPr>
        <w:pStyle w:val="Heading1"/>
      </w:pPr>
      <w:bookmarkStart w:id="0" w:name="_Toc371002670"/>
      <w:bookmarkStart w:id="1" w:name="_Toc142319688"/>
      <w:bookmarkStart w:id="2" w:name="_Toc149732733"/>
      <w:bookmarkStart w:id="3" w:name="_Toc124756907"/>
      <w:bookmarkStart w:id="4" w:name="_Toc124839972"/>
    </w:p>
    <w:p w14:paraId="32E4BFEB" w14:textId="77777777" w:rsidR="00081E36" w:rsidRDefault="00081E36" w:rsidP="00081E36">
      <w:pPr>
        <w:pStyle w:val="Heading1"/>
      </w:pPr>
    </w:p>
    <w:p w14:paraId="0CA35F29" w14:textId="77777777" w:rsidR="00081E36" w:rsidRDefault="00081E36" w:rsidP="00081E36">
      <w:pPr>
        <w:pStyle w:val="Heading1"/>
      </w:pPr>
    </w:p>
    <w:p w14:paraId="728651A0" w14:textId="77777777" w:rsidR="00081E36" w:rsidRDefault="00081E36" w:rsidP="00081E36"/>
    <w:p w14:paraId="25F66DFF" w14:textId="77777777" w:rsidR="00081E36" w:rsidRDefault="00081E36" w:rsidP="00081E36"/>
    <w:p w14:paraId="79E6A7AD" w14:textId="77777777" w:rsidR="00081E36" w:rsidRDefault="00081E36" w:rsidP="00081E36"/>
    <w:p w14:paraId="20BB8219" w14:textId="77777777" w:rsidR="00081E36" w:rsidRDefault="00081E36" w:rsidP="00081E36"/>
    <w:p w14:paraId="547AC270" w14:textId="77777777" w:rsidR="00081E36" w:rsidRPr="00DA5A33" w:rsidRDefault="00081E36" w:rsidP="00081E36"/>
    <w:p w14:paraId="048215DD" w14:textId="77777777" w:rsidR="00081E36" w:rsidRDefault="00081E36" w:rsidP="00081E36">
      <w:pPr>
        <w:pStyle w:val="Heading1"/>
      </w:pPr>
      <w:r w:rsidRPr="00A50F9A">
        <w:t>Key personnel</w:t>
      </w:r>
      <w:bookmarkEnd w:id="0"/>
      <w:bookmarkEnd w:id="1"/>
      <w:bookmarkEnd w:id="2"/>
    </w:p>
    <w:p w14:paraId="0D8D643A" w14:textId="77777777" w:rsidR="00081E36" w:rsidRPr="00CC10C2" w:rsidRDefault="00081E36" w:rsidP="00081E36">
      <w:pPr>
        <w:rPr>
          <w:lang w:eastAsia="x-none"/>
        </w:rPr>
      </w:pPr>
    </w:p>
    <w:p w14:paraId="044ACD9B" w14:textId="77777777" w:rsidR="00081E36" w:rsidRDefault="00081E36" w:rsidP="00081E36">
      <w:pPr>
        <w:spacing w:before="60" w:after="120"/>
        <w:rPr>
          <w:b/>
        </w:rPr>
      </w:pPr>
      <w:r>
        <w:rPr>
          <w:b/>
        </w:rPr>
        <w:t>Author(s) (Trial statistician(s))</w:t>
      </w:r>
    </w:p>
    <w:bookmarkEnd w:id="3"/>
    <w:bookmarkEnd w:id="4"/>
    <w:p w14:paraId="567D0A12" w14:textId="77777777" w:rsidR="00081E36" w:rsidRPr="00AB4B77" w:rsidRDefault="00081E36" w:rsidP="00081E36">
      <w:pPr>
        <w:jc w:val="both"/>
      </w:pPr>
      <w:r w:rsidRPr="00C9637D">
        <w:t xml:space="preserve">Alexander Ooms </w:t>
      </w:r>
      <w:hyperlink r:id="rId14" w:history="1">
        <w:r w:rsidRPr="00C9637D">
          <w:rPr>
            <w:rStyle w:val="Hyperlink"/>
          </w:rPr>
          <w:t>alexander.ooms@ndorms.ox.ac.uk</w:t>
        </w:r>
      </w:hyperlink>
      <w:r w:rsidRPr="00C9637D">
        <w:t xml:space="preserve">  </w:t>
      </w:r>
      <w:r w:rsidRPr="00AB4B77">
        <w:t>(OCTRU Senior Statistician)</w:t>
      </w:r>
    </w:p>
    <w:p w14:paraId="15F83F51" w14:textId="0C93C529" w:rsidR="00081E36" w:rsidRDefault="009864FA" w:rsidP="006744A0">
      <w:pPr>
        <w:jc w:val="both"/>
      </w:pPr>
      <w:r>
        <w:t>Ioana Marian</w:t>
      </w:r>
      <w:r w:rsidRPr="00486715">
        <w:t xml:space="preserve"> </w:t>
      </w:r>
      <w:hyperlink r:id="rId15" w:history="1">
        <w:r w:rsidRPr="00B7640C">
          <w:rPr>
            <w:rStyle w:val="Hyperlink"/>
            <w:lang w:eastAsia="en-GB"/>
          </w:rPr>
          <w:t>ioana.marian@csm.ox.ac.uk</w:t>
        </w:r>
      </w:hyperlink>
      <w:r>
        <w:rPr>
          <w:rStyle w:val="Hyperlink"/>
          <w:lang w:eastAsia="en-GB"/>
        </w:rPr>
        <w:t xml:space="preserve"> </w:t>
      </w:r>
      <w:r w:rsidRPr="00486715">
        <w:t>(</w:t>
      </w:r>
      <w:r>
        <w:t>TRANSLATE Senior</w:t>
      </w:r>
      <w:r w:rsidRPr="00486715">
        <w:t xml:space="preserve"> Statistician)</w:t>
      </w:r>
    </w:p>
    <w:p w14:paraId="754290D7" w14:textId="77777777" w:rsidR="00F064AC" w:rsidRPr="006744A0" w:rsidRDefault="00F064AC" w:rsidP="006744A0">
      <w:pPr>
        <w:jc w:val="both"/>
        <w:rPr>
          <w:color w:val="0563C1" w:themeColor="hyperlink"/>
          <w:u w:val="single"/>
          <w:lang w:eastAsia="en-GB"/>
        </w:rPr>
      </w:pPr>
    </w:p>
    <w:p w14:paraId="6FA1B3AE" w14:textId="77777777" w:rsidR="00081E36" w:rsidRDefault="00081E36" w:rsidP="00081E36">
      <w:pPr>
        <w:spacing w:before="60" w:after="120"/>
        <w:rPr>
          <w:b/>
        </w:rPr>
      </w:pPr>
      <w:r>
        <w:rPr>
          <w:b/>
        </w:rPr>
        <w:t>Reviewers (Chief Investigators)</w:t>
      </w:r>
    </w:p>
    <w:p w14:paraId="29770F53" w14:textId="77777777" w:rsidR="00081E36" w:rsidRPr="00811E2D" w:rsidRDefault="00081E36" w:rsidP="00081E36">
      <w:pPr>
        <w:jc w:val="both"/>
        <w:rPr>
          <w:rFonts w:cstheme="minorHAnsi"/>
        </w:rPr>
      </w:pPr>
      <w:r w:rsidRPr="0005670E">
        <w:t>Assoc. Prof Richard John Bryant</w:t>
      </w:r>
      <w:r w:rsidRPr="00486715">
        <w:t xml:space="preserve"> </w:t>
      </w:r>
      <w:hyperlink r:id="rId16" w:history="1">
        <w:r w:rsidRPr="004C0993">
          <w:rPr>
            <w:rStyle w:val="Hyperlink"/>
            <w:rFonts w:cstheme="minorHAnsi"/>
          </w:rPr>
          <w:t>richard.bryant@nds.ox.ac.uk</w:t>
        </w:r>
      </w:hyperlink>
      <w:r w:rsidRPr="004C0993">
        <w:rPr>
          <w:rFonts w:cstheme="minorHAnsi"/>
        </w:rPr>
        <w:t xml:space="preserve"> </w:t>
      </w:r>
      <w:r>
        <w:rPr>
          <w:rFonts w:cstheme="minorHAnsi"/>
        </w:rPr>
        <w:t xml:space="preserve"> </w:t>
      </w:r>
      <w:r w:rsidRPr="00486715">
        <w:t>(</w:t>
      </w:r>
      <w:r>
        <w:t>Co-</w:t>
      </w:r>
      <w:r w:rsidRPr="00486715">
        <w:t>Chief Investigator)</w:t>
      </w:r>
    </w:p>
    <w:p w14:paraId="5793B965" w14:textId="77777777" w:rsidR="00081E36" w:rsidRDefault="00081E36" w:rsidP="00081E36">
      <w:pPr>
        <w:jc w:val="both"/>
      </w:pPr>
      <w:r>
        <w:t>Mr</w:t>
      </w:r>
      <w:r w:rsidRPr="0005670E">
        <w:t xml:space="preserve">. </w:t>
      </w:r>
      <w:r>
        <w:t xml:space="preserve">Alastair Lamb </w:t>
      </w:r>
      <w:hyperlink r:id="rId17" w:history="1">
        <w:r w:rsidRPr="00142C5A">
          <w:rPr>
            <w:rStyle w:val="Hyperlink"/>
          </w:rPr>
          <w:t>alastair.lamb@nds.ox.ac.uk</w:t>
        </w:r>
      </w:hyperlink>
      <w:r>
        <w:t xml:space="preserve">  </w:t>
      </w:r>
      <w:r w:rsidRPr="00486715">
        <w:t>(</w:t>
      </w:r>
      <w:r>
        <w:t>Co-</w:t>
      </w:r>
      <w:r w:rsidRPr="00486715">
        <w:t>Chief Investigator)</w:t>
      </w:r>
    </w:p>
    <w:p w14:paraId="593C3427" w14:textId="77777777" w:rsidR="00081E36" w:rsidRDefault="00081E36" w:rsidP="00081E36">
      <w:pPr>
        <w:jc w:val="both"/>
      </w:pPr>
      <w:r w:rsidRPr="00811E2D">
        <w:t xml:space="preserve">Jane Holmes </w:t>
      </w:r>
      <w:hyperlink r:id="rId18" w:history="1">
        <w:r w:rsidRPr="009E5460">
          <w:rPr>
            <w:rStyle w:val="Hyperlink"/>
          </w:rPr>
          <w:t>jane.holmes@phc.ox.ac.uk</w:t>
        </w:r>
      </w:hyperlink>
      <w:r>
        <w:t xml:space="preserve"> (Former TRANSLATE Senior Statistician)</w:t>
      </w:r>
    </w:p>
    <w:p w14:paraId="75A99B8C" w14:textId="77777777" w:rsidR="00081E36" w:rsidRDefault="00081E36" w:rsidP="00081E36">
      <w:pPr>
        <w:spacing w:before="60" w:after="120"/>
      </w:pPr>
      <w:r w:rsidRPr="00811E2D">
        <w:t xml:space="preserve">Matthew Parkes </w:t>
      </w:r>
      <w:hyperlink r:id="rId19" w:history="1">
        <w:r w:rsidRPr="009E5460">
          <w:rPr>
            <w:rStyle w:val="Hyperlink"/>
          </w:rPr>
          <w:t>matthew.parkes@manchester.ac.uk</w:t>
        </w:r>
      </w:hyperlink>
      <w:r>
        <w:t xml:space="preserve"> (Former TRANSLATE Senior Statistician)</w:t>
      </w:r>
    </w:p>
    <w:p w14:paraId="06C152D5" w14:textId="77777777" w:rsidR="00081E36" w:rsidRPr="008F610D" w:rsidRDefault="00081E36" w:rsidP="00081E36">
      <w:pPr>
        <w:jc w:val="both"/>
      </w:pPr>
    </w:p>
    <w:p w14:paraId="41936A5A" w14:textId="77777777" w:rsidR="00081E36" w:rsidRDefault="00081E36" w:rsidP="00081E36">
      <w:pPr>
        <w:rPr>
          <w:rFonts w:eastAsia="Times New Roman" w:cs="Times New Roman"/>
          <w:b/>
          <w:caps/>
          <w:color w:val="993366"/>
          <w:sz w:val="24"/>
          <w:szCs w:val="24"/>
        </w:rPr>
      </w:pPr>
      <w:r>
        <w:br w:type="page"/>
      </w:r>
      <w:bookmarkStart w:id="5" w:name="_Toc149732691"/>
      <w:bookmarkStart w:id="6" w:name="_Toc149732708"/>
      <w:bookmarkEnd w:id="5"/>
      <w:bookmarkEnd w:id="6"/>
    </w:p>
    <w:p w14:paraId="4F63E8A5" w14:textId="77777777" w:rsidR="00081E36" w:rsidRDefault="00081E36" w:rsidP="00081E36">
      <w:pPr>
        <w:pStyle w:val="Heading1"/>
      </w:pPr>
      <w:bookmarkStart w:id="7" w:name="_Toc149732734"/>
      <w:r>
        <w:lastRenderedPageBreak/>
        <w:t>Background</w:t>
      </w:r>
      <w:bookmarkEnd w:id="7"/>
    </w:p>
    <w:p w14:paraId="46E0D5A3" w14:textId="77777777" w:rsidR="00081E36" w:rsidRPr="008C039C" w:rsidRDefault="00081E36" w:rsidP="00081E36">
      <w:pPr>
        <w:jc w:val="both"/>
      </w:pPr>
      <w:r>
        <w:t>The TRANSLATE trial is a phase III, UK-wide, multicentre, superiority, 1:1 randomised clinical trial that aims to provide a robust evaluation of the performance characteristics of two biopsy procedures in biopsy-naïve men being investigated for possible clinically significant prostate Cancer (</w:t>
      </w:r>
      <w:proofErr w:type="spellStart"/>
      <w:r>
        <w:t>PCa</w:t>
      </w:r>
      <w:proofErr w:type="spellEnd"/>
      <w:r>
        <w:t xml:space="preserve">). The study aims to recruit biopsy-naïve men referred with suspected </w:t>
      </w:r>
      <w:proofErr w:type="spellStart"/>
      <w:r>
        <w:t>PCa</w:t>
      </w:r>
      <w:proofErr w:type="spellEnd"/>
      <w:r>
        <w:t xml:space="preserve"> based on an elevated age-specific Prostate Specific Antigen (PSA) or abnormal digital rectal examination (DRE), and suitable for investigation with pre-biopsy MRI and prostate biopsy. </w:t>
      </w:r>
    </w:p>
    <w:p w14:paraId="3A70A3EF" w14:textId="77777777" w:rsidR="00081E36" w:rsidRPr="00087944" w:rsidRDefault="00081E36" w:rsidP="00081E36">
      <w:pPr>
        <w:rPr>
          <w:b/>
          <w:bCs/>
        </w:rPr>
      </w:pPr>
      <w:r w:rsidRPr="00087944">
        <w:rPr>
          <w:b/>
          <w:bCs/>
        </w:rPr>
        <w:t>Trial interventions</w:t>
      </w:r>
    </w:p>
    <w:p w14:paraId="0E4DD9E0" w14:textId="77777777" w:rsidR="00081E36" w:rsidRDefault="00081E36" w:rsidP="00081E36">
      <w:pPr>
        <w:jc w:val="both"/>
      </w:pPr>
      <w:r>
        <w:t>Men e</w:t>
      </w:r>
      <w:r w:rsidRPr="00A46EA8">
        <w:t xml:space="preserve">ligible for the study </w:t>
      </w:r>
      <w:r>
        <w:t xml:space="preserve">with </w:t>
      </w:r>
      <w:r w:rsidRPr="00A46EA8">
        <w:t xml:space="preserve">a pre-biopsy MRI scan as part of the investigation for possible </w:t>
      </w:r>
      <w:r>
        <w:t>prostate cancer (</w:t>
      </w:r>
      <w:proofErr w:type="spellStart"/>
      <w:r w:rsidRPr="00A46EA8">
        <w:t>PCa</w:t>
      </w:r>
      <w:proofErr w:type="spellEnd"/>
      <w:r>
        <w:t>) will be consented and randomised to receive either:</w:t>
      </w:r>
    </w:p>
    <w:p w14:paraId="5BAC15E1" w14:textId="77777777" w:rsidR="00081E36" w:rsidRDefault="00081E36" w:rsidP="00081E36">
      <w:pPr>
        <w:pStyle w:val="ListParagraph"/>
        <w:numPr>
          <w:ilvl w:val="0"/>
          <w:numId w:val="7"/>
        </w:numPr>
        <w:jc w:val="both"/>
      </w:pPr>
      <w:r>
        <w:t>TRUS (transrectal) biopsy</w:t>
      </w:r>
    </w:p>
    <w:p w14:paraId="73D038B8" w14:textId="77777777" w:rsidR="00081E36" w:rsidRDefault="00081E36" w:rsidP="00081E36">
      <w:pPr>
        <w:pStyle w:val="ListParagraph"/>
        <w:numPr>
          <w:ilvl w:val="0"/>
          <w:numId w:val="7"/>
        </w:numPr>
        <w:jc w:val="both"/>
      </w:pPr>
      <w:r>
        <w:t xml:space="preserve">LATP (local anaesthetic </w:t>
      </w:r>
      <w:proofErr w:type="spellStart"/>
      <w:r>
        <w:t>transperineal</w:t>
      </w:r>
      <w:proofErr w:type="spellEnd"/>
      <w:r>
        <w:t>) biopsy</w:t>
      </w:r>
    </w:p>
    <w:p w14:paraId="161CDED6" w14:textId="77777777" w:rsidR="00081E36" w:rsidRPr="00087944" w:rsidRDefault="00081E36" w:rsidP="00081E36">
      <w:pPr>
        <w:rPr>
          <w:b/>
          <w:bCs/>
        </w:rPr>
      </w:pPr>
      <w:bookmarkStart w:id="8" w:name="_Toc84942795"/>
      <w:r w:rsidRPr="00087944">
        <w:rPr>
          <w:b/>
          <w:bCs/>
        </w:rPr>
        <w:t>Primary outcome</w:t>
      </w:r>
      <w:bookmarkEnd w:id="8"/>
    </w:p>
    <w:p w14:paraId="6C9D721C" w14:textId="77777777" w:rsidR="00081E36" w:rsidRPr="001D4A67" w:rsidRDefault="00081E36" w:rsidP="00081E36">
      <w:pPr>
        <w:autoSpaceDE w:val="0"/>
        <w:autoSpaceDN w:val="0"/>
        <w:adjustRightInd w:val="0"/>
        <w:jc w:val="both"/>
        <w:rPr>
          <w:rFonts w:cstheme="minorHAnsi"/>
        </w:rPr>
      </w:pPr>
      <w:r w:rsidRPr="001D4A67">
        <w:rPr>
          <w:rFonts w:cstheme="minorHAnsi"/>
        </w:rPr>
        <w:t>The primary outcome</w:t>
      </w:r>
      <w:r>
        <w:rPr>
          <w:rFonts w:cstheme="minorHAnsi"/>
        </w:rPr>
        <w:t xml:space="preserve"> in TRANSLATE</w:t>
      </w:r>
      <w:r w:rsidRPr="001D4A67">
        <w:rPr>
          <w:rFonts w:cstheme="minorHAnsi"/>
        </w:rPr>
        <w:t xml:space="preserve"> </w:t>
      </w:r>
      <w:r w:rsidRPr="00AB4B77">
        <w:rPr>
          <w:rFonts w:cstheme="minorHAnsi"/>
        </w:rPr>
        <w:t xml:space="preserve">is the difference in detection rate of clinically significant </w:t>
      </w:r>
      <w:proofErr w:type="spellStart"/>
      <w:r w:rsidRPr="00AB4B77">
        <w:rPr>
          <w:rFonts w:cstheme="minorHAnsi"/>
        </w:rPr>
        <w:t>PCa</w:t>
      </w:r>
      <w:proofErr w:type="spellEnd"/>
      <w:r w:rsidRPr="00AB4B77">
        <w:rPr>
          <w:rFonts w:cstheme="minorHAnsi"/>
        </w:rPr>
        <w:t xml:space="preserve"> upon pathology reporting of biopsy samples between the TRUS and LATP biopsy groups</w:t>
      </w:r>
      <w:r w:rsidRPr="00A46EA8">
        <w:rPr>
          <w:rFonts w:cstheme="minorHAnsi"/>
          <w:bCs/>
        </w:rPr>
        <w:t>.</w:t>
      </w:r>
      <w:r>
        <w:rPr>
          <w:rFonts w:cstheme="minorHAnsi"/>
          <w:b/>
        </w:rPr>
        <w:t xml:space="preserve"> </w:t>
      </w:r>
      <w:r>
        <w:rPr>
          <w:rFonts w:cstheme="minorHAnsi"/>
        </w:rPr>
        <w:t>C</w:t>
      </w:r>
      <w:r w:rsidRPr="001D4A67">
        <w:rPr>
          <w:rFonts w:cstheme="minorHAnsi"/>
        </w:rPr>
        <w:t xml:space="preserve">linically significant </w:t>
      </w:r>
      <w:proofErr w:type="spellStart"/>
      <w:r w:rsidRPr="001D4A67">
        <w:rPr>
          <w:rFonts w:cstheme="minorHAnsi"/>
        </w:rPr>
        <w:t>PCa</w:t>
      </w:r>
      <w:proofErr w:type="spellEnd"/>
      <w:r w:rsidRPr="001D4A67">
        <w:rPr>
          <w:rFonts w:cstheme="minorHAnsi"/>
        </w:rPr>
        <w:t xml:space="preserve"> is defined </w:t>
      </w:r>
      <w:r>
        <w:rPr>
          <w:rFonts w:cstheme="minorHAnsi"/>
        </w:rPr>
        <w:t xml:space="preserve">in this trial </w:t>
      </w:r>
      <w:r w:rsidRPr="001D4A67">
        <w:rPr>
          <w:rFonts w:cstheme="minorHAnsi"/>
        </w:rPr>
        <w:t>as Gleason Grade Group ≥2, i.e. any Gleason pattern ≥4 disease.</w:t>
      </w:r>
      <w:r>
        <w:rPr>
          <w:rFonts w:cstheme="minorHAnsi"/>
        </w:rPr>
        <w:t xml:space="preserve"> </w:t>
      </w:r>
      <w:r w:rsidRPr="001D4A67">
        <w:rPr>
          <w:rFonts w:cstheme="minorHAnsi"/>
        </w:rPr>
        <w:t xml:space="preserve">This is a pathology-based endpoint, usually available within 7 days of the initial biopsy having been undertaken, but difficult cases or other pathway delays may result in a longer </w:t>
      </w:r>
      <w:proofErr w:type="gramStart"/>
      <w:r w:rsidRPr="001D4A67">
        <w:rPr>
          <w:rFonts w:cstheme="minorHAnsi"/>
        </w:rPr>
        <w:t>period of time</w:t>
      </w:r>
      <w:proofErr w:type="gramEnd"/>
      <w:r w:rsidRPr="001D4A67">
        <w:rPr>
          <w:rFonts w:cstheme="minorHAnsi"/>
        </w:rPr>
        <w:t xml:space="preserve"> being taken.</w:t>
      </w:r>
    </w:p>
    <w:p w14:paraId="6F2F891D" w14:textId="77777777" w:rsidR="00081E36" w:rsidRPr="00087944" w:rsidRDefault="00081E36" w:rsidP="00081E36">
      <w:pPr>
        <w:rPr>
          <w:b/>
          <w:bCs/>
        </w:rPr>
      </w:pPr>
      <w:r w:rsidRPr="00087944">
        <w:rPr>
          <w:b/>
          <w:bCs/>
        </w:rPr>
        <w:t>Sample Size</w:t>
      </w:r>
    </w:p>
    <w:p w14:paraId="0DAC21F0" w14:textId="0F3BB291" w:rsidR="00081E36" w:rsidRDefault="00081E36" w:rsidP="00081E36">
      <w:pPr>
        <w:jc w:val="both"/>
      </w:pPr>
      <w:r w:rsidRPr="00A764CE">
        <w:rPr>
          <w:rFonts w:cstheme="minorHAnsi"/>
        </w:rPr>
        <w:t>Data collected from 792 patients in Oxford over a 12-month period suggests that the</w:t>
      </w:r>
      <w:r>
        <w:rPr>
          <w:rFonts w:cstheme="minorHAnsi"/>
        </w:rPr>
        <w:t xml:space="preserve"> </w:t>
      </w:r>
      <w:r w:rsidRPr="00A764CE">
        <w:rPr>
          <w:rFonts w:cstheme="minorHAnsi"/>
        </w:rPr>
        <w:t xml:space="preserve">detection rate of clinically significant </w:t>
      </w:r>
      <w:proofErr w:type="spellStart"/>
      <w:r w:rsidRPr="00A764CE">
        <w:rPr>
          <w:rFonts w:cstheme="minorHAnsi"/>
        </w:rPr>
        <w:t>PCa</w:t>
      </w:r>
      <w:proofErr w:type="spellEnd"/>
      <w:r w:rsidRPr="00A764CE">
        <w:rPr>
          <w:rFonts w:cstheme="minorHAnsi"/>
        </w:rPr>
        <w:t xml:space="preserve"> in previously biopsy naïve </w:t>
      </w:r>
      <w:r>
        <w:rPr>
          <w:rFonts w:cstheme="minorHAnsi"/>
        </w:rPr>
        <w:t xml:space="preserve">individuals </w:t>
      </w:r>
      <w:r w:rsidRPr="00A764CE">
        <w:rPr>
          <w:rFonts w:cstheme="minorHAnsi"/>
        </w:rPr>
        <w:t>through TRUS biopsy following a pre</w:t>
      </w:r>
      <w:r>
        <w:rPr>
          <w:rFonts w:cstheme="minorHAnsi"/>
        </w:rPr>
        <w:t>-</w:t>
      </w:r>
      <w:r w:rsidRPr="00A764CE">
        <w:rPr>
          <w:rFonts w:cstheme="minorHAnsi"/>
        </w:rPr>
        <w:t>biopsy</w:t>
      </w:r>
      <w:r>
        <w:rPr>
          <w:rFonts w:cstheme="minorHAnsi"/>
        </w:rPr>
        <w:t xml:space="preserve"> </w:t>
      </w:r>
      <w:r w:rsidRPr="00A764CE">
        <w:rPr>
          <w:rFonts w:cstheme="minorHAnsi"/>
        </w:rPr>
        <w:t>MRI is 45% (14), in line with the reported literature. We consider a 10% improvement (from 45% to</w:t>
      </w:r>
      <w:r>
        <w:rPr>
          <w:rFonts w:cstheme="minorHAnsi"/>
        </w:rPr>
        <w:t xml:space="preserve"> </w:t>
      </w:r>
      <w:r w:rsidRPr="00A764CE">
        <w:rPr>
          <w:rFonts w:cstheme="minorHAnsi"/>
        </w:rPr>
        <w:t xml:space="preserve">55%) in this rate of detection of clinically significant </w:t>
      </w:r>
      <w:proofErr w:type="spellStart"/>
      <w:r w:rsidRPr="00A764CE">
        <w:rPr>
          <w:rFonts w:cstheme="minorHAnsi"/>
        </w:rPr>
        <w:t>PCa</w:t>
      </w:r>
      <w:proofErr w:type="spellEnd"/>
      <w:r w:rsidRPr="00A764CE">
        <w:rPr>
          <w:rFonts w:cstheme="minorHAnsi"/>
        </w:rPr>
        <w:t xml:space="preserve"> (</w:t>
      </w:r>
      <w:r>
        <w:rPr>
          <w:rFonts w:cstheme="minorHAnsi"/>
        </w:rPr>
        <w:t xml:space="preserve">defined as Gleason Grade Group </w:t>
      </w:r>
      <w:r>
        <w:rPr>
          <w:rFonts w:ascii="Calibri" w:hAnsi="Calibri" w:cstheme="minorHAnsi"/>
        </w:rPr>
        <w:t>≥</w:t>
      </w:r>
      <w:r>
        <w:rPr>
          <w:rFonts w:cstheme="minorHAnsi"/>
        </w:rPr>
        <w:t xml:space="preserve">2, i.e. any Gleason </w:t>
      </w:r>
      <w:r w:rsidRPr="00841B55">
        <w:rPr>
          <w:rFonts w:cstheme="minorHAnsi"/>
        </w:rPr>
        <w:t>pattern ≥4 disease</w:t>
      </w:r>
      <w:r w:rsidRPr="00A764CE">
        <w:rPr>
          <w:rFonts w:cstheme="minorHAnsi"/>
        </w:rPr>
        <w:t>) through LATP to be clinically meaningful. To detect this primary outcome difference with 90%</w:t>
      </w:r>
      <w:r>
        <w:rPr>
          <w:rFonts w:cstheme="minorHAnsi"/>
        </w:rPr>
        <w:t xml:space="preserve"> </w:t>
      </w:r>
      <w:r w:rsidRPr="00A764CE">
        <w:rPr>
          <w:rFonts w:cstheme="minorHAnsi"/>
        </w:rPr>
        <w:t xml:space="preserve">power and 5% significance, we need to recruit 1,042 men over a 15-month period across </w:t>
      </w:r>
      <w:r>
        <w:rPr>
          <w:rFonts w:cstheme="minorHAnsi"/>
        </w:rPr>
        <w:t>a minimum of</w:t>
      </w:r>
      <w:r w:rsidRPr="00A764CE">
        <w:rPr>
          <w:rFonts w:cstheme="minorHAnsi"/>
        </w:rPr>
        <w:t xml:space="preserve"> </w:t>
      </w:r>
      <w:r>
        <w:rPr>
          <w:rFonts w:cstheme="minorHAnsi"/>
        </w:rPr>
        <w:t xml:space="preserve">nine </w:t>
      </w:r>
      <w:r w:rsidRPr="00A764CE">
        <w:rPr>
          <w:rFonts w:cstheme="minorHAnsi"/>
        </w:rPr>
        <w:t>participating</w:t>
      </w:r>
      <w:r>
        <w:rPr>
          <w:rFonts w:cstheme="minorHAnsi"/>
        </w:rPr>
        <w:t xml:space="preserve"> </w:t>
      </w:r>
      <w:r w:rsidRPr="00A764CE">
        <w:rPr>
          <w:rFonts w:cstheme="minorHAnsi"/>
        </w:rPr>
        <w:t>centres.</w:t>
      </w:r>
      <w:r>
        <w:t xml:space="preserve"> Full details of the TRANSLATE trial protocol have been published previously</w:t>
      </w:r>
      <w:r w:rsidR="009B49AF">
        <w:t xml:space="preserve"> </w:t>
      </w:r>
      <w:sdt>
        <w:sdtPr>
          <w:rPr>
            <w:color w:val="000000"/>
          </w:rPr>
          <w:tag w:val="MENDELEY_CITATION_v3_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"/>
          <w:id w:val="736828071"/>
          <w:placeholder>
            <w:docPart w:val="DefaultPlaceholder_-1854013440"/>
          </w:placeholder>
        </w:sdtPr>
        <w:sdtEndPr/>
        <w:sdtContent>
          <w:r w:rsidR="00074755" w:rsidRPr="006744A0">
            <w:rPr>
              <w:color w:val="000000"/>
            </w:rPr>
            <w:t>[1]</w:t>
          </w:r>
        </w:sdtContent>
      </w:sdt>
      <w:r>
        <w:t xml:space="preserve"> </w:t>
      </w:r>
      <w:sdt>
        <w:sdtPr>
          <w:rPr>
            <w:color w:val="000000"/>
          </w:rPr>
          <w:id w:val="1010185522"/>
          <w:placeholder>
            <w:docPart w:val="CE923830D63B40049225632187FDAD1F"/>
          </w:placeholder>
          <w:showingPlcHdr/>
        </w:sdtPr>
        <w:sdtEndPr/>
        <w:sdtContent>
          <w:r w:rsidR="006744A0" w:rsidRPr="001D59F0">
            <w:rPr>
              <w:rStyle w:val="PlaceholderText"/>
            </w:rPr>
            <w:t>Click or tap here to enter text.</w:t>
          </w:r>
        </w:sdtContent>
      </w:sdt>
      <w:r>
        <w:rPr>
          <w:color w:val="000000"/>
        </w:rPr>
        <w:t>.</w:t>
      </w:r>
    </w:p>
    <w:p w14:paraId="1F9EA62B" w14:textId="77777777" w:rsidR="00081E36" w:rsidRDefault="00081E36" w:rsidP="00081E36">
      <w:pPr>
        <w:pStyle w:val="Heading1"/>
      </w:pPr>
      <w:bookmarkStart w:id="9" w:name="_Toc149732735"/>
      <w:r>
        <w:t>Statistical Analysis Outline</w:t>
      </w:r>
      <w:bookmarkEnd w:id="9"/>
      <w:r>
        <w:t xml:space="preserve"> </w:t>
      </w:r>
    </w:p>
    <w:p w14:paraId="24597905" w14:textId="46E14C4B" w:rsidR="00081E36" w:rsidRDefault="00081E36" w:rsidP="00081E36">
      <w:pPr>
        <w:jc w:val="both"/>
      </w:pPr>
      <w:r>
        <w:t>As a</w:t>
      </w:r>
      <w:r>
        <w:rPr>
          <w:rFonts w:cstheme="minorHAnsi"/>
        </w:rPr>
        <w:t xml:space="preserve"> ‘</w:t>
      </w:r>
      <w:r w:rsidRPr="00E41ADB">
        <w:rPr>
          <w:rFonts w:cstheme="minorHAnsi"/>
        </w:rPr>
        <w:t>methodological add-on</w:t>
      </w:r>
      <w:r>
        <w:rPr>
          <w:rFonts w:cstheme="minorHAnsi"/>
        </w:rPr>
        <w:t>’</w:t>
      </w:r>
      <w:r w:rsidRPr="00E41ADB">
        <w:rPr>
          <w:rFonts w:cstheme="minorHAnsi"/>
        </w:rPr>
        <w:t xml:space="preserve"> to the main </w:t>
      </w:r>
      <w:r>
        <w:rPr>
          <w:rFonts w:cstheme="minorHAnsi"/>
        </w:rPr>
        <w:t xml:space="preserve">TRANSLATE </w:t>
      </w:r>
      <w:r w:rsidRPr="00E41ADB">
        <w:rPr>
          <w:rFonts w:cstheme="minorHAnsi"/>
        </w:rPr>
        <w:t>trial</w:t>
      </w:r>
      <w:r>
        <w:rPr>
          <w:rFonts w:cstheme="minorHAnsi"/>
        </w:rPr>
        <w:t xml:space="preserve">, </w:t>
      </w:r>
      <w:r w:rsidRPr="00E41ADB">
        <w:rPr>
          <w:rFonts w:cstheme="minorHAnsi"/>
        </w:rPr>
        <w:t>we will re-</w:t>
      </w:r>
      <w:r>
        <w:rPr>
          <w:rFonts w:cstheme="minorHAnsi"/>
        </w:rPr>
        <w:t xml:space="preserve">design </w:t>
      </w:r>
      <w:r w:rsidRPr="00E41ADB">
        <w:rPr>
          <w:rFonts w:cstheme="minorHAnsi"/>
        </w:rPr>
        <w:t>the trial</w:t>
      </w:r>
      <w:r>
        <w:rPr>
          <w:rFonts w:cstheme="minorHAnsi"/>
        </w:rPr>
        <w:t xml:space="preserve"> </w:t>
      </w:r>
      <w:r w:rsidRPr="00E41ADB">
        <w:rPr>
          <w:rFonts w:cstheme="minorHAnsi"/>
        </w:rPr>
        <w:t xml:space="preserve">using </w:t>
      </w:r>
      <w:r>
        <w:rPr>
          <w:rFonts w:cstheme="minorHAnsi"/>
        </w:rPr>
        <w:t xml:space="preserve">an </w:t>
      </w:r>
      <w:r w:rsidRPr="00E41ADB">
        <w:rPr>
          <w:rFonts w:cstheme="minorHAnsi"/>
        </w:rPr>
        <w:t xml:space="preserve">adaptive Bayesian methodology to explore the </w:t>
      </w:r>
      <w:r>
        <w:rPr>
          <w:rFonts w:cstheme="minorHAnsi"/>
        </w:rPr>
        <w:t xml:space="preserve">relative efficiency savings of running the trial had it been designed as an adaptive Bayesian trial with planned interim analyses with early stopping rules, rather than the fixed trial with no early stopping and frequentist analysis which forms the </w:t>
      </w:r>
      <w:r w:rsidRPr="00597727">
        <w:rPr>
          <w:rFonts w:cstheme="minorHAnsi"/>
          <w:i/>
          <w:iCs/>
        </w:rPr>
        <w:t>actual</w:t>
      </w:r>
      <w:r>
        <w:rPr>
          <w:rFonts w:cstheme="minorHAnsi"/>
        </w:rPr>
        <w:t xml:space="preserve"> </w:t>
      </w:r>
      <w:r w:rsidRPr="00C9637D">
        <w:rPr>
          <w:rFonts w:cstheme="minorHAnsi"/>
          <w:i/>
          <w:iCs/>
        </w:rPr>
        <w:t>real-world</w:t>
      </w:r>
      <w:r>
        <w:rPr>
          <w:rFonts w:cstheme="minorHAnsi"/>
        </w:rPr>
        <w:t xml:space="preserve"> primary outcome analysis (see the Statistical Analysis Plan </w:t>
      </w:r>
      <w:r w:rsidR="005C59CE">
        <w:rPr>
          <w:rFonts w:cstheme="minorHAnsi"/>
        </w:rPr>
        <w:t>(</w:t>
      </w:r>
      <w:r>
        <w:rPr>
          <w:rFonts w:cstheme="minorHAnsi"/>
        </w:rPr>
        <w:t>SAP</w:t>
      </w:r>
      <w:r w:rsidR="005C59CE">
        <w:rPr>
          <w:rFonts w:cstheme="minorHAnsi"/>
        </w:rPr>
        <w:t>)</w:t>
      </w:r>
      <w:r>
        <w:rPr>
          <w:rFonts w:cstheme="minorHAnsi"/>
        </w:rPr>
        <w:t xml:space="preserve"> for full details)</w:t>
      </w:r>
      <w:r w:rsidRPr="00E41ADB">
        <w:rPr>
          <w:rFonts w:cstheme="minorHAnsi"/>
        </w:rPr>
        <w:t xml:space="preserve">. </w:t>
      </w:r>
      <w:r>
        <w:rPr>
          <w:rFonts w:cstheme="minorHAnsi"/>
        </w:rPr>
        <w:t>W</w:t>
      </w:r>
      <w:r w:rsidRPr="00E41ADB">
        <w:rPr>
          <w:rFonts w:cstheme="minorHAnsi"/>
        </w:rPr>
        <w:t xml:space="preserve">e </w:t>
      </w:r>
      <w:r>
        <w:rPr>
          <w:rFonts w:cstheme="minorHAnsi"/>
        </w:rPr>
        <w:t xml:space="preserve">will initially use noninformative priors for the Bayesian </w:t>
      </w:r>
      <w:proofErr w:type="gramStart"/>
      <w:r>
        <w:rPr>
          <w:rFonts w:cstheme="minorHAnsi"/>
        </w:rPr>
        <w:t>trial, and</w:t>
      </w:r>
      <w:proofErr w:type="gramEnd"/>
      <w:r>
        <w:rPr>
          <w:rFonts w:cstheme="minorHAnsi"/>
        </w:rPr>
        <w:t xml:space="preserve"> </w:t>
      </w:r>
      <w:r w:rsidRPr="00E41ADB">
        <w:rPr>
          <w:rFonts w:cstheme="minorHAnsi"/>
        </w:rPr>
        <w:t xml:space="preserve">may </w:t>
      </w:r>
      <w:r>
        <w:rPr>
          <w:rFonts w:cstheme="minorHAnsi"/>
        </w:rPr>
        <w:t xml:space="preserve">also consider </w:t>
      </w:r>
      <w:r w:rsidRPr="00E41ADB">
        <w:rPr>
          <w:rFonts w:cstheme="minorHAnsi"/>
        </w:rPr>
        <w:t xml:space="preserve">informative priors </w:t>
      </w:r>
      <w:r>
        <w:rPr>
          <w:rFonts w:cstheme="minorHAnsi"/>
        </w:rPr>
        <w:t>(</w:t>
      </w:r>
      <w:r w:rsidRPr="00E41ADB">
        <w:rPr>
          <w:rFonts w:cstheme="minorHAnsi"/>
        </w:rPr>
        <w:t>elicited from experts and/or data</w:t>
      </w:r>
      <w:r>
        <w:rPr>
          <w:rFonts w:cstheme="minorHAnsi"/>
        </w:rPr>
        <w:t>)</w:t>
      </w:r>
      <w:r w:rsidRPr="00E41ADB">
        <w:rPr>
          <w:rFonts w:cstheme="minorHAnsi"/>
        </w:rPr>
        <w:t>. We will</w:t>
      </w:r>
      <w:r>
        <w:rPr>
          <w:rFonts w:cstheme="minorHAnsi"/>
        </w:rPr>
        <w:t xml:space="preserve"> use simulation to decide on the number and timing of interim analyses and the thresholds for decision boundaries of the early stopping rules.</w:t>
      </w:r>
      <w:r w:rsidRPr="00E41ADB">
        <w:rPr>
          <w:rFonts w:cstheme="minorHAnsi"/>
        </w:rPr>
        <w:t xml:space="preserve"> </w:t>
      </w:r>
      <w:r>
        <w:rPr>
          <w:rFonts w:cstheme="minorHAnsi"/>
        </w:rPr>
        <w:t xml:space="preserve">Once the trial has finished, we will use this adaptive Bayesian design with the trial data as it accrued to see what would have happened had the trial been run with the Bayesian design, for example if the trial would have stopped early for futility or superiority and compare </w:t>
      </w:r>
      <w:proofErr w:type="gramStart"/>
      <w:r>
        <w:rPr>
          <w:rFonts w:cstheme="minorHAnsi"/>
        </w:rPr>
        <w:t>the final result</w:t>
      </w:r>
      <w:proofErr w:type="gramEnd"/>
      <w:r>
        <w:rPr>
          <w:rFonts w:cstheme="minorHAnsi"/>
        </w:rPr>
        <w:t xml:space="preserve"> with that of the actual trial primary analysis. If the trial would have stopped early, then the Bayesian final analysis will be on a reduced sample size than that of the actual trial.</w:t>
      </w:r>
    </w:p>
    <w:p w14:paraId="17846D8A" w14:textId="77777777" w:rsidR="00081E36" w:rsidRDefault="00081E36" w:rsidP="00081E36">
      <w:pPr>
        <w:pStyle w:val="Heading1"/>
      </w:pPr>
      <w:bookmarkStart w:id="10" w:name="_Toc149732736"/>
      <w:r>
        <w:lastRenderedPageBreak/>
        <w:t>Simulation Study (Trial Design)</w:t>
      </w:r>
      <w:bookmarkEnd w:id="10"/>
    </w:p>
    <w:p w14:paraId="4E6B0DDD" w14:textId="77777777" w:rsidR="00081E36" w:rsidRDefault="00081E36" w:rsidP="00081E36">
      <w:pPr>
        <w:jc w:val="both"/>
      </w:pPr>
      <w:r w:rsidRPr="00835B75">
        <w:t>A</w:t>
      </w:r>
      <w:r>
        <w:rPr>
          <w:b/>
          <w:bCs/>
        </w:rPr>
        <w:t xml:space="preserve"> </w:t>
      </w:r>
      <w:r>
        <w:t xml:space="preserve">simulation study will be performed to assess operating characteristics and finalise parameters to be used in the trial re-design. A full description of the methods used in this simulation study is given in </w:t>
      </w:r>
      <w:r>
        <w:fldChar w:fldCharType="begin"/>
      </w:r>
      <w:r>
        <w:instrText xml:space="preserve"> REF _Ref153182050 \h </w:instrText>
      </w:r>
      <w:r>
        <w:fldChar w:fldCharType="separate"/>
      </w:r>
      <w:r>
        <w:t>Appendix: TRANSLATE Bayesian Equations</w:t>
      </w:r>
      <w:r>
        <w:fldChar w:fldCharType="end"/>
      </w:r>
      <w:r>
        <w:t xml:space="preserve">. </w:t>
      </w:r>
    </w:p>
    <w:p w14:paraId="7BFFC31B" w14:textId="77777777" w:rsidR="00081E36" w:rsidRDefault="00081E36" w:rsidP="00081E36">
      <w:pPr>
        <w:jc w:val="both"/>
      </w:pPr>
      <w:r>
        <w:rPr>
          <w:b/>
          <w:bCs/>
        </w:rPr>
        <w:t xml:space="preserve">Aim </w:t>
      </w:r>
    </w:p>
    <w:p w14:paraId="1DECCB43" w14:textId="77777777" w:rsidR="00081E36" w:rsidRDefault="00081E36" w:rsidP="00081E36">
      <w:pPr>
        <w:jc w:val="both"/>
      </w:pPr>
      <w:r>
        <w:t>The aim of the simulation study is to produce a final Bayesian trial re-design of the TRANSLATE trial, specifying the number of interim analyses, their timings and early stopping criteria.</w:t>
      </w:r>
    </w:p>
    <w:p w14:paraId="203E84E9" w14:textId="77777777" w:rsidR="00081E36" w:rsidRDefault="00081E36" w:rsidP="00081E36">
      <w:pPr>
        <w:jc w:val="both"/>
        <w:rPr>
          <w:b/>
          <w:bCs/>
        </w:rPr>
      </w:pPr>
      <w:r w:rsidRPr="00597727">
        <w:rPr>
          <w:b/>
          <w:bCs/>
        </w:rPr>
        <w:t>Data-generating mechanisms</w:t>
      </w:r>
    </w:p>
    <w:p w14:paraId="197DA1A2" w14:textId="2F91E5E8" w:rsidR="00081E36" w:rsidRDefault="00081E36" w:rsidP="00081E36">
      <w:pPr>
        <w:jc w:val="both"/>
      </w:pPr>
      <w:r>
        <w:t xml:space="preserve">The detection rate for each group, will be generated from independent </w:t>
      </w:r>
      <w:r w:rsidR="005C59CE">
        <w:t xml:space="preserve">Binomial </w:t>
      </w:r>
      <w:r>
        <w:t xml:space="preserve">distributions based on the statistical principles underlying the TRANSLATE trial design using R. The detection rate of clinically significant </w:t>
      </w:r>
      <w:proofErr w:type="spellStart"/>
      <w:r>
        <w:t>PCa</w:t>
      </w:r>
      <w:proofErr w:type="spellEnd"/>
      <w:r>
        <w:t xml:space="preserve"> (defined as Gleason Grade Group ≥2, i.e. any Gleason pattern ≥4 disease) through TRUS biopsy following a pre-biopsy MRI is assumed to be 45%. A 10% improvement from 45% to 55% through LATP versus TRUS in this rate of detection is considered clinically meaningful in TRANSLATE, using 90% power and 5% significance </w:t>
      </w:r>
      <w:sdt>
        <w:sdtPr>
          <w:rPr>
            <w:color w:val="000000"/>
          </w:rPr>
          <w:tag w:val="MENDELEY_CITATION_v3_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"/>
          <w:id w:val="912119938"/>
          <w:placeholder>
            <w:docPart w:val="DefaultPlaceholder_-1854013440"/>
          </w:placeholder>
        </w:sdtPr>
        <w:sdtEndPr/>
        <w:sdtContent>
          <w:r w:rsidR="00074755" w:rsidRPr="006744A0">
            <w:rPr>
              <w:color w:val="000000"/>
            </w:rPr>
            <w:t>[1]</w:t>
          </w:r>
        </w:sdtContent>
      </w:sdt>
      <w:r>
        <w:t xml:space="preserve">. </w:t>
      </w:r>
    </w:p>
    <w:p w14:paraId="03AE862B" w14:textId="77777777" w:rsidR="00081E36" w:rsidRDefault="00081E36" w:rsidP="00081E36">
      <w:pPr>
        <w:jc w:val="both"/>
        <w:rPr>
          <w:b/>
          <w:bCs/>
        </w:rPr>
      </w:pPr>
      <w:r>
        <w:rPr>
          <w:b/>
          <w:bCs/>
        </w:rPr>
        <w:t>Simulated trial results</w:t>
      </w:r>
    </w:p>
    <w:p w14:paraId="595DC994" w14:textId="77777777" w:rsidR="00081E36" w:rsidRDefault="00081E36" w:rsidP="00081E36">
      <w:pPr>
        <w:jc w:val="both"/>
      </w:pPr>
      <w:r>
        <w:t xml:space="preserve">From the simulations the following measures will be obtained to evaluate each simulated scenario: </w:t>
      </w:r>
    </w:p>
    <w:p w14:paraId="7E0B282D" w14:textId="77777777" w:rsidR="00081E36" w:rsidRDefault="00081E36" w:rsidP="00081E36">
      <w:pPr>
        <w:pStyle w:val="ListParagraph"/>
        <w:numPr>
          <w:ilvl w:val="0"/>
          <w:numId w:val="10"/>
        </w:numPr>
        <w:jc w:val="both"/>
      </w:pPr>
      <w:r>
        <w:t>Average trial size</w:t>
      </w:r>
    </w:p>
    <w:p w14:paraId="0D113864" w14:textId="77777777" w:rsidR="00081E36" w:rsidRDefault="00081E36" w:rsidP="00081E36">
      <w:pPr>
        <w:pStyle w:val="ListParagraph"/>
        <w:numPr>
          <w:ilvl w:val="0"/>
          <w:numId w:val="10"/>
        </w:numPr>
        <w:jc w:val="both"/>
      </w:pPr>
      <w:r>
        <w:t>Minimum trial size</w:t>
      </w:r>
    </w:p>
    <w:p w14:paraId="68AD197C" w14:textId="77777777" w:rsidR="00081E36" w:rsidRDefault="00081E36" w:rsidP="00081E36">
      <w:pPr>
        <w:pStyle w:val="ListParagraph"/>
        <w:numPr>
          <w:ilvl w:val="0"/>
          <w:numId w:val="10"/>
        </w:numPr>
        <w:jc w:val="both"/>
      </w:pPr>
      <w:r>
        <w:t>% of trials stopping early for success, for futility and overall (all instances of stopping early for any reason)</w:t>
      </w:r>
    </w:p>
    <w:p w14:paraId="53B79CFC" w14:textId="77777777" w:rsidR="00081E36" w:rsidRDefault="00081E36" w:rsidP="00081E36">
      <w:pPr>
        <w:pStyle w:val="ListParagraph"/>
        <w:numPr>
          <w:ilvl w:val="0"/>
          <w:numId w:val="10"/>
        </w:numPr>
        <w:jc w:val="both"/>
      </w:pPr>
      <w:r>
        <w:t xml:space="preserve">Simulated Type I Error </w:t>
      </w:r>
    </w:p>
    <w:p w14:paraId="460E61D0" w14:textId="77777777" w:rsidR="00081E36" w:rsidRDefault="00081E36" w:rsidP="00081E36">
      <w:pPr>
        <w:pStyle w:val="ListParagraph"/>
        <w:numPr>
          <w:ilvl w:val="0"/>
          <w:numId w:val="10"/>
        </w:numPr>
        <w:jc w:val="both"/>
      </w:pPr>
      <w:r>
        <w:t>Simulated Power.</w:t>
      </w:r>
    </w:p>
    <w:p w14:paraId="30CB427A" w14:textId="77777777" w:rsidR="00081E36" w:rsidRDefault="00081E36" w:rsidP="00081E36">
      <w:pPr>
        <w:jc w:val="both"/>
      </w:pPr>
      <w:r>
        <w:t>Using these outputs, the final Bayesian trial will be determined. The parameters that will determine the final design are:</w:t>
      </w:r>
    </w:p>
    <w:p w14:paraId="00C21AF7" w14:textId="77777777" w:rsidR="00081E36" w:rsidRDefault="00081E36" w:rsidP="00081E36">
      <w:pPr>
        <w:pStyle w:val="ListParagraph"/>
        <w:numPr>
          <w:ilvl w:val="0"/>
          <w:numId w:val="14"/>
        </w:numPr>
        <w:jc w:val="both"/>
      </w:pPr>
      <w:r>
        <w:t>Number of interim analyses</w:t>
      </w:r>
    </w:p>
    <w:p w14:paraId="319124A3" w14:textId="77777777" w:rsidR="00081E36" w:rsidRDefault="00081E36" w:rsidP="00081E36">
      <w:pPr>
        <w:pStyle w:val="ListParagraph"/>
        <w:numPr>
          <w:ilvl w:val="0"/>
          <w:numId w:val="14"/>
        </w:numPr>
        <w:jc w:val="both"/>
      </w:pPr>
      <w:r>
        <w:t xml:space="preserve">Posterior probability of superiority threshold required to have “success” at the final </w:t>
      </w:r>
      <w:proofErr w:type="gramStart"/>
      <w:r>
        <w:t>analysis</w:t>
      </w:r>
      <w:proofErr w:type="gramEnd"/>
    </w:p>
    <w:p w14:paraId="28374FD1" w14:textId="77777777" w:rsidR="00081E36" w:rsidRDefault="00081E36" w:rsidP="00081E36">
      <w:pPr>
        <w:pStyle w:val="ListParagraph"/>
        <w:numPr>
          <w:ilvl w:val="0"/>
          <w:numId w:val="14"/>
        </w:numPr>
        <w:jc w:val="both"/>
      </w:pPr>
      <w:r>
        <w:t xml:space="preserve">Posterior probability of superiority threshold required to stop early for </w:t>
      </w:r>
      <w:proofErr w:type="gramStart"/>
      <w:r>
        <w:t>success</w:t>
      </w:r>
      <w:proofErr w:type="gramEnd"/>
    </w:p>
    <w:p w14:paraId="6CFDD8A8" w14:textId="77777777" w:rsidR="00081E36" w:rsidRDefault="00081E36" w:rsidP="00081E36">
      <w:pPr>
        <w:pStyle w:val="ListParagraph"/>
        <w:numPr>
          <w:ilvl w:val="0"/>
          <w:numId w:val="14"/>
        </w:numPr>
        <w:jc w:val="both"/>
      </w:pPr>
      <w:r w:rsidRPr="009E30CD">
        <w:t>Posterior predictive probability of success threshold required for stopping</w:t>
      </w:r>
      <w:r>
        <w:t xml:space="preserve"> early</w:t>
      </w:r>
      <w:r w:rsidRPr="009E30CD">
        <w:t xml:space="preserve"> for futility. </w:t>
      </w:r>
    </w:p>
    <w:p w14:paraId="616D916A" w14:textId="77777777" w:rsidR="00081E36" w:rsidRPr="00FF2D8E" w:rsidRDefault="00081E36" w:rsidP="00081E36">
      <w:pPr>
        <w:jc w:val="both"/>
      </w:pPr>
      <w:r>
        <w:t>In keeping with the design of the main study, the trial design that generates a one-sided type I error rate of 2.5% (equivalent to two-sided 5% error rate) and 90% power will be used for the Bayesian trial.</w:t>
      </w:r>
    </w:p>
    <w:p w14:paraId="437072CA" w14:textId="77777777" w:rsidR="00081E36" w:rsidRDefault="00081E36" w:rsidP="00081E36">
      <w:pPr>
        <w:jc w:val="both"/>
        <w:rPr>
          <w:b/>
          <w:bCs/>
        </w:rPr>
      </w:pPr>
      <w:r w:rsidRPr="00597727">
        <w:rPr>
          <w:b/>
          <w:bCs/>
        </w:rPr>
        <w:t>Methods</w:t>
      </w:r>
    </w:p>
    <w:p w14:paraId="4BF07CB5" w14:textId="77777777" w:rsidR="00081E36" w:rsidRPr="00835B75" w:rsidRDefault="00081E36" w:rsidP="00081E36">
      <w:pPr>
        <w:jc w:val="both"/>
      </w:pPr>
      <w:r>
        <w:t xml:space="preserve">Posterior predictive probabilities will be used to assess stopping for futility, and posterior probabilities will be used in stopping rules for success. </w:t>
      </w:r>
    </w:p>
    <w:p w14:paraId="63ED16F9" w14:textId="7C2647F4" w:rsidR="00081E36" w:rsidRDefault="00081E36" w:rsidP="00081E36">
      <w:pPr>
        <w:jc w:val="both"/>
      </w:pPr>
      <w:r>
        <w:t xml:space="preserve">The analysis used in the simulation study will be unadjusted. </w:t>
      </w:r>
      <w:r w:rsidR="006930E6">
        <w:t>S</w:t>
      </w:r>
      <w:r>
        <w:t>imulations will be run using conjugate Beta Binomial models</w:t>
      </w:r>
      <w:r w:rsidR="006930E6">
        <w:t xml:space="preserve"> to determine key trial parameters &amp; thresholds</w:t>
      </w:r>
      <w:r>
        <w:t xml:space="preserve">. </w:t>
      </w:r>
    </w:p>
    <w:p w14:paraId="19974BE4" w14:textId="5B0D5E5C" w:rsidR="00081E36" w:rsidRDefault="00081E36" w:rsidP="00081E36">
      <w:pPr>
        <w:jc w:val="both"/>
      </w:pPr>
      <w:r>
        <w:fldChar w:fldCharType="begin"/>
      </w:r>
      <w:r>
        <w:instrText xml:space="preserve"> REF _Ref137734226 \h </w:instrText>
      </w:r>
      <w:r>
        <w:fldChar w:fldCharType="separate"/>
      </w:r>
      <w:r>
        <w:t xml:space="preserve">Table </w:t>
      </w:r>
      <w:r>
        <w:rPr>
          <w:noProof/>
        </w:rPr>
        <w:t>1</w:t>
      </w:r>
      <w:r>
        <w:fldChar w:fldCharType="end"/>
      </w:r>
      <w:r>
        <w:t xml:space="preserve"> outlines all information used in the initial set of simulations. Further simulations may be run to finalise parameters including number of interim analyses; these further studies will not be described in this analysis plan. The initial stopping thresholds for early stopping/ superiority presented in Table 1 have been chosen arbitrarily and will likely be refined during further iterations of this </w:t>
      </w:r>
      <w:r>
        <w:lastRenderedPageBreak/>
        <w:t xml:space="preserve">simulation study (details of further iterations of the simulation study will not be included in this document). The initial number of interim analyses </w:t>
      </w:r>
      <w:r w:rsidR="005C59CE">
        <w:t xml:space="preserve">given </w:t>
      </w:r>
      <w:r>
        <w:t>in Table 1 (0 or 1) ha</w:t>
      </w:r>
      <w:r w:rsidR="005C59CE">
        <w:t>ve</w:t>
      </w:r>
      <w:r>
        <w:t xml:space="preserve"> been chosen for computational reasons. All thresholds will be explored and refined first based on one or no interim analyses, </w:t>
      </w:r>
      <w:r w:rsidR="005C59CE">
        <w:t xml:space="preserve">and </w:t>
      </w:r>
      <w:r>
        <w:t>once those thresholds have been (approximately) found, the impact of additional interim analyses will be explored. It is likely that the final Bayesian adaptive trial design will feature more than one interim analysis.</w:t>
      </w:r>
    </w:p>
    <w:p w14:paraId="5C471FDA" w14:textId="77777777" w:rsidR="00081E36" w:rsidRDefault="00081E36" w:rsidP="00081E36">
      <w:pPr>
        <w:pStyle w:val="Caption"/>
        <w:keepNext/>
      </w:pPr>
      <w:bookmarkStart w:id="11" w:name="_Ref137734226"/>
      <w:bookmarkStart w:id="12" w:name="_Ref137734217"/>
      <w:r>
        <w:t xml:space="preserve">Table </w:t>
      </w:r>
      <w:r w:rsidR="00F064AC">
        <w:fldChar w:fldCharType="begin"/>
      </w:r>
      <w:r w:rsidR="00F064AC">
        <w:instrText xml:space="preserve"> SEQ Table \* ARABIC </w:instrText>
      </w:r>
      <w:r w:rsidR="00F064AC">
        <w:fldChar w:fldCharType="separate"/>
      </w:r>
      <w:r>
        <w:rPr>
          <w:noProof/>
        </w:rPr>
        <w:t>1</w:t>
      </w:r>
      <w:r w:rsidR="00F064AC">
        <w:rPr>
          <w:noProof/>
        </w:rPr>
        <w:fldChar w:fldCharType="end"/>
      </w:r>
      <w:bookmarkEnd w:id="11"/>
      <w:r>
        <w:t xml:space="preserve"> Initial Simulation Study Parameters</w:t>
      </w:r>
      <w:bookmarkEnd w:id="12"/>
    </w:p>
    <w:tbl>
      <w:tblPr>
        <w:tblStyle w:val="TableGrid"/>
        <w:tblW w:w="0" w:type="auto"/>
        <w:tblInd w:w="-5" w:type="dxa"/>
        <w:tblLook w:val="04A0" w:firstRow="1" w:lastRow="0" w:firstColumn="1" w:lastColumn="0" w:noHBand="0" w:noVBand="1"/>
      </w:tblPr>
      <w:tblGrid>
        <w:gridCol w:w="4395"/>
        <w:gridCol w:w="1620"/>
        <w:gridCol w:w="3006"/>
      </w:tblGrid>
      <w:tr w:rsidR="00081E36" w14:paraId="5B50411C" w14:textId="77777777" w:rsidTr="00C9637D">
        <w:tc>
          <w:tcPr>
            <w:tcW w:w="4395" w:type="dxa"/>
          </w:tcPr>
          <w:p w14:paraId="2F9DC69D" w14:textId="77777777" w:rsidR="00081E36" w:rsidRPr="00835B75" w:rsidRDefault="00081E36" w:rsidP="00C9637D">
            <w:pPr>
              <w:jc w:val="both"/>
              <w:rPr>
                <w:b/>
                <w:bCs/>
              </w:rPr>
            </w:pPr>
            <w:r w:rsidRPr="00835B75">
              <w:rPr>
                <w:b/>
                <w:bCs/>
              </w:rPr>
              <w:t>Item</w:t>
            </w:r>
          </w:p>
        </w:tc>
        <w:tc>
          <w:tcPr>
            <w:tcW w:w="1620" w:type="dxa"/>
          </w:tcPr>
          <w:p w14:paraId="52D93566" w14:textId="77777777" w:rsidR="00081E36" w:rsidRPr="00835B75" w:rsidRDefault="00081E36" w:rsidP="00C9637D">
            <w:pPr>
              <w:jc w:val="both"/>
              <w:rPr>
                <w:b/>
                <w:bCs/>
              </w:rPr>
            </w:pPr>
            <w:r w:rsidRPr="00835B75">
              <w:rPr>
                <w:b/>
                <w:bCs/>
              </w:rPr>
              <w:t>Fixed</w:t>
            </w:r>
            <w:r>
              <w:rPr>
                <w:b/>
                <w:bCs/>
              </w:rPr>
              <w:t xml:space="preserve">/ </w:t>
            </w:r>
            <w:r w:rsidRPr="00835B75">
              <w:rPr>
                <w:b/>
                <w:bCs/>
              </w:rPr>
              <w:t>Varied</w:t>
            </w:r>
          </w:p>
        </w:tc>
        <w:tc>
          <w:tcPr>
            <w:tcW w:w="3006" w:type="dxa"/>
          </w:tcPr>
          <w:p w14:paraId="71E26504" w14:textId="77777777" w:rsidR="00081E36" w:rsidRDefault="00081E36" w:rsidP="00C9637D">
            <w:pPr>
              <w:jc w:val="both"/>
              <w:rPr>
                <w:b/>
                <w:bCs/>
              </w:rPr>
            </w:pPr>
            <w:r>
              <w:rPr>
                <w:b/>
                <w:bCs/>
              </w:rPr>
              <w:t xml:space="preserve">Value (if fixed)/ </w:t>
            </w:r>
          </w:p>
          <w:p w14:paraId="154A37ED" w14:textId="77777777" w:rsidR="00081E36" w:rsidRPr="00835B75" w:rsidRDefault="00081E36" w:rsidP="00C9637D">
            <w:pPr>
              <w:jc w:val="both"/>
              <w:rPr>
                <w:b/>
                <w:bCs/>
              </w:rPr>
            </w:pPr>
            <w:r w:rsidRPr="00835B75">
              <w:rPr>
                <w:b/>
                <w:bCs/>
              </w:rPr>
              <w:t xml:space="preserve">Scenarios </w:t>
            </w:r>
            <w:r>
              <w:rPr>
                <w:b/>
                <w:bCs/>
              </w:rPr>
              <w:t>(</w:t>
            </w:r>
            <w:r w:rsidRPr="00835B75">
              <w:rPr>
                <w:b/>
                <w:bCs/>
              </w:rPr>
              <w:t>if varied</w:t>
            </w:r>
            <w:r>
              <w:rPr>
                <w:b/>
                <w:bCs/>
              </w:rPr>
              <w:t>)</w:t>
            </w:r>
          </w:p>
        </w:tc>
      </w:tr>
      <w:tr w:rsidR="00081E36" w14:paraId="5AE9F34B" w14:textId="77777777" w:rsidTr="00C9637D">
        <w:tc>
          <w:tcPr>
            <w:tcW w:w="4395" w:type="dxa"/>
          </w:tcPr>
          <w:p w14:paraId="30DEA9FC" w14:textId="77777777" w:rsidR="00081E36" w:rsidRDefault="00081E36" w:rsidP="00C9637D">
            <w:pPr>
              <w:jc w:val="both"/>
            </w:pPr>
            <w:r>
              <w:t>Number of simulations per scenario</w:t>
            </w:r>
          </w:p>
        </w:tc>
        <w:tc>
          <w:tcPr>
            <w:tcW w:w="1620" w:type="dxa"/>
          </w:tcPr>
          <w:p w14:paraId="692C0814" w14:textId="77777777" w:rsidR="00081E36" w:rsidRDefault="00081E36" w:rsidP="00C9637D">
            <w:pPr>
              <w:jc w:val="both"/>
            </w:pPr>
            <w:r>
              <w:t>Fixed</w:t>
            </w:r>
          </w:p>
        </w:tc>
        <w:tc>
          <w:tcPr>
            <w:tcW w:w="3006" w:type="dxa"/>
          </w:tcPr>
          <w:p w14:paraId="593ED7CF" w14:textId="77777777" w:rsidR="00081E36" w:rsidRDefault="00081E36" w:rsidP="00C9637D">
            <w:pPr>
              <w:jc w:val="both"/>
            </w:pPr>
            <w:r>
              <w:t>1000</w:t>
            </w:r>
          </w:p>
        </w:tc>
      </w:tr>
      <w:tr w:rsidR="00081E36" w14:paraId="5EA7BFCD" w14:textId="77777777" w:rsidTr="00C9637D">
        <w:tc>
          <w:tcPr>
            <w:tcW w:w="4395" w:type="dxa"/>
          </w:tcPr>
          <w:p w14:paraId="5C276EF1" w14:textId="77777777" w:rsidR="00081E36" w:rsidRDefault="00081E36" w:rsidP="00C9637D">
            <w:pPr>
              <w:jc w:val="both"/>
            </w:pPr>
            <w:r>
              <w:t>Maximum trial size</w:t>
            </w:r>
          </w:p>
        </w:tc>
        <w:tc>
          <w:tcPr>
            <w:tcW w:w="1620" w:type="dxa"/>
          </w:tcPr>
          <w:p w14:paraId="6FD80690" w14:textId="77777777" w:rsidR="00081E36" w:rsidRDefault="00081E36" w:rsidP="00C9637D">
            <w:pPr>
              <w:jc w:val="both"/>
            </w:pPr>
            <w:r>
              <w:t>Fixed</w:t>
            </w:r>
          </w:p>
        </w:tc>
        <w:tc>
          <w:tcPr>
            <w:tcW w:w="3006" w:type="dxa"/>
          </w:tcPr>
          <w:p w14:paraId="4D80BB8C" w14:textId="77777777" w:rsidR="00081E36" w:rsidRDefault="00081E36" w:rsidP="00C9637D">
            <w:pPr>
              <w:jc w:val="both"/>
            </w:pPr>
            <w:r w:rsidRPr="00A764CE">
              <w:rPr>
                <w:rFonts w:cstheme="minorHAnsi"/>
              </w:rPr>
              <w:t>1042</w:t>
            </w:r>
            <w:r>
              <w:rPr>
                <w:rFonts w:cstheme="minorHAnsi"/>
              </w:rPr>
              <w:t xml:space="preserve"> (identical to TRANSLATE main study)</w:t>
            </w:r>
          </w:p>
        </w:tc>
      </w:tr>
      <w:tr w:rsidR="00081E36" w14:paraId="263C59A6" w14:textId="77777777" w:rsidTr="00C9637D">
        <w:tc>
          <w:tcPr>
            <w:tcW w:w="4395" w:type="dxa"/>
          </w:tcPr>
          <w:p w14:paraId="6476026C" w14:textId="77777777" w:rsidR="00081E36" w:rsidRDefault="00081E36" w:rsidP="00C9637D">
            <w:pPr>
              <w:jc w:val="both"/>
            </w:pPr>
            <w:r>
              <w:t>Priors on detection rate for TRUS &amp; LATP</w:t>
            </w:r>
          </w:p>
        </w:tc>
        <w:tc>
          <w:tcPr>
            <w:tcW w:w="1620" w:type="dxa"/>
          </w:tcPr>
          <w:p w14:paraId="1E47D91B" w14:textId="77777777" w:rsidR="00081E36" w:rsidRDefault="00081E36" w:rsidP="00C9637D">
            <w:pPr>
              <w:jc w:val="both"/>
            </w:pPr>
            <w:r>
              <w:t>Fixed</w:t>
            </w:r>
          </w:p>
        </w:tc>
        <w:tc>
          <w:tcPr>
            <w:tcW w:w="3006" w:type="dxa"/>
          </w:tcPr>
          <w:p w14:paraId="45609B8D" w14:textId="77777777" w:rsidR="00081E36" w:rsidRPr="00C9637D" w:rsidRDefault="00081E36" w:rsidP="00C9637D">
            <w:pPr>
              <w:jc w:val="both"/>
              <w:rPr>
                <w:rFonts w:ascii="Cambria Math" w:hAnsi="Cambria Math"/>
              </w:rPr>
            </w:pPr>
            <w:proofErr w:type="gramStart"/>
            <w:r w:rsidRPr="00C9637D">
              <w:rPr>
                <w:rFonts w:ascii="Cambria Math" w:hAnsi="Cambria Math"/>
              </w:rPr>
              <w:t>Beta(</w:t>
            </w:r>
            <w:proofErr w:type="gramEnd"/>
            <w:r w:rsidRPr="00C9637D">
              <w:rPr>
                <w:rFonts w:ascii="Cambria Math" w:hAnsi="Cambria Math"/>
              </w:rPr>
              <w:t>1,1)</w:t>
            </w:r>
          </w:p>
        </w:tc>
      </w:tr>
      <w:tr w:rsidR="00081E36" w14:paraId="460B1262" w14:textId="77777777" w:rsidTr="00C9637D">
        <w:tc>
          <w:tcPr>
            <w:tcW w:w="4395" w:type="dxa"/>
          </w:tcPr>
          <w:p w14:paraId="7447FE95" w14:textId="77777777" w:rsidR="00081E36" w:rsidRDefault="00081E36" w:rsidP="00C9637D">
            <w:pPr>
              <w:jc w:val="both"/>
            </w:pPr>
            <w:r>
              <w:t>Posterior probability of superiority (LATP &gt; TRUS) required to stop for success (interim)</w:t>
            </w:r>
          </w:p>
        </w:tc>
        <w:tc>
          <w:tcPr>
            <w:tcW w:w="1620" w:type="dxa"/>
          </w:tcPr>
          <w:p w14:paraId="08FE8CB3" w14:textId="77777777" w:rsidR="00081E36" w:rsidRDefault="00081E36" w:rsidP="00C9637D">
            <w:pPr>
              <w:jc w:val="both"/>
            </w:pPr>
            <w:r>
              <w:t>Varied</w:t>
            </w:r>
          </w:p>
        </w:tc>
        <w:tc>
          <w:tcPr>
            <w:tcW w:w="3006" w:type="dxa"/>
          </w:tcPr>
          <w:p w14:paraId="2868582A" w14:textId="77777777" w:rsidR="00081E36" w:rsidRDefault="00081E36" w:rsidP="00C9637D">
            <w:pPr>
              <w:jc w:val="both"/>
            </w:pPr>
            <w:r>
              <w:t>0.98, 0.99</w:t>
            </w:r>
          </w:p>
        </w:tc>
      </w:tr>
      <w:tr w:rsidR="00081E36" w14:paraId="1BE3D158" w14:textId="77777777" w:rsidTr="00C9637D">
        <w:tc>
          <w:tcPr>
            <w:tcW w:w="4395" w:type="dxa"/>
          </w:tcPr>
          <w:p w14:paraId="31CD0C40" w14:textId="77777777" w:rsidR="00081E36" w:rsidRDefault="00081E36" w:rsidP="00C9637D">
            <w:pPr>
              <w:jc w:val="both"/>
            </w:pPr>
            <w:r>
              <w:t>Posterior probability of superiority (LATP &gt; TRUS) required to stop for success (final)</w:t>
            </w:r>
          </w:p>
        </w:tc>
        <w:tc>
          <w:tcPr>
            <w:tcW w:w="1620" w:type="dxa"/>
          </w:tcPr>
          <w:p w14:paraId="225BB424" w14:textId="77777777" w:rsidR="00081E36" w:rsidRDefault="00081E36" w:rsidP="00C9637D">
            <w:pPr>
              <w:jc w:val="both"/>
            </w:pPr>
            <w:r>
              <w:t>Varied</w:t>
            </w:r>
          </w:p>
        </w:tc>
        <w:tc>
          <w:tcPr>
            <w:tcW w:w="3006" w:type="dxa"/>
          </w:tcPr>
          <w:p w14:paraId="331A8818" w14:textId="77777777" w:rsidR="00081E36" w:rsidRDefault="00081E36" w:rsidP="00C9637D">
            <w:pPr>
              <w:jc w:val="both"/>
            </w:pPr>
            <w:r>
              <w:t>0.95, 0.98</w:t>
            </w:r>
          </w:p>
        </w:tc>
      </w:tr>
      <w:tr w:rsidR="00081E36" w14:paraId="1185E9AE" w14:textId="77777777" w:rsidTr="00C9637D">
        <w:tc>
          <w:tcPr>
            <w:tcW w:w="4395" w:type="dxa"/>
          </w:tcPr>
          <w:p w14:paraId="0DE2E188" w14:textId="77777777" w:rsidR="00081E36" w:rsidRPr="008400CA" w:rsidRDefault="00081E36" w:rsidP="00C9637D">
            <w:pPr>
              <w:jc w:val="both"/>
            </w:pPr>
            <w:r>
              <w:t>True detection rates</w:t>
            </w:r>
          </w:p>
        </w:tc>
        <w:tc>
          <w:tcPr>
            <w:tcW w:w="1620" w:type="dxa"/>
          </w:tcPr>
          <w:p w14:paraId="53F2D999" w14:textId="77777777" w:rsidR="00081E36" w:rsidRPr="008400CA" w:rsidRDefault="00081E36" w:rsidP="00C9637D">
            <w:pPr>
              <w:jc w:val="both"/>
            </w:pPr>
            <w:r w:rsidRPr="008400CA">
              <w:t>Varied</w:t>
            </w:r>
          </w:p>
        </w:tc>
        <w:tc>
          <w:tcPr>
            <w:tcW w:w="3006" w:type="dxa"/>
          </w:tcPr>
          <w:p w14:paraId="2692AF74" w14:textId="77777777" w:rsidR="00081E36" w:rsidRDefault="00081E36" w:rsidP="00C9637D">
            <w:pPr>
              <w:jc w:val="both"/>
            </w:pPr>
            <w:r>
              <w:t>Four “truth” scenarios*:</w:t>
            </w:r>
          </w:p>
          <w:p w14:paraId="6461CC0E" w14:textId="77777777" w:rsidR="00081E36" w:rsidRDefault="00081E36" w:rsidP="00C9637D">
            <w:pPr>
              <w:pStyle w:val="ListParagraph"/>
              <w:numPr>
                <w:ilvl w:val="0"/>
                <w:numId w:val="15"/>
              </w:numPr>
              <w:jc w:val="both"/>
            </w:pPr>
            <w:r>
              <w:t>Null</w:t>
            </w:r>
          </w:p>
          <w:p w14:paraId="16DE29E7" w14:textId="77777777" w:rsidR="00081E36" w:rsidRDefault="00081E36" w:rsidP="00C9637D">
            <w:pPr>
              <w:pStyle w:val="ListParagraph"/>
              <w:numPr>
                <w:ilvl w:val="0"/>
                <w:numId w:val="15"/>
              </w:numPr>
              <w:jc w:val="both"/>
            </w:pPr>
            <w:r>
              <w:t>Power</w:t>
            </w:r>
          </w:p>
          <w:p w14:paraId="63FA3D36" w14:textId="77777777" w:rsidR="00081E36" w:rsidRDefault="00081E36" w:rsidP="00C9637D">
            <w:pPr>
              <w:pStyle w:val="ListParagraph"/>
              <w:numPr>
                <w:ilvl w:val="0"/>
                <w:numId w:val="15"/>
              </w:numPr>
              <w:jc w:val="both"/>
            </w:pPr>
            <w:r>
              <w:t>Half</w:t>
            </w:r>
          </w:p>
          <w:p w14:paraId="120B2699" w14:textId="77777777" w:rsidR="00081E36" w:rsidRDefault="00081E36" w:rsidP="00C9637D">
            <w:pPr>
              <w:pStyle w:val="ListParagraph"/>
              <w:numPr>
                <w:ilvl w:val="0"/>
                <w:numId w:val="15"/>
              </w:numPr>
              <w:jc w:val="both"/>
            </w:pPr>
            <w:r>
              <w:t>Double</w:t>
            </w:r>
          </w:p>
          <w:p w14:paraId="50D47739" w14:textId="77777777" w:rsidR="00081E36" w:rsidRDefault="00081E36" w:rsidP="00C9637D">
            <w:pPr>
              <w:jc w:val="both"/>
            </w:pPr>
            <w:r>
              <w:t>Null:</w:t>
            </w:r>
          </w:p>
          <w:p w14:paraId="01EEB607" w14:textId="77777777" w:rsidR="00081E36" w:rsidRDefault="00081E36" w:rsidP="00C9637D">
            <w:pPr>
              <w:jc w:val="both"/>
            </w:pPr>
            <w:r>
              <w:t>TRUS detection rate=0.45</w:t>
            </w:r>
          </w:p>
          <w:p w14:paraId="3DC9E8BC" w14:textId="77777777" w:rsidR="00081E36" w:rsidRDefault="00081E36" w:rsidP="00C9637D">
            <w:pPr>
              <w:jc w:val="both"/>
            </w:pPr>
            <w:r>
              <w:t>LATP detection rate=0.45</w:t>
            </w:r>
          </w:p>
          <w:p w14:paraId="05F24500" w14:textId="77777777" w:rsidR="00081E36" w:rsidRDefault="00081E36" w:rsidP="00C9637D">
            <w:pPr>
              <w:jc w:val="both"/>
            </w:pPr>
          </w:p>
          <w:p w14:paraId="3A4DCD2B" w14:textId="77777777" w:rsidR="00081E36" w:rsidRDefault="00081E36" w:rsidP="00C9637D">
            <w:pPr>
              <w:jc w:val="both"/>
            </w:pPr>
            <w:r>
              <w:t>Power:</w:t>
            </w:r>
          </w:p>
          <w:p w14:paraId="55C4BEFD" w14:textId="77777777" w:rsidR="00081E36" w:rsidRDefault="00081E36" w:rsidP="00C9637D">
            <w:pPr>
              <w:jc w:val="both"/>
            </w:pPr>
            <w:r>
              <w:t>TRUS detection rate=0.45</w:t>
            </w:r>
          </w:p>
          <w:p w14:paraId="77DFDDFA" w14:textId="77777777" w:rsidR="00081E36" w:rsidRDefault="00081E36" w:rsidP="00C9637D">
            <w:pPr>
              <w:jc w:val="both"/>
            </w:pPr>
            <w:r>
              <w:t>LATP detection rate= 0.55</w:t>
            </w:r>
          </w:p>
          <w:p w14:paraId="6253B981" w14:textId="77777777" w:rsidR="00081E36" w:rsidRDefault="00081E36" w:rsidP="00C9637D">
            <w:pPr>
              <w:jc w:val="both"/>
            </w:pPr>
          </w:p>
          <w:p w14:paraId="4100631A" w14:textId="77777777" w:rsidR="00081E36" w:rsidRDefault="00081E36" w:rsidP="00C9637D">
            <w:pPr>
              <w:jc w:val="both"/>
            </w:pPr>
            <w:r>
              <w:t>Half:</w:t>
            </w:r>
          </w:p>
          <w:p w14:paraId="46E6C319" w14:textId="77777777" w:rsidR="00081E36" w:rsidRDefault="00081E36" w:rsidP="00C9637D">
            <w:pPr>
              <w:jc w:val="both"/>
            </w:pPr>
            <w:r>
              <w:t>TRUS detection rate=0.45</w:t>
            </w:r>
          </w:p>
          <w:p w14:paraId="1DD76A14" w14:textId="77777777" w:rsidR="00081E36" w:rsidRDefault="00081E36" w:rsidP="00C9637D">
            <w:pPr>
              <w:jc w:val="both"/>
            </w:pPr>
            <w:r>
              <w:t>LATP detection rate= 0.5</w:t>
            </w:r>
          </w:p>
          <w:p w14:paraId="6C0D4C7E" w14:textId="77777777" w:rsidR="00081E36" w:rsidRDefault="00081E36" w:rsidP="00C9637D">
            <w:pPr>
              <w:jc w:val="both"/>
            </w:pPr>
          </w:p>
          <w:p w14:paraId="553C65B3" w14:textId="77777777" w:rsidR="00081E36" w:rsidRDefault="00081E36" w:rsidP="00C9637D">
            <w:pPr>
              <w:jc w:val="both"/>
            </w:pPr>
            <w:r>
              <w:t>Double:</w:t>
            </w:r>
          </w:p>
          <w:p w14:paraId="09165B79" w14:textId="77777777" w:rsidR="00081E36" w:rsidRDefault="00081E36" w:rsidP="00C9637D">
            <w:pPr>
              <w:jc w:val="both"/>
            </w:pPr>
            <w:r>
              <w:t>TRUS detection rate=0.45</w:t>
            </w:r>
          </w:p>
          <w:p w14:paraId="39BFE376" w14:textId="77777777" w:rsidR="00081E36" w:rsidRDefault="00081E36" w:rsidP="00C9637D">
            <w:pPr>
              <w:jc w:val="both"/>
            </w:pPr>
            <w:r>
              <w:t>LATP detection rate= 0.65</w:t>
            </w:r>
          </w:p>
        </w:tc>
      </w:tr>
      <w:tr w:rsidR="00081E36" w14:paraId="7CE06382" w14:textId="77777777" w:rsidTr="00C9637D">
        <w:tc>
          <w:tcPr>
            <w:tcW w:w="4395" w:type="dxa"/>
          </w:tcPr>
          <w:p w14:paraId="59627A72" w14:textId="77777777" w:rsidR="00081E36" w:rsidRDefault="00081E36" w:rsidP="00C9637D">
            <w:pPr>
              <w:jc w:val="both"/>
            </w:pPr>
            <w:r>
              <w:t>Number of interim looks</w:t>
            </w:r>
          </w:p>
        </w:tc>
        <w:tc>
          <w:tcPr>
            <w:tcW w:w="1620" w:type="dxa"/>
          </w:tcPr>
          <w:p w14:paraId="32005722" w14:textId="77777777" w:rsidR="00081E36" w:rsidRDefault="00081E36" w:rsidP="00C9637D">
            <w:pPr>
              <w:jc w:val="both"/>
            </w:pPr>
            <w:r>
              <w:t>Varied</w:t>
            </w:r>
          </w:p>
        </w:tc>
        <w:tc>
          <w:tcPr>
            <w:tcW w:w="3006" w:type="dxa"/>
          </w:tcPr>
          <w:p w14:paraId="521B8685" w14:textId="77777777" w:rsidR="00081E36" w:rsidRDefault="00081E36" w:rsidP="00C9637D">
            <w:pPr>
              <w:jc w:val="both"/>
            </w:pPr>
            <w:r>
              <w:t>0, 1</w:t>
            </w:r>
          </w:p>
          <w:p w14:paraId="05048DFD" w14:textId="77777777" w:rsidR="00081E36" w:rsidRDefault="00081E36" w:rsidP="00C9637D">
            <w:pPr>
              <w:jc w:val="both"/>
            </w:pPr>
            <w:r>
              <w:t>Timing of the interim looks will be spaced evenly through the sample size i.e.</w:t>
            </w:r>
          </w:p>
          <w:p w14:paraId="1AC7C514" w14:textId="2CDBD293" w:rsidR="00081E36" w:rsidRDefault="00081E36" w:rsidP="00C9637D">
            <w:pPr>
              <w:pStyle w:val="ListParagraph"/>
              <w:numPr>
                <w:ilvl w:val="0"/>
                <w:numId w:val="11"/>
              </w:numPr>
              <w:jc w:val="both"/>
            </w:pPr>
            <w:r>
              <w:t>one look at 600 participants (&gt;50% of targe</w:t>
            </w:r>
            <w:r w:rsidR="005C59CE">
              <w:t>t</w:t>
            </w:r>
            <w:r>
              <w:t xml:space="preserve"> sample size)</w:t>
            </w:r>
          </w:p>
        </w:tc>
      </w:tr>
      <w:tr w:rsidR="00081E36" w14:paraId="4C5E970D" w14:textId="77777777" w:rsidTr="00C9637D">
        <w:tc>
          <w:tcPr>
            <w:tcW w:w="4395" w:type="dxa"/>
          </w:tcPr>
          <w:p w14:paraId="47566ADC" w14:textId="77777777" w:rsidR="00081E36" w:rsidRDefault="00081E36" w:rsidP="00C9637D">
            <w:pPr>
              <w:jc w:val="both"/>
            </w:pPr>
            <w:r>
              <w:t xml:space="preserve">Posterior predictive probability of success threshold required for stopping for futility </w:t>
            </w:r>
          </w:p>
        </w:tc>
        <w:tc>
          <w:tcPr>
            <w:tcW w:w="1620" w:type="dxa"/>
          </w:tcPr>
          <w:p w14:paraId="594E64D8" w14:textId="77777777" w:rsidR="00081E36" w:rsidRDefault="00081E36" w:rsidP="00C9637D">
            <w:pPr>
              <w:jc w:val="both"/>
            </w:pPr>
            <w:r>
              <w:t>Varied</w:t>
            </w:r>
          </w:p>
        </w:tc>
        <w:tc>
          <w:tcPr>
            <w:tcW w:w="3006" w:type="dxa"/>
          </w:tcPr>
          <w:p w14:paraId="2F7F9407" w14:textId="77777777" w:rsidR="00081E36" w:rsidRDefault="00081E36" w:rsidP="00C9637D">
            <w:pPr>
              <w:jc w:val="both"/>
            </w:pPr>
            <w:r>
              <w:t>0.05, 0.1</w:t>
            </w:r>
          </w:p>
        </w:tc>
      </w:tr>
    </w:tbl>
    <w:p w14:paraId="63D5A4A3" w14:textId="77777777" w:rsidR="00081E36" w:rsidRDefault="00081E36" w:rsidP="00081E36">
      <w:pPr>
        <w:jc w:val="both"/>
        <w:rPr>
          <w:i/>
          <w:iCs/>
        </w:rPr>
      </w:pPr>
      <w:r w:rsidRPr="00835B75">
        <w:rPr>
          <w:i/>
          <w:iCs/>
        </w:rPr>
        <w:t>*</w:t>
      </w:r>
      <w:r>
        <w:rPr>
          <w:i/>
          <w:iCs/>
        </w:rPr>
        <w:t xml:space="preserve"> </w:t>
      </w:r>
      <w:r w:rsidRPr="008D340C">
        <w:rPr>
          <w:i/>
          <w:iCs/>
        </w:rPr>
        <w:t>Null scenario gives overall cancer detection rates of 45%</w:t>
      </w:r>
      <w:r w:rsidRPr="00835B75">
        <w:rPr>
          <w:i/>
          <w:iCs/>
        </w:rPr>
        <w:t xml:space="preserve"> in both groups (null hypothesis). Power</w:t>
      </w:r>
      <w:r>
        <w:rPr>
          <w:i/>
          <w:iCs/>
        </w:rPr>
        <w:t xml:space="preserve"> scenario</w:t>
      </w:r>
      <w:r w:rsidRPr="00835B75">
        <w:rPr>
          <w:i/>
          <w:iCs/>
        </w:rPr>
        <w:t xml:space="preserve"> gives the</w:t>
      </w:r>
      <w:r>
        <w:rPr>
          <w:i/>
          <w:iCs/>
        </w:rPr>
        <w:t xml:space="preserve"> detection rates the original trial is designed to observe; 45% detection rate in TRUS and 55% detection rate in LATP (</w:t>
      </w:r>
      <w:r w:rsidRPr="00C9637D">
        <w:rPr>
          <w:rFonts w:ascii="Cambria Math" w:hAnsi="Cambria Math" w:cstheme="minorHAnsi"/>
          <w:i/>
          <w:iCs/>
        </w:rPr>
        <w:t>θ</w:t>
      </w:r>
      <w:r w:rsidRPr="00C9637D">
        <w:rPr>
          <w:rFonts w:ascii="Cambria Math" w:hAnsi="Cambria Math"/>
          <w:i/>
          <w:iCs/>
        </w:rPr>
        <w:t>=0.1</w:t>
      </w:r>
      <w:r>
        <w:rPr>
          <w:i/>
          <w:iCs/>
        </w:rPr>
        <w:t>). Half scenario</w:t>
      </w:r>
      <w:r w:rsidRPr="00884C77">
        <w:rPr>
          <w:i/>
          <w:iCs/>
        </w:rPr>
        <w:t xml:space="preserve"> gives </w:t>
      </w:r>
      <w:r>
        <w:rPr>
          <w:i/>
          <w:iCs/>
        </w:rPr>
        <w:t xml:space="preserve">half </w:t>
      </w:r>
      <w:r w:rsidRPr="00884C77">
        <w:rPr>
          <w:i/>
          <w:iCs/>
        </w:rPr>
        <w:t>the</w:t>
      </w:r>
      <w:r>
        <w:rPr>
          <w:i/>
          <w:iCs/>
        </w:rPr>
        <w:t xml:space="preserve"> detection rates the original trial </w:t>
      </w:r>
      <w:r>
        <w:rPr>
          <w:i/>
          <w:iCs/>
        </w:rPr>
        <w:lastRenderedPageBreak/>
        <w:t>is designed to observe; 45% detection rate in TRUS and 50% detection rate in LATP (</w:t>
      </w:r>
      <w:r w:rsidRPr="00C9637D">
        <w:rPr>
          <w:rFonts w:ascii="Cambria Math" w:hAnsi="Cambria Math" w:cstheme="minorHAnsi"/>
          <w:i/>
          <w:iCs/>
        </w:rPr>
        <w:t>θ</w:t>
      </w:r>
      <w:r w:rsidRPr="00C9637D">
        <w:rPr>
          <w:rFonts w:ascii="Cambria Math" w:hAnsi="Cambria Math"/>
          <w:i/>
          <w:iCs/>
        </w:rPr>
        <w:t>=0.05</w:t>
      </w:r>
      <w:r>
        <w:rPr>
          <w:i/>
          <w:iCs/>
        </w:rPr>
        <w:t>). Double scenario</w:t>
      </w:r>
      <w:r w:rsidRPr="00884C77">
        <w:rPr>
          <w:i/>
          <w:iCs/>
        </w:rPr>
        <w:t xml:space="preserve"> gives</w:t>
      </w:r>
      <w:r>
        <w:rPr>
          <w:i/>
          <w:iCs/>
        </w:rPr>
        <w:t xml:space="preserve"> double</w:t>
      </w:r>
      <w:r w:rsidRPr="00884C77">
        <w:rPr>
          <w:i/>
          <w:iCs/>
        </w:rPr>
        <w:t xml:space="preserve"> the</w:t>
      </w:r>
      <w:r>
        <w:rPr>
          <w:i/>
          <w:iCs/>
        </w:rPr>
        <w:t xml:space="preserve"> detection rates the original trial is designed to observe; 45% detection rate in TRUS and 65% detection rate in LATP </w:t>
      </w:r>
      <w:r w:rsidRPr="00C9637D">
        <w:rPr>
          <w:rFonts w:ascii="Cambria Math" w:hAnsi="Cambria Math"/>
          <w:i/>
          <w:iCs/>
        </w:rPr>
        <w:t>(</w:t>
      </w:r>
      <w:r w:rsidRPr="00C9637D">
        <w:rPr>
          <w:rFonts w:ascii="Cambria Math" w:hAnsi="Cambria Math" w:cstheme="minorHAnsi"/>
          <w:i/>
          <w:iCs/>
        </w:rPr>
        <w:t>θ</w:t>
      </w:r>
      <w:r w:rsidRPr="00C9637D">
        <w:rPr>
          <w:rFonts w:ascii="Cambria Math" w:hAnsi="Cambria Math"/>
          <w:i/>
          <w:iCs/>
        </w:rPr>
        <w:t>=0.2)</w:t>
      </w:r>
      <w:r>
        <w:rPr>
          <w:i/>
          <w:iCs/>
        </w:rPr>
        <w:t>.</w:t>
      </w:r>
    </w:p>
    <w:p w14:paraId="6CADB22F" w14:textId="25FA4233" w:rsidR="00563287" w:rsidRPr="00EF630A" w:rsidRDefault="00563287" w:rsidP="00081E36">
      <w:pPr>
        <w:jc w:val="both"/>
      </w:pPr>
      <w:r>
        <w:t xml:space="preserve">Simulation study results, including finalised trial design, will be written up and presented as supplemental material to the Bayesian results publication. These results will be date stamped to show the trial design was finalised prior to the final study data being available. </w:t>
      </w:r>
    </w:p>
    <w:p w14:paraId="1619F608" w14:textId="77777777" w:rsidR="00081E36" w:rsidRDefault="00081E36" w:rsidP="00081E36">
      <w:pPr>
        <w:pStyle w:val="Heading1"/>
      </w:pPr>
      <w:bookmarkStart w:id="13" w:name="_Ref137820748"/>
      <w:bookmarkStart w:id="14" w:name="_Toc149732737"/>
      <w:r>
        <w:t>Trial Re-Analysis</w:t>
      </w:r>
      <w:bookmarkEnd w:id="13"/>
      <w:bookmarkEnd w:id="14"/>
    </w:p>
    <w:p w14:paraId="7D004B32" w14:textId="77777777" w:rsidR="00081E36" w:rsidRDefault="00081E36" w:rsidP="00081E36">
      <w:pPr>
        <w:jc w:val="both"/>
        <w:rPr>
          <w:b/>
          <w:bCs/>
        </w:rPr>
      </w:pPr>
      <w:r w:rsidRPr="00835B75">
        <w:rPr>
          <w:b/>
          <w:bCs/>
        </w:rPr>
        <w:t>Aim</w:t>
      </w:r>
    </w:p>
    <w:p w14:paraId="0F51C982" w14:textId="54148891" w:rsidR="00081E36" w:rsidRDefault="00081E36" w:rsidP="00081E36">
      <w:pPr>
        <w:jc w:val="both"/>
      </w:pPr>
      <w:r>
        <w:t>To perform a Bayesian analysis of the primary outcome of TRANSLATE, including pre-specified formal interim analyses with the possibility of stopping early for success (efficacy) or futility. If possible, the re-analysis will be performed in “real-time”, i.e. in parallel with, or soon after, the main frequentist analysis has been completed.</w:t>
      </w:r>
    </w:p>
    <w:p w14:paraId="4FAC3BF2" w14:textId="77777777" w:rsidR="00081E36" w:rsidRPr="00835B75" w:rsidRDefault="00081E36" w:rsidP="00081E36">
      <w:pPr>
        <w:jc w:val="both"/>
        <w:rPr>
          <w:b/>
          <w:bCs/>
        </w:rPr>
      </w:pPr>
      <w:r w:rsidRPr="00835B75">
        <w:rPr>
          <w:b/>
          <w:bCs/>
        </w:rPr>
        <w:t>Outcome</w:t>
      </w:r>
    </w:p>
    <w:p w14:paraId="1D8483D7" w14:textId="77777777" w:rsidR="00081E36" w:rsidRPr="00835B75" w:rsidRDefault="00081E36" w:rsidP="00081E36">
      <w:pPr>
        <w:pStyle w:val="Default"/>
        <w:jc w:val="both"/>
        <w:rPr>
          <w:sz w:val="22"/>
          <w:szCs w:val="22"/>
        </w:rPr>
      </w:pPr>
      <w:r w:rsidRPr="00835B75">
        <w:rPr>
          <w:sz w:val="22"/>
          <w:szCs w:val="22"/>
        </w:rPr>
        <w:t>The primary outcome of the TRANSLATE RCT is “</w:t>
      </w:r>
      <w:r>
        <w:rPr>
          <w:sz w:val="22"/>
          <w:szCs w:val="22"/>
        </w:rPr>
        <w:t>t</w:t>
      </w:r>
      <w:r w:rsidRPr="009E4507">
        <w:rPr>
          <w:sz w:val="22"/>
          <w:szCs w:val="22"/>
        </w:rPr>
        <w:t xml:space="preserve">o compare the TRUS biopsy versus LATP biopsy </w:t>
      </w:r>
      <w:r>
        <w:rPr>
          <w:sz w:val="22"/>
          <w:szCs w:val="22"/>
        </w:rPr>
        <w:t>in the detec</w:t>
      </w:r>
      <w:r w:rsidRPr="009E4507">
        <w:rPr>
          <w:sz w:val="22"/>
          <w:szCs w:val="22"/>
        </w:rPr>
        <w:t xml:space="preserve">tion </w:t>
      </w:r>
      <w:r>
        <w:rPr>
          <w:sz w:val="22"/>
          <w:szCs w:val="22"/>
        </w:rPr>
        <w:t>of</w:t>
      </w:r>
      <w:r w:rsidRPr="009E4507">
        <w:rPr>
          <w:sz w:val="22"/>
          <w:szCs w:val="22"/>
        </w:rPr>
        <w:t xml:space="preserve"> clinically significant </w:t>
      </w:r>
      <w:proofErr w:type="spellStart"/>
      <w:r w:rsidRPr="009E4507">
        <w:rPr>
          <w:sz w:val="22"/>
          <w:szCs w:val="22"/>
        </w:rPr>
        <w:t>PCa</w:t>
      </w:r>
      <w:proofErr w:type="spellEnd"/>
      <w:r w:rsidRPr="009E4507">
        <w:rPr>
          <w:sz w:val="22"/>
          <w:szCs w:val="22"/>
        </w:rPr>
        <w:t xml:space="preserve"> (defined as Gleason Grade Group ≥2, i.e. any Gleason pattern ≥4 disease)</w:t>
      </w:r>
      <w:r w:rsidRPr="00835B75">
        <w:rPr>
          <w:sz w:val="22"/>
          <w:szCs w:val="22"/>
        </w:rPr>
        <w:t>”.</w:t>
      </w:r>
      <w:r>
        <w:rPr>
          <w:sz w:val="22"/>
          <w:szCs w:val="22"/>
        </w:rPr>
        <w:t xml:space="preserve"> This pathology-based endpoint is usually available within seven days of the biopsy being taken. </w:t>
      </w:r>
    </w:p>
    <w:p w14:paraId="7FC2892C" w14:textId="77777777" w:rsidR="00081E36" w:rsidRPr="00835B75" w:rsidRDefault="00081E36" w:rsidP="00081E36">
      <w:pPr>
        <w:pStyle w:val="Default"/>
        <w:jc w:val="both"/>
      </w:pPr>
    </w:p>
    <w:p w14:paraId="6515546B" w14:textId="77777777" w:rsidR="00081E36" w:rsidRDefault="00081E36" w:rsidP="00081E36">
      <w:pPr>
        <w:jc w:val="both"/>
        <w:rPr>
          <w:b/>
          <w:bCs/>
        </w:rPr>
      </w:pPr>
      <w:r w:rsidRPr="00835B75">
        <w:rPr>
          <w:b/>
          <w:bCs/>
        </w:rPr>
        <w:t>Analysis Population</w:t>
      </w:r>
    </w:p>
    <w:p w14:paraId="7E547B63" w14:textId="77777777" w:rsidR="00081E36" w:rsidRDefault="00081E36" w:rsidP="00081E36">
      <w:pPr>
        <w:jc w:val="both"/>
      </w:pPr>
      <w:r>
        <w:t>The analysis population will match that described in the main trial’s SAP and will follow the intention-to-treat principle. Further details of how withdrawals, treatment crossovers, etc. are given in detail in the main SAP. If the trial would have stopped early under the adaptive Bayesian design, the analysis population will be smaller than that of the actual trial analysis population but will follow the same definition for inclusion.</w:t>
      </w:r>
      <w:r w:rsidRPr="00322061">
        <w:t xml:space="preserve"> </w:t>
      </w:r>
    </w:p>
    <w:p w14:paraId="0A0E8219" w14:textId="5A518234" w:rsidR="00081E36" w:rsidRDefault="00081E36" w:rsidP="00081E36">
      <w:pPr>
        <w:jc w:val="both"/>
      </w:pPr>
      <w:r>
        <w:t>In addition,</w:t>
      </w:r>
      <w:r w:rsidR="005C59CE">
        <w:t xml:space="preserve"> if the Bayesian trial is smaller than TRANSLATE,</w:t>
      </w:r>
      <w:r>
        <w:t xml:space="preserve"> we will run the </w:t>
      </w:r>
      <w:r w:rsidR="000D70E5">
        <w:t>Bayesian</w:t>
      </w:r>
      <w:r>
        <w:t xml:space="preserve"> analysis over different </w:t>
      </w:r>
      <w:r w:rsidR="000D70E5">
        <w:t xml:space="preserve">samples </w:t>
      </w:r>
      <w:r>
        <w:t>of the actual trial data to assess robustness of the results.</w:t>
      </w:r>
      <w:r w:rsidR="000D70E5">
        <w:t xml:space="preserve"> Samples will be drawn from the full dataset with replacement.</w:t>
      </w:r>
      <w:r>
        <w:t xml:space="preserve"> </w:t>
      </w:r>
    </w:p>
    <w:p w14:paraId="69A1B9BE" w14:textId="77777777" w:rsidR="00081E36" w:rsidRPr="00835B75" w:rsidRDefault="00081E36" w:rsidP="00081E36">
      <w:pPr>
        <w:rPr>
          <w:b/>
          <w:bCs/>
          <w:lang w:eastAsia="x-none"/>
        </w:rPr>
      </w:pPr>
      <w:r w:rsidRPr="00835B75">
        <w:rPr>
          <w:b/>
          <w:bCs/>
          <w:lang w:eastAsia="x-none"/>
        </w:rPr>
        <w:t>Methods</w:t>
      </w:r>
    </w:p>
    <w:p w14:paraId="7C5FA4DB" w14:textId="13CFB76E" w:rsidR="00081E36" w:rsidRDefault="00081E36" w:rsidP="00081E36">
      <w:pPr>
        <w:jc w:val="both"/>
      </w:pPr>
      <w:r>
        <w:t xml:space="preserve">Numbers in each treatment group, and </w:t>
      </w:r>
      <w:proofErr w:type="spellStart"/>
      <w:r>
        <w:t>PCa</w:t>
      </w:r>
      <w:proofErr w:type="spellEnd"/>
      <w:r>
        <w:t xml:space="preserve"> detection proportions, will be presented. The primary outcome will be compared between the two randomised groups using logistic regression. The regression model will match that described for the primary analysis in the main trial SAP, including what factors are adjusted for and is described fully in </w:t>
      </w:r>
      <w:r>
        <w:fldChar w:fldCharType="begin"/>
      </w:r>
      <w:r>
        <w:instrText xml:space="preserve"> REF _Ref153182050 \h </w:instrText>
      </w:r>
      <w:r>
        <w:fldChar w:fldCharType="separate"/>
      </w:r>
      <w:r>
        <w:t>Appendix: TRANSLATE Bayesian Equations</w:t>
      </w:r>
      <w:r>
        <w:fldChar w:fldCharType="end"/>
      </w:r>
      <w:r>
        <w:t xml:space="preserve">. Posterior estimates and 95% credible intervals of parameters of interest will be reported. Direct probability statements based on the posterior distributions, e.g. the probability of observing an improvement in the detection rate, </w:t>
      </w:r>
      <w:r w:rsidR="0094497B">
        <w:t>will</w:t>
      </w:r>
      <w:r>
        <w:t xml:space="preserve"> be produced. </w:t>
      </w:r>
    </w:p>
    <w:p w14:paraId="7C4468E8" w14:textId="77777777" w:rsidR="00081E36" w:rsidRDefault="00081E36" w:rsidP="00081E36">
      <w:pPr>
        <w:jc w:val="both"/>
      </w:pPr>
      <w:r>
        <w:t xml:space="preserve">Analysis methods at interim analyses will be the same as those used for the final analysis. </w:t>
      </w:r>
    </w:p>
    <w:p w14:paraId="67797627" w14:textId="77777777" w:rsidR="00081E36" w:rsidRDefault="00081E36" w:rsidP="00081E36">
      <w:pPr>
        <w:jc w:val="both"/>
      </w:pPr>
      <w:r>
        <w:t xml:space="preserve">An unadjusted supporting analysis will be performed using a conjugate Beta Binomial model at each planned analysis. </w:t>
      </w:r>
      <w:r w:rsidRPr="00C9637D">
        <w:rPr>
          <w:rFonts w:ascii="Cambria Math" w:hAnsi="Cambria Math"/>
        </w:rPr>
        <w:t>Beta (1,1)</w:t>
      </w:r>
      <w:r>
        <w:t xml:space="preserve"> priors will be used for these analyses. </w:t>
      </w:r>
    </w:p>
    <w:p w14:paraId="39B6A955" w14:textId="77777777" w:rsidR="00081E36" w:rsidRDefault="00081E36" w:rsidP="00081E36">
      <w:pPr>
        <w:jc w:val="both"/>
        <w:rPr>
          <w:b/>
          <w:bCs/>
        </w:rPr>
      </w:pPr>
      <w:r w:rsidRPr="000B4853">
        <w:rPr>
          <w:b/>
          <w:bCs/>
        </w:rPr>
        <w:t xml:space="preserve">Stopping criteria  </w:t>
      </w:r>
    </w:p>
    <w:p w14:paraId="2F8B02B0" w14:textId="77777777" w:rsidR="00081E36" w:rsidRDefault="00081E36" w:rsidP="00081E36">
      <w:pPr>
        <w:jc w:val="both"/>
      </w:pPr>
      <w:r>
        <w:lastRenderedPageBreak/>
        <w:t xml:space="preserve">Stopping early for success will be based on direct posterior probabilities of superiority (one-way: LATP &gt; TRUS), the threshold of probability of superiority required to stop early is determined using methods described in the Simulation Study section. </w:t>
      </w:r>
    </w:p>
    <w:p w14:paraId="02F2E77E" w14:textId="77777777" w:rsidR="00081E36" w:rsidRPr="00835B75" w:rsidRDefault="00081E36" w:rsidP="00081E36">
      <w:pPr>
        <w:jc w:val="both"/>
      </w:pPr>
      <w:r>
        <w:t xml:space="preserve">Early stopping for futility will be determined through posterior predictive probabilities of success (PPOS), with success again determined one-way LATP &gt; TRUS. The PPOS will be calculated at each interim analysis. If the PPOS falls below a specified threshold (determined via simulation) at any interim analysis, the trial will stop for futility. </w:t>
      </w:r>
    </w:p>
    <w:p w14:paraId="3BA7802D" w14:textId="77777777" w:rsidR="00081E36" w:rsidRPr="000B4853" w:rsidRDefault="00081E36" w:rsidP="00081E36">
      <w:pPr>
        <w:jc w:val="both"/>
        <w:rPr>
          <w:b/>
          <w:bCs/>
        </w:rPr>
      </w:pPr>
      <w:r w:rsidRPr="000B4853">
        <w:rPr>
          <w:b/>
          <w:bCs/>
        </w:rPr>
        <w:t>Statistical packages</w:t>
      </w:r>
    </w:p>
    <w:p w14:paraId="23ED090E" w14:textId="77777777" w:rsidR="00081E36" w:rsidRDefault="00081E36" w:rsidP="00081E36">
      <w:pPr>
        <w:jc w:val="both"/>
      </w:pPr>
      <w:r>
        <w:t xml:space="preserve">Analysis will be carried in out in R. JAGS, </w:t>
      </w:r>
      <w:proofErr w:type="spellStart"/>
      <w:r>
        <w:t>OpenBUGS</w:t>
      </w:r>
      <w:proofErr w:type="spellEnd"/>
      <w:r>
        <w:t xml:space="preserve"> (MCMC) or Stan (HMC) will be used to sample from target posterior distributions and accessed through R packages (e.g. R2OpenBUGS, </w:t>
      </w:r>
      <w:proofErr w:type="spellStart"/>
      <w:r>
        <w:t>rjags</w:t>
      </w:r>
      <w:proofErr w:type="spellEnd"/>
      <w:r>
        <w:t xml:space="preserve">, </w:t>
      </w:r>
      <w:proofErr w:type="spellStart"/>
      <w:r>
        <w:t>RStan</w:t>
      </w:r>
      <w:proofErr w:type="spellEnd"/>
      <w:r>
        <w:t xml:space="preserve">). Simulation study will be carried out using the same packages. </w:t>
      </w:r>
    </w:p>
    <w:p w14:paraId="313A9B99" w14:textId="77777777" w:rsidR="00081E36" w:rsidRDefault="00081E36" w:rsidP="00081E36">
      <w:pPr>
        <w:jc w:val="both"/>
      </w:pPr>
      <w:r>
        <w:rPr>
          <w:rFonts w:eastAsia="Times New Roman"/>
        </w:rPr>
        <w:t> </w:t>
      </w:r>
    </w:p>
    <w:p w14:paraId="307014A0" w14:textId="77777777" w:rsidR="00081E36" w:rsidRDefault="00081E36" w:rsidP="00081E36">
      <w:pPr>
        <w:pStyle w:val="Heading1"/>
      </w:pPr>
      <w:bookmarkStart w:id="15" w:name="_Ref153182050"/>
      <w:r>
        <w:t>Appendix: TRANSLATE Bayesian Equations</w:t>
      </w:r>
      <w:bookmarkEnd w:id="15"/>
    </w:p>
    <w:p w14:paraId="1E5DF64C" w14:textId="0AC66143" w:rsidR="00081E36" w:rsidRDefault="00C0765F" w:rsidP="00081E36">
      <w:pPr>
        <w:pStyle w:val="BodyText"/>
      </w:pPr>
      <w:bookmarkStart w:id="16" w:name="notation"/>
      <w:r>
        <w:t xml:space="preserve">Please note some abuses in notation both in subscripts and conditional probabilities. These have been omitted for readability. </w:t>
      </w:r>
    </w:p>
    <w:p w14:paraId="15BE86D9" w14:textId="77777777" w:rsidR="00081E36" w:rsidRDefault="00081E36" w:rsidP="009B49AF">
      <w:pPr>
        <w:pStyle w:val="Heading2"/>
        <w:numPr>
          <w:ilvl w:val="0"/>
          <w:numId w:val="22"/>
        </w:numPr>
      </w:pPr>
      <w:bookmarkStart w:id="17" w:name="conjugate"/>
      <w:bookmarkEnd w:id="16"/>
      <w:r>
        <w:t>Conjugate Simulation Study</w:t>
      </w:r>
    </w:p>
    <w:p w14:paraId="4947E003" w14:textId="07B9847F" w:rsidR="00081E36" w:rsidRDefault="00081E36" w:rsidP="00081E36">
      <w:pPr>
        <w:pStyle w:val="FirstParagraph"/>
      </w:pPr>
      <w:r>
        <w:t>We will perform a simulation study over many different trial designs using conjugate beta distributions for computational efficiency</w:t>
      </w:r>
      <w:r w:rsidR="00AC6C59">
        <w:t xml:space="preserve"> to identify</w:t>
      </w:r>
      <w:r>
        <w:t xml:space="preserve"> a target trial design that satisfies our restrictions (e.g. type I error &amp; power)</w:t>
      </w:r>
      <w:r w:rsidR="00AC6C59">
        <w:t>.</w:t>
      </w:r>
      <w:r>
        <w:t xml:space="preserve"> </w:t>
      </w:r>
    </w:p>
    <w:p w14:paraId="6569C13C" w14:textId="77777777" w:rsidR="00081E36" w:rsidRDefault="00081E36" w:rsidP="00081E36">
      <w:pPr>
        <w:pStyle w:val="BodyText"/>
        <w:rPr>
          <w:rFonts w:eastAsiaTheme="minorEastAsia"/>
        </w:rPr>
      </w:pPr>
      <w:r>
        <w:t xml:space="preserve">For group </w:t>
      </w:r>
      <w:r>
        <w:rPr>
          <w:i/>
        </w:rPr>
        <w:t xml:space="preserve">j </w:t>
      </w:r>
      <w:r>
        <w:t xml:space="preserve">at interim </w:t>
      </w:r>
      <w:r>
        <w:rPr>
          <w:i/>
        </w:rPr>
        <w:t xml:space="preserve">k, </w:t>
      </w:r>
      <w:r w:rsidRPr="00C9637D">
        <w:t>l</w:t>
      </w:r>
      <w:r>
        <w:t xml:space="preserve">et </w:t>
      </w:r>
      <m:oMath>
        <m:sSub>
          <m:sSubPr>
            <m:ctrlPr>
              <w:rPr>
                <w:rFonts w:ascii="Cambria Math" w:hAnsi="Cambria Math"/>
                <w:i/>
              </w:rPr>
            </m:ctrlPr>
          </m:sSubPr>
          <m:e>
            <m:r>
              <w:rPr>
                <w:rFonts w:ascii="Cambria Math" w:hAnsi="Cambria Math"/>
              </w:rPr>
              <m:t>n</m:t>
            </m:r>
          </m:e>
          <m:sub>
            <m:r>
              <w:rPr>
                <w:rFonts w:ascii="Cambria Math" w:hAnsi="Cambria Math"/>
              </w:rPr>
              <m:t>jk</m:t>
            </m:r>
          </m:sub>
        </m:sSub>
      </m:oMath>
      <w:r>
        <w:t xml:space="preserve"> be the number of participants recruited, </w:t>
      </w:r>
      <m:oMath>
        <m:sSub>
          <m:sSubPr>
            <m:ctrlPr>
              <w:rPr>
                <w:rFonts w:ascii="Cambria Math" w:hAnsi="Cambria Math"/>
                <w:i/>
              </w:rPr>
            </m:ctrlPr>
          </m:sSubPr>
          <m:e>
            <m:r>
              <w:rPr>
                <w:rFonts w:ascii="Cambria Math" w:hAnsi="Cambria Math"/>
              </w:rPr>
              <m:t>y</m:t>
            </m:r>
          </m:e>
          <m:sub>
            <m:r>
              <w:rPr>
                <w:rFonts w:ascii="Cambria Math" w:hAnsi="Cambria Math"/>
              </w:rPr>
              <m:t>jk</m:t>
            </m:r>
          </m:sub>
        </m:sSub>
      </m:oMath>
      <w:r>
        <w:rPr>
          <w:rFonts w:eastAsiaTheme="minorEastAsia"/>
        </w:rPr>
        <w:t xml:space="preserve"> the number of participants with PCa detected, and </w:t>
      </w:r>
      <m:oMath>
        <m:sSub>
          <m:sSubPr>
            <m:ctrlPr>
              <w:rPr>
                <w:rFonts w:ascii="Cambria Math" w:eastAsiaTheme="minorEastAsia" w:hAnsi="Cambria Math"/>
                <w:i/>
              </w:rPr>
            </m:ctrlPr>
          </m:sSubPr>
          <m:e>
            <m:r>
              <w:rPr>
                <w:rFonts w:ascii="Cambria Math" w:eastAsiaTheme="minorEastAsia" w:hAnsi="Cambria Math"/>
              </w:rPr>
              <m:t>θ</m:t>
            </m:r>
          </m:e>
          <m:sub>
            <m:r>
              <w:rPr>
                <w:rFonts w:ascii="Cambria Math" w:eastAsiaTheme="minorEastAsia" w:hAnsi="Cambria Math"/>
              </w:rPr>
              <m:t>j</m:t>
            </m:r>
          </m:sub>
        </m:sSub>
      </m:oMath>
      <w:r>
        <w:rPr>
          <w:rFonts w:eastAsiaTheme="minorEastAsia"/>
        </w:rPr>
        <w:t xml:space="preserve"> the probability of response</w:t>
      </w:r>
      <w:r>
        <w:rPr>
          <w:rFonts w:eastAsiaTheme="minorEastAsia"/>
          <w:i/>
        </w:rPr>
        <w:t xml:space="preserve">. </w:t>
      </w:r>
      <w:r>
        <w:rPr>
          <w:rFonts w:eastAsiaTheme="minorEastAsia"/>
        </w:rPr>
        <w:t>Then</w:t>
      </w:r>
    </w:p>
    <w:p w14:paraId="2526F516" w14:textId="77777777" w:rsidR="00081E36" w:rsidRPr="00C9637D" w:rsidRDefault="00F064AC" w:rsidP="00081E36">
      <w:pPr>
        <w:pStyle w:val="BodyText"/>
        <w:rPr>
          <w:rFonts w:eastAsiaTheme="minorEastAsia"/>
        </w:rPr>
      </w:pPr>
      <m:oMathPara>
        <m:oMath>
          <m:sSub>
            <m:sSubPr>
              <m:ctrlPr>
                <w:rPr>
                  <w:rFonts w:ascii="Cambria Math" w:hAnsi="Cambria Math"/>
                  <w:i/>
                </w:rPr>
              </m:ctrlPr>
            </m:sSubPr>
            <m:e>
              <m:r>
                <w:rPr>
                  <w:rFonts w:ascii="Cambria Math" w:hAnsi="Cambria Math"/>
                </w:rPr>
                <m:t>Y</m:t>
              </m:r>
            </m:e>
            <m:sub>
              <m:r>
                <w:rPr>
                  <w:rFonts w:ascii="Cambria Math" w:hAnsi="Cambria Math"/>
                </w:rPr>
                <m:t>jk</m:t>
              </m:r>
            </m:sub>
          </m:sSub>
          <m:r>
            <w:rPr>
              <w:rFonts w:ascii="Cambria Math" w:hAnsi="Cambria Math"/>
            </w:rPr>
            <m:t>~</m:t>
          </m:r>
          <m:r>
            <m:rPr>
              <m:nor/>
            </m:rPr>
            <w:rPr>
              <w:rFonts w:ascii="Cambria Math" w:hAnsi="Cambria Math"/>
            </w:rPr>
            <m:t>Binomial</m:t>
          </m:r>
          <m:d>
            <m:dPr>
              <m:ctrlPr>
                <w:rPr>
                  <w:rFonts w:ascii="Cambria Math" w:hAnsi="Cambria Math"/>
                  <w:i/>
                </w:rPr>
              </m:ctrlPr>
            </m:dPr>
            <m:e>
              <m:sSub>
                <m:sSubPr>
                  <m:ctrlPr>
                    <w:rPr>
                      <w:rFonts w:ascii="Cambria Math" w:hAnsi="Cambria Math"/>
                      <w:i/>
                    </w:rPr>
                  </m:ctrlPr>
                </m:sSubPr>
                <m:e>
                  <m:r>
                    <w:rPr>
                      <w:rFonts w:ascii="Cambria Math" w:hAnsi="Cambria Math"/>
                    </w:rPr>
                    <m:t>n</m:t>
                  </m:r>
                </m:e>
                <m:sub>
                  <m:r>
                    <w:rPr>
                      <w:rFonts w:ascii="Cambria Math" w:hAnsi="Cambria Math"/>
                    </w:rPr>
                    <m:t>jk</m:t>
                  </m:r>
                </m:sub>
              </m:sSub>
              <m:r>
                <w:rPr>
                  <w:rFonts w:ascii="Cambria Math" w:hAnsi="Cambria Math"/>
                </w:rPr>
                <m:t xml:space="preserve">, </m:t>
              </m:r>
              <m:sSub>
                <m:sSubPr>
                  <m:ctrlPr>
                    <w:rPr>
                      <w:rFonts w:ascii="Cambria Math" w:hAnsi="Cambria Math"/>
                      <w:i/>
                    </w:rPr>
                  </m:ctrlPr>
                </m:sSubPr>
                <m:e>
                  <m:r>
                    <w:rPr>
                      <w:rFonts w:ascii="Cambria Math" w:hAnsi="Cambria Math"/>
                    </w:rPr>
                    <m:t>θ</m:t>
                  </m:r>
                </m:e>
                <m:sub>
                  <m:r>
                    <w:rPr>
                      <w:rFonts w:ascii="Cambria Math" w:hAnsi="Cambria Math"/>
                    </w:rPr>
                    <m:t>j</m:t>
                  </m:r>
                </m:sub>
              </m:sSub>
            </m:e>
          </m:d>
        </m:oMath>
      </m:oMathPara>
    </w:p>
    <w:p w14:paraId="6295221C" w14:textId="77777777" w:rsidR="00081E36" w:rsidRPr="00C9637D" w:rsidRDefault="00F064AC" w:rsidP="00081E36">
      <w:pPr>
        <w:pStyle w:val="BodyText"/>
        <w:rPr>
          <w:rFonts w:eastAsiaTheme="minorEastAsia"/>
          <w:i/>
        </w:rPr>
      </w:pPr>
      <m:oMathPara>
        <m:oMath>
          <m:sSub>
            <m:sSubPr>
              <m:ctrlPr>
                <w:rPr>
                  <w:rFonts w:ascii="Cambria Math" w:eastAsiaTheme="minorEastAsia" w:hAnsi="Cambria Math"/>
                  <w:i/>
                </w:rPr>
              </m:ctrlPr>
            </m:sSubPr>
            <m:e>
              <m:r>
                <w:rPr>
                  <w:rFonts w:ascii="Cambria Math" w:eastAsiaTheme="minorEastAsia" w:hAnsi="Cambria Math"/>
                </w:rPr>
                <m:t>θ</m:t>
              </m:r>
            </m:e>
            <m:sub>
              <m:r>
                <w:rPr>
                  <w:rFonts w:ascii="Cambria Math" w:eastAsiaTheme="minorEastAsia" w:hAnsi="Cambria Math"/>
                </w:rPr>
                <m:t>j</m:t>
              </m:r>
            </m:sub>
          </m:sSub>
          <m:r>
            <w:rPr>
              <w:rFonts w:ascii="Cambria Math" w:eastAsiaTheme="minorEastAsia" w:hAnsi="Cambria Math"/>
            </w:rPr>
            <m:t>~</m:t>
          </m:r>
          <m:r>
            <m:rPr>
              <m:nor/>
            </m:rPr>
            <w:rPr>
              <w:rFonts w:ascii="Cambria Math" w:eastAsiaTheme="minorEastAsia" w:hAnsi="Cambria Math"/>
            </w:rPr>
            <m:t xml:space="preserve"> Beta</m:t>
          </m:r>
          <m:d>
            <m:dPr>
              <m:ctrlPr>
                <w:rPr>
                  <w:rFonts w:ascii="Cambria Math" w:eastAsiaTheme="minorEastAsia" w:hAnsi="Cambria Math"/>
                  <w:i/>
                </w:rPr>
              </m:ctrlPr>
            </m:dPr>
            <m:e>
              <m:r>
                <w:rPr>
                  <w:rFonts w:ascii="Cambria Math" w:eastAsiaTheme="minorEastAsia" w:hAnsi="Cambria Math"/>
                </w:rPr>
                <m:t>1, 1</m:t>
              </m:r>
            </m:e>
          </m:d>
          <m:r>
            <w:rPr>
              <w:rFonts w:ascii="Cambria Math" w:eastAsiaTheme="minorEastAsia" w:hAnsi="Cambria Math"/>
            </w:rPr>
            <m:t xml:space="preserve">, </m:t>
          </m:r>
          <m:r>
            <w:rPr>
              <w:rFonts w:ascii="Cambria Math" w:eastAsiaTheme="minorEastAsia" w:hAnsi="Cambria Math"/>
            </w:rPr>
            <m:t>j</m:t>
          </m:r>
          <m:r>
            <w:rPr>
              <w:rFonts w:ascii="Cambria Math" w:eastAsiaTheme="minorEastAsia" w:hAnsi="Cambria Math"/>
            </w:rPr>
            <m:t>=1,2</m:t>
          </m:r>
        </m:oMath>
      </m:oMathPara>
    </w:p>
    <w:p w14:paraId="0E4A7334" w14:textId="77777777" w:rsidR="00081E36" w:rsidRDefault="00081E36" w:rsidP="00081E36">
      <w:pPr>
        <w:pStyle w:val="BodyText"/>
        <w:rPr>
          <w:rFonts w:eastAsiaTheme="minorEastAsia"/>
        </w:rPr>
      </w:pPr>
      <w:r>
        <w:rPr>
          <w:rFonts w:eastAsiaTheme="minorEastAsia"/>
        </w:rPr>
        <w:t xml:space="preserve">The posterior distribution for </w:t>
      </w:r>
      <m:oMath>
        <m:sSub>
          <m:sSubPr>
            <m:ctrlPr>
              <w:rPr>
                <w:rFonts w:ascii="Cambria Math" w:eastAsiaTheme="minorEastAsia" w:hAnsi="Cambria Math"/>
                <w:i/>
              </w:rPr>
            </m:ctrlPr>
          </m:sSubPr>
          <m:e>
            <m:r>
              <w:rPr>
                <w:rFonts w:ascii="Cambria Math" w:eastAsiaTheme="minorEastAsia" w:hAnsi="Cambria Math"/>
              </w:rPr>
              <m:t>θ</m:t>
            </m:r>
          </m:e>
          <m:sub>
            <m:r>
              <w:rPr>
                <w:rFonts w:ascii="Cambria Math" w:eastAsiaTheme="minorEastAsia" w:hAnsi="Cambria Math"/>
              </w:rPr>
              <m:t>j</m:t>
            </m:r>
          </m:sub>
        </m:sSub>
      </m:oMath>
      <w:r>
        <w:rPr>
          <w:rFonts w:eastAsiaTheme="minorEastAsia"/>
        </w:rPr>
        <w:t xml:space="preserve"> at interim </w:t>
      </w:r>
      <w:r>
        <w:rPr>
          <w:rFonts w:eastAsiaTheme="minorEastAsia"/>
          <w:i/>
        </w:rPr>
        <w:t>k</w:t>
      </w:r>
      <w:r>
        <w:rPr>
          <w:rFonts w:eastAsiaTheme="minorEastAsia"/>
        </w:rPr>
        <w:t xml:space="preserve"> is given </w:t>
      </w:r>
      <w:proofErr w:type="gramStart"/>
      <w:r>
        <w:rPr>
          <w:rFonts w:eastAsiaTheme="minorEastAsia"/>
        </w:rPr>
        <w:t>by</w:t>
      </w:r>
      <w:proofErr w:type="gramEnd"/>
    </w:p>
    <w:p w14:paraId="59323C00" w14:textId="77777777" w:rsidR="00081E36" w:rsidRPr="00C9637D" w:rsidRDefault="00F064AC" w:rsidP="00081E36">
      <w:pPr>
        <w:pStyle w:val="BodyText"/>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θ</m:t>
              </m:r>
            </m:e>
            <m:sub>
              <m:r>
                <w:rPr>
                  <w:rFonts w:ascii="Cambria Math" w:eastAsiaTheme="minorEastAsia" w:hAnsi="Cambria Math"/>
                </w:rPr>
                <m:t>j</m:t>
              </m:r>
            </m:sub>
          </m:sSub>
          <m:r>
            <w:rPr>
              <w:rFonts w:ascii="Cambria Math" w:eastAsiaTheme="minorEastAsia" w:hAnsi="Cambria Math"/>
            </w:rPr>
            <m:t>|</m:t>
          </m:r>
          <m:sSub>
            <m:sSubPr>
              <m:ctrlPr>
                <w:rPr>
                  <w:rFonts w:ascii="Cambria Math" w:eastAsiaTheme="minorEastAsia" w:hAnsi="Cambria Math"/>
                </w:rPr>
              </m:ctrlPr>
            </m:sSubPr>
            <m:e>
              <m:r>
                <m:rPr>
                  <m:sty m:val="p"/>
                </m:rPr>
                <w:rPr>
                  <w:rFonts w:ascii="Cambria Math" w:eastAsiaTheme="minorEastAsia" w:hAnsi="Cambria Math"/>
                </w:rPr>
                <m:t>Data</m:t>
              </m:r>
              <m:ctrlPr>
                <w:rPr>
                  <w:rFonts w:ascii="Cambria Math" w:eastAsiaTheme="minorEastAsia" w:hAnsi="Cambria Math"/>
                  <w:i/>
                </w:rPr>
              </m:ctrlPr>
            </m:e>
            <m:sub>
              <m:r>
                <m:rPr>
                  <m:sty m:val="p"/>
                </m:rPr>
                <w:rPr>
                  <w:rFonts w:ascii="Cambria Math" w:eastAsiaTheme="minorEastAsia" w:hAnsi="Cambria Math"/>
                </w:rPr>
                <m:t>jk</m:t>
              </m:r>
            </m:sub>
          </m:sSub>
          <m:r>
            <w:rPr>
              <w:rFonts w:ascii="Cambria Math" w:eastAsiaTheme="minorEastAsia" w:hAnsi="Cambria Math"/>
            </w:rPr>
            <m:t xml:space="preserve"> ~ </m:t>
          </m:r>
          <m:r>
            <m:rPr>
              <m:nor/>
            </m:rPr>
            <w:rPr>
              <w:rFonts w:ascii="Cambria Math" w:eastAsiaTheme="minorEastAsia" w:hAnsi="Cambria Math"/>
            </w:rPr>
            <m:t>Beta</m:t>
          </m:r>
          <m:r>
            <w:rPr>
              <w:rFonts w:ascii="Cambria Math" w:eastAsiaTheme="minorEastAsia" w:hAnsi="Cambria Math"/>
            </w:rPr>
            <m:t xml:space="preserve">(1+ </m:t>
          </m:r>
          <m:sSub>
            <m:sSubPr>
              <m:ctrlPr>
                <w:rPr>
                  <w:rFonts w:ascii="Cambria Math" w:eastAsiaTheme="minorEastAsia" w:hAnsi="Cambria Math"/>
                  <w:i/>
                </w:rPr>
              </m:ctrlPr>
            </m:sSubPr>
            <m:e>
              <m:r>
                <w:rPr>
                  <w:rFonts w:ascii="Cambria Math" w:eastAsiaTheme="minorEastAsia" w:hAnsi="Cambria Math"/>
                </w:rPr>
                <m:t>y</m:t>
              </m:r>
            </m:e>
            <m:sub>
              <m:r>
                <w:rPr>
                  <w:rFonts w:ascii="Cambria Math" w:eastAsiaTheme="minorEastAsia" w:hAnsi="Cambria Math"/>
                </w:rPr>
                <m:t>jk</m:t>
              </m:r>
            </m:sub>
          </m:sSub>
          <m:r>
            <w:rPr>
              <w:rFonts w:ascii="Cambria Math" w:eastAsiaTheme="minorEastAsia" w:hAnsi="Cambria Math"/>
            </w:rPr>
            <m:t>, 1+</m:t>
          </m:r>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jk</m:t>
              </m:r>
            </m:sub>
          </m:sSub>
          <m:r>
            <w:rPr>
              <w:rFonts w:ascii="Cambria Math" w:eastAsiaTheme="minorEastAsia" w:hAnsi="Cambria Math"/>
            </w:rPr>
            <m:t>-</m:t>
          </m:r>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y</m:t>
              </m:r>
            </m:e>
            <m:sub>
              <m:r>
                <w:rPr>
                  <w:rFonts w:ascii="Cambria Math" w:eastAsiaTheme="minorEastAsia" w:hAnsi="Cambria Math"/>
                </w:rPr>
                <m:t>jk</m:t>
              </m:r>
            </m:sub>
          </m:sSub>
          <m:r>
            <w:rPr>
              <w:rFonts w:ascii="Cambria Math" w:eastAsiaTheme="minorEastAsia" w:hAnsi="Cambria Math"/>
            </w:rPr>
            <m:t>)</m:t>
          </m:r>
        </m:oMath>
      </m:oMathPara>
    </w:p>
    <w:p w14:paraId="7734A8FC" w14:textId="77777777" w:rsidR="00081E36" w:rsidRDefault="00081E36" w:rsidP="00081E36">
      <w:pPr>
        <w:pStyle w:val="BodyText"/>
        <w:rPr>
          <w:rFonts w:eastAsiaTheme="minorEastAsia"/>
          <w:i/>
        </w:rPr>
      </w:pPr>
      <w:r>
        <w:rPr>
          <w:rFonts w:eastAsiaTheme="minorEastAsia"/>
        </w:rPr>
        <w:t xml:space="preserve">where </w:t>
      </w:r>
      <m:oMath>
        <m:sSub>
          <m:sSubPr>
            <m:ctrlPr>
              <w:rPr>
                <w:rFonts w:ascii="Cambria Math" w:eastAsiaTheme="minorEastAsia" w:hAnsi="Cambria Math"/>
              </w:rPr>
            </m:ctrlPr>
          </m:sSubPr>
          <m:e>
            <m:r>
              <m:rPr>
                <m:sty m:val="p"/>
              </m:rPr>
              <w:rPr>
                <w:rFonts w:ascii="Cambria Math" w:eastAsiaTheme="minorEastAsia" w:hAnsi="Cambria Math"/>
              </w:rPr>
              <m:t>Data</m:t>
            </m:r>
            <m:ctrlPr>
              <w:rPr>
                <w:rFonts w:ascii="Cambria Math" w:eastAsiaTheme="minorEastAsia" w:hAnsi="Cambria Math"/>
                <w:i/>
              </w:rPr>
            </m:ctrlPr>
          </m:e>
          <m:sub>
            <m:r>
              <m:rPr>
                <m:sty m:val="p"/>
              </m:rPr>
              <w:rPr>
                <w:rFonts w:ascii="Cambria Math" w:eastAsiaTheme="minorEastAsia" w:hAnsi="Cambria Math"/>
              </w:rPr>
              <m:t>jk</m:t>
            </m:r>
          </m:sub>
        </m:sSub>
      </m:oMath>
      <w:r>
        <w:rPr>
          <w:rFonts w:eastAsiaTheme="minorEastAsia"/>
        </w:rPr>
        <w:t xml:space="preserve"> is the observed data at interim </w:t>
      </w:r>
      <w:r>
        <w:rPr>
          <w:rFonts w:eastAsiaTheme="minorEastAsia"/>
          <w:i/>
        </w:rPr>
        <w:t xml:space="preserve">k </w:t>
      </w:r>
      <w:r>
        <w:rPr>
          <w:rFonts w:eastAsiaTheme="minorEastAsia"/>
        </w:rPr>
        <w:t xml:space="preserve">for group </w:t>
      </w:r>
      <w:r>
        <w:rPr>
          <w:rFonts w:eastAsiaTheme="minorEastAsia"/>
          <w:i/>
        </w:rPr>
        <w:t>j.</w:t>
      </w:r>
    </w:p>
    <w:p w14:paraId="3A43B559" w14:textId="2F925FCF" w:rsidR="00081E36" w:rsidRPr="00C9637D" w:rsidRDefault="00081E36" w:rsidP="00081E36">
      <w:pPr>
        <w:pStyle w:val="BodyText"/>
        <w:rPr>
          <w:rFonts w:eastAsiaTheme="minorEastAsia"/>
        </w:rPr>
      </w:pPr>
      <w:r>
        <w:rPr>
          <w:rFonts w:eastAsiaTheme="minorEastAsia"/>
        </w:rPr>
        <w:t xml:space="preserve">The posterior probability that LATP has a higher detection rate than TRUS is given by </w:t>
      </w:r>
      <m:oMath>
        <m:r>
          <w:rPr>
            <w:rFonts w:ascii="Cambria Math" w:eastAsiaTheme="minorEastAsia" w:hAnsi="Cambria Math"/>
          </w:rPr>
          <m:t>P(</m:t>
        </m:r>
        <m:sSub>
          <m:sSubPr>
            <m:ctrlPr>
              <w:rPr>
                <w:rFonts w:ascii="Cambria Math" w:eastAsiaTheme="minorEastAsia" w:hAnsi="Cambria Math"/>
                <w:i/>
              </w:rPr>
            </m:ctrlPr>
          </m:sSubPr>
          <m:e>
            <m:r>
              <w:rPr>
                <w:rFonts w:ascii="Cambria Math" w:eastAsiaTheme="minorEastAsia" w:hAnsi="Cambria Math"/>
              </w:rPr>
              <m:t>θ</m:t>
            </m:r>
          </m:e>
          <m:sub>
            <m:r>
              <w:rPr>
                <w:rFonts w:ascii="Cambria Math" w:eastAsiaTheme="minorEastAsia" w:hAnsi="Cambria Math"/>
              </w:rPr>
              <m:t>1</m:t>
            </m:r>
          </m:sub>
        </m:sSub>
        <m:r>
          <w:rPr>
            <w:rFonts w:ascii="Cambria Math" w:eastAsiaTheme="minorEastAsia" w:hAnsi="Cambria Math"/>
          </w:rPr>
          <m:t>&gt;</m:t>
        </m:r>
        <m:sSub>
          <m:sSubPr>
            <m:ctrlPr>
              <w:rPr>
                <w:rFonts w:ascii="Cambria Math" w:eastAsiaTheme="minorEastAsia" w:hAnsi="Cambria Math"/>
                <w:i/>
              </w:rPr>
            </m:ctrlPr>
          </m:sSubPr>
          <m:e>
            <m:r>
              <w:rPr>
                <w:rFonts w:ascii="Cambria Math" w:eastAsiaTheme="minorEastAsia" w:hAnsi="Cambria Math"/>
              </w:rPr>
              <m:t>θ</m:t>
            </m:r>
          </m:e>
          <m:sub>
            <m:r>
              <w:rPr>
                <w:rFonts w:ascii="Cambria Math" w:eastAsiaTheme="minorEastAsia" w:hAnsi="Cambria Math"/>
              </w:rPr>
              <m:t>2</m:t>
            </m:r>
          </m:sub>
        </m:sSub>
        <m:r>
          <w:rPr>
            <w:rFonts w:ascii="Cambria Math" w:eastAsiaTheme="minorEastAsia" w:hAnsi="Cambria Math"/>
          </w:rPr>
          <m:t>|</m:t>
        </m:r>
        <m:r>
          <m:rPr>
            <m:nor/>
          </m:rPr>
          <w:rPr>
            <w:rFonts w:ascii="Cambria Math" w:eastAsiaTheme="minorEastAsia" w:hAnsi="Cambria Math"/>
          </w:rPr>
          <m:t>Data)</m:t>
        </m:r>
      </m:oMath>
      <w:r>
        <w:rPr>
          <w:rFonts w:eastAsiaTheme="minorEastAsia"/>
        </w:rPr>
        <w:t xml:space="preserve">. This can be rewritten as </w:t>
      </w:r>
      <m:oMath>
        <m:r>
          <w:rPr>
            <w:rFonts w:ascii="Cambria Math" w:eastAsiaTheme="minorEastAsia" w:hAnsi="Cambria Math"/>
          </w:rPr>
          <m:t>P</m:t>
        </m:r>
        <m:d>
          <m:dPr>
            <m:endChr m:val="|"/>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θ</m:t>
                </m:r>
              </m:e>
              <m:sub>
                <m:r>
                  <w:rPr>
                    <w:rFonts w:ascii="Cambria Math" w:eastAsiaTheme="minorEastAsia" w:hAnsi="Cambria Math"/>
                  </w:rPr>
                  <m:t>1</m:t>
                </m:r>
              </m:sub>
            </m:sSub>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θ</m:t>
                </m:r>
              </m:e>
              <m:sub>
                <m:r>
                  <w:rPr>
                    <w:rFonts w:ascii="Cambria Math" w:eastAsiaTheme="minorEastAsia" w:hAnsi="Cambria Math"/>
                  </w:rPr>
                  <m:t>2</m:t>
                </m:r>
              </m:sub>
            </m:sSub>
            <m:r>
              <w:rPr>
                <w:rFonts w:ascii="Cambria Math" w:eastAsiaTheme="minorEastAsia" w:hAnsi="Cambria Math"/>
              </w:rPr>
              <m:t>&gt;0</m:t>
            </m:r>
          </m:e>
        </m:d>
        <m:r>
          <m:rPr>
            <m:nor/>
          </m:rPr>
          <w:rPr>
            <w:rFonts w:ascii="Cambria Math" w:eastAsiaTheme="minorEastAsia" w:hAnsi="Cambria Math"/>
          </w:rPr>
          <m:t>D</m:t>
        </m:r>
        <m:r>
          <w:rPr>
            <w:rFonts w:ascii="Cambria Math" w:eastAsiaTheme="minorEastAsia" w:hAnsi="Cambria Math"/>
          </w:rPr>
          <m:t>ata)</m:t>
        </m:r>
      </m:oMath>
      <w:r>
        <w:rPr>
          <w:rFonts w:eastAsiaTheme="minorEastAsia"/>
        </w:rPr>
        <w:t xml:space="preserve"> which can be approximated by a normal distribution </w:t>
      </w:r>
      <w:sdt>
        <w:sdtPr>
          <w:rPr>
            <w:rFonts w:eastAsiaTheme="minorEastAsia"/>
            <w:color w:val="000000"/>
          </w:rPr>
          <w:tag w:val="MENDELEY_CITATION_v3_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"/>
          <w:id w:val="-451942243"/>
          <w:placeholder>
            <w:docPart w:val="DefaultPlaceholder_-1854013440"/>
          </w:placeholder>
        </w:sdtPr>
        <w:sdtEndPr/>
        <w:sdtContent>
          <w:r w:rsidR="00074755" w:rsidRPr="006744A0">
            <w:rPr>
              <w:rFonts w:eastAsiaTheme="minorEastAsia"/>
              <w:color w:val="000000"/>
            </w:rPr>
            <w:t>[2]</w:t>
          </w:r>
        </w:sdtContent>
      </w:sdt>
      <w:r>
        <w:rPr>
          <w:rFonts w:eastAsiaTheme="minorEastAsia"/>
        </w:rPr>
        <w:t>.</w:t>
      </w:r>
    </w:p>
    <w:p w14:paraId="5290DD17" w14:textId="77777777" w:rsidR="00081E36" w:rsidRDefault="00081E36" w:rsidP="00081E36">
      <w:pPr>
        <w:pStyle w:val="BodyText"/>
      </w:pPr>
    </w:p>
    <w:p w14:paraId="1A7E9951" w14:textId="77777777" w:rsidR="00081E36" w:rsidRPr="00C9637D" w:rsidRDefault="00081E36" w:rsidP="00081E36">
      <w:pPr>
        <w:rPr>
          <w:bCs/>
          <w:sz w:val="24"/>
          <w:u w:val="single"/>
        </w:rPr>
      </w:pPr>
      <w:bookmarkStart w:id="18" w:name="superiority"/>
      <w:r w:rsidRPr="00C9637D">
        <w:rPr>
          <w:b/>
          <w:bCs/>
          <w:sz w:val="24"/>
          <w:u w:val="single"/>
        </w:rPr>
        <w:t>Superiority</w:t>
      </w:r>
    </w:p>
    <w:p w14:paraId="05CC89BA" w14:textId="77777777" w:rsidR="00081E36" w:rsidRDefault="00081E36" w:rsidP="00081E36">
      <w:pPr>
        <w:pStyle w:val="FirstParagraph"/>
      </w:pPr>
      <w:r>
        <w:t xml:space="preserve">If the trial does not stop early, LATP will be declared superior to TRUS if the posterior probability of superiority is greater than a predefined threshold, </w:t>
      </w:r>
      <m:oMath>
        <m:sSub>
          <m:sSubPr>
            <m:ctrlPr>
              <w:rPr>
                <w:rFonts w:ascii="Cambria Math" w:hAnsi="Cambria Math"/>
                <w:i/>
              </w:rPr>
            </m:ctrlPr>
          </m:sSubPr>
          <m:e>
            <m:r>
              <w:rPr>
                <w:rFonts w:ascii="Cambria Math" w:hAnsi="Cambria Math"/>
              </w:rPr>
              <m:t>η</m:t>
            </m:r>
          </m:e>
          <m:sub>
            <m:r>
              <w:rPr>
                <w:rFonts w:ascii="Cambria Math" w:hAnsi="Cambria Math"/>
              </w:rPr>
              <m:t>final</m:t>
            </m:r>
          </m:sub>
        </m:sSub>
      </m:oMath>
      <w:r>
        <w:rPr>
          <w:rFonts w:eastAsiaTheme="minorEastAsia"/>
        </w:rPr>
        <w:t xml:space="preserve">, i.e. </w:t>
      </w:r>
      <w:proofErr w:type="gramStart"/>
      <w:r>
        <w:rPr>
          <w:rFonts w:eastAsiaTheme="minorEastAsia"/>
        </w:rPr>
        <w:t>if</w:t>
      </w:r>
      <w:proofErr w:type="gramEnd"/>
      <w:r>
        <w:rPr>
          <w:rFonts w:eastAsiaTheme="minorEastAsia"/>
        </w:rPr>
        <w:t xml:space="preserve"> </w:t>
      </w:r>
    </w:p>
    <w:p w14:paraId="12CC5B1F" w14:textId="77777777" w:rsidR="00081E36" w:rsidRPr="008F3E84" w:rsidRDefault="00081E36" w:rsidP="00081E36">
      <w:pPr>
        <w:pStyle w:val="BodyText"/>
      </w:pPr>
      <m:oMathPara>
        <m:oMath>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θ</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θ</m:t>
                  </m:r>
                </m:e>
                <m:sub>
                  <m:r>
                    <w:rPr>
                      <w:rFonts w:ascii="Cambria Math" w:hAnsi="Cambria Math"/>
                    </w:rPr>
                    <m:t>2</m:t>
                  </m:r>
                </m:sub>
              </m:sSub>
              <m:r>
                <w:rPr>
                  <w:rFonts w:ascii="Cambria Math" w:hAnsi="Cambria Math"/>
                </w:rPr>
                <m:t>&gt;0</m:t>
              </m:r>
            </m:e>
            <m:e>
              <m:r>
                <w:rPr>
                  <w:rFonts w:ascii="Cambria Math" w:hAnsi="Cambria Math"/>
                </w:rPr>
                <m:t>Dat</m:t>
              </m:r>
              <m:sSub>
                <m:sSubPr>
                  <m:ctrlPr>
                    <w:rPr>
                      <w:rFonts w:ascii="Cambria Math" w:hAnsi="Cambria Math"/>
                      <w:i/>
                    </w:rPr>
                  </m:ctrlPr>
                </m:sSubPr>
                <m:e>
                  <m:r>
                    <w:rPr>
                      <w:rFonts w:ascii="Cambria Math" w:hAnsi="Cambria Math"/>
                    </w:rPr>
                    <m:t>a</m:t>
                  </m:r>
                </m:e>
                <m:sub>
                  <m:r>
                    <w:rPr>
                      <w:rFonts w:ascii="Cambria Math" w:hAnsi="Cambria Math"/>
                    </w:rPr>
                    <m:t>final</m:t>
                  </m:r>
                </m:sub>
              </m:sSub>
            </m:e>
          </m:d>
          <m:r>
            <w:rPr>
              <w:rFonts w:ascii="Cambria Math" w:hAnsi="Cambria Math"/>
            </w:rPr>
            <m:t xml:space="preserve">&gt; </m:t>
          </m:r>
          <m:sSub>
            <m:sSubPr>
              <m:ctrlPr>
                <w:rPr>
                  <w:rFonts w:ascii="Cambria Math" w:hAnsi="Cambria Math"/>
                  <w:i/>
                </w:rPr>
              </m:ctrlPr>
            </m:sSubPr>
            <m:e>
              <m:r>
                <w:rPr>
                  <w:rFonts w:ascii="Cambria Math" w:hAnsi="Cambria Math"/>
                </w:rPr>
                <m:t>η</m:t>
              </m:r>
            </m:e>
            <m:sub>
              <m:r>
                <w:rPr>
                  <w:rFonts w:ascii="Cambria Math" w:hAnsi="Cambria Math"/>
                </w:rPr>
                <m:t>final</m:t>
              </m:r>
            </m:sub>
          </m:sSub>
        </m:oMath>
      </m:oMathPara>
    </w:p>
    <w:p w14:paraId="44D070BB" w14:textId="77777777" w:rsidR="00081E36" w:rsidRDefault="00081E36" w:rsidP="00081E36">
      <w:pPr>
        <w:pStyle w:val="FirstParagraph"/>
      </w:pPr>
      <w:r>
        <w:lastRenderedPageBreak/>
        <w:t xml:space="preserve">The threshold </w:t>
      </w:r>
      <m:oMath>
        <m:sSub>
          <m:sSubPr>
            <m:ctrlPr>
              <w:rPr>
                <w:rFonts w:ascii="Cambria Math" w:hAnsi="Cambria Math"/>
              </w:rPr>
            </m:ctrlPr>
          </m:sSubPr>
          <m:e>
            <m:r>
              <w:rPr>
                <w:rFonts w:ascii="Cambria Math" w:hAnsi="Cambria Math"/>
              </w:rPr>
              <m:t>η</m:t>
            </m:r>
          </m:e>
          <m:sub>
            <m:r>
              <w:rPr>
                <w:rFonts w:ascii="Cambria Math" w:hAnsi="Cambria Math"/>
              </w:rPr>
              <m:t>final</m:t>
            </m:r>
          </m:sub>
        </m:sSub>
        <m:r>
          <m:rPr>
            <m:sty m:val="p"/>
          </m:rPr>
          <w:rPr>
            <w:rFonts w:ascii="Cambria Math" w:hAnsi="Cambria Math"/>
          </w:rPr>
          <m:t>∈</m:t>
        </m:r>
        <m:d>
          <m:dPr>
            <m:begChr m:val="["/>
            <m:endChr m:val="]"/>
            <m:ctrlPr>
              <w:rPr>
                <w:rFonts w:ascii="Cambria Math" w:hAnsi="Cambria Math"/>
              </w:rPr>
            </m:ctrlPr>
          </m:dPr>
          <m:e>
            <m:r>
              <w:rPr>
                <w:rFonts w:ascii="Cambria Math" w:hAnsi="Cambria Math"/>
              </w:rPr>
              <m:t>0</m:t>
            </m:r>
            <m:r>
              <m:rPr>
                <m:sty m:val="p"/>
              </m:rPr>
              <w:rPr>
                <w:rFonts w:ascii="Cambria Math" w:hAnsi="Cambria Math"/>
              </w:rPr>
              <m:t>,</m:t>
            </m:r>
            <m:r>
              <w:rPr>
                <w:rFonts w:ascii="Cambria Math" w:hAnsi="Cambria Math"/>
              </w:rPr>
              <m:t>1</m:t>
            </m:r>
          </m:e>
        </m:d>
      </m:oMath>
      <w:r>
        <w:t xml:space="preserve"> is a constant to be determined via simulations.</w:t>
      </w:r>
    </w:p>
    <w:p w14:paraId="0B817FD1" w14:textId="77777777" w:rsidR="00081E36" w:rsidRDefault="00081E36" w:rsidP="00081E36">
      <w:pPr>
        <w:pStyle w:val="BodyText"/>
      </w:pPr>
    </w:p>
    <w:p w14:paraId="02112C27" w14:textId="77777777" w:rsidR="00081E36" w:rsidRDefault="00081E36" w:rsidP="00081E36">
      <w:pPr>
        <w:pStyle w:val="BodyText"/>
        <w:rPr>
          <w:b/>
        </w:rPr>
      </w:pPr>
      <w:r>
        <w:rPr>
          <w:b/>
        </w:rPr>
        <w:t>Early stopping rules</w:t>
      </w:r>
    </w:p>
    <w:p w14:paraId="67D7829F" w14:textId="77777777" w:rsidR="00081E36" w:rsidRPr="00C9637D" w:rsidRDefault="00081E36" w:rsidP="00081E36">
      <w:pPr>
        <w:pStyle w:val="BodyText"/>
        <w:rPr>
          <w:i/>
        </w:rPr>
      </w:pPr>
      <w:r w:rsidRPr="00C9637D">
        <w:rPr>
          <w:i/>
        </w:rPr>
        <w:t>Superiority</w:t>
      </w:r>
    </w:p>
    <w:p w14:paraId="51BAFF48" w14:textId="02E023FB" w:rsidR="00081E36" w:rsidRPr="00C9637D" w:rsidRDefault="00081E36" w:rsidP="00081E36">
      <w:pPr>
        <w:rPr>
          <w:rFonts w:eastAsiaTheme="minorEastAsia"/>
          <w:bCs/>
          <w:sz w:val="24"/>
          <w:szCs w:val="24"/>
        </w:rPr>
      </w:pPr>
      <w:bookmarkStart w:id="19" w:name="futility"/>
      <w:bookmarkEnd w:id="18"/>
      <w:r w:rsidRPr="00C9637D">
        <w:rPr>
          <w:bCs/>
          <w:sz w:val="24"/>
          <w:szCs w:val="24"/>
        </w:rPr>
        <w:t xml:space="preserve">At interim </w:t>
      </w:r>
      <w:r w:rsidRPr="00C9637D">
        <w:rPr>
          <w:bCs/>
          <w:i/>
          <w:sz w:val="24"/>
          <w:szCs w:val="24"/>
        </w:rPr>
        <w:t>k</w:t>
      </w:r>
      <w:r w:rsidRPr="00C9637D">
        <w:rPr>
          <w:bCs/>
          <w:sz w:val="24"/>
          <w:szCs w:val="24"/>
        </w:rPr>
        <w:t xml:space="preserve">, if </w:t>
      </w:r>
      <m:oMath>
        <m:r>
          <w:rPr>
            <w:rFonts w:ascii="Cambria Math" w:hAnsi="Cambria Math"/>
            <w:sz w:val="24"/>
            <w:szCs w:val="24"/>
          </w:rPr>
          <m:t>Dat</m:t>
        </m:r>
        <m:sSub>
          <m:sSubPr>
            <m:ctrlPr>
              <w:rPr>
                <w:rFonts w:ascii="Cambria Math" w:hAnsi="Cambria Math"/>
                <w:bCs/>
                <w:i/>
                <w:sz w:val="24"/>
                <w:szCs w:val="24"/>
              </w:rPr>
            </m:ctrlPr>
          </m:sSubPr>
          <m:e>
            <m:r>
              <w:rPr>
                <w:rFonts w:ascii="Cambria Math" w:hAnsi="Cambria Math"/>
                <w:sz w:val="24"/>
                <w:szCs w:val="24"/>
              </w:rPr>
              <m:t>a</m:t>
            </m:r>
          </m:e>
          <m:sub>
            <m:r>
              <w:rPr>
                <w:rFonts w:ascii="Cambria Math" w:hAnsi="Cambria Math"/>
                <w:sz w:val="24"/>
                <w:szCs w:val="24"/>
              </w:rPr>
              <m:t>k</m:t>
            </m:r>
          </m:sub>
        </m:sSub>
      </m:oMath>
      <w:r w:rsidRPr="00C9637D">
        <w:rPr>
          <w:rFonts w:eastAsiaTheme="minorEastAsia"/>
          <w:bCs/>
          <w:sz w:val="24"/>
          <w:szCs w:val="24"/>
        </w:rPr>
        <w:t xml:space="preserve"> denotes the data observed so far, LA</w:t>
      </w:r>
      <w:r w:rsidR="009667BA">
        <w:rPr>
          <w:rFonts w:eastAsiaTheme="minorEastAsia"/>
          <w:bCs/>
          <w:sz w:val="24"/>
          <w:szCs w:val="24"/>
        </w:rPr>
        <w:t>TP</w:t>
      </w:r>
      <w:r w:rsidRPr="00C9637D">
        <w:rPr>
          <w:rFonts w:eastAsiaTheme="minorEastAsia"/>
          <w:bCs/>
          <w:sz w:val="24"/>
          <w:szCs w:val="24"/>
        </w:rPr>
        <w:t xml:space="preserve"> will be declared superior to TRUS </w:t>
      </w:r>
      <w:proofErr w:type="gramStart"/>
      <w:r w:rsidRPr="00C9637D">
        <w:rPr>
          <w:rFonts w:eastAsiaTheme="minorEastAsia"/>
          <w:bCs/>
          <w:sz w:val="24"/>
          <w:szCs w:val="24"/>
        </w:rPr>
        <w:t>if</w:t>
      </w:r>
      <w:proofErr w:type="gramEnd"/>
    </w:p>
    <w:p w14:paraId="0DE03EC2" w14:textId="77777777" w:rsidR="00081E36" w:rsidRPr="006B0334" w:rsidRDefault="00081E36" w:rsidP="00081E36">
      <w:pPr>
        <w:pStyle w:val="BodyText"/>
      </w:pPr>
      <m:oMathPara>
        <m:oMath>
          <m:r>
            <w:rPr>
              <w:rFonts w:ascii="Cambria Math" w:hAnsi="Cambria Math"/>
            </w:rPr>
            <m:t>P</m:t>
          </m:r>
          <m:d>
            <m:dPr>
              <m:ctrlPr>
                <w:rPr>
                  <w:rFonts w:ascii="Cambria Math" w:hAnsi="Cambria Math"/>
                  <w:i/>
                </w:rPr>
              </m:ctrlPr>
            </m:dPr>
            <m:e>
              <m:sSub>
                <m:sSubPr>
                  <m:ctrlPr>
                    <w:rPr>
                      <w:rFonts w:ascii="Cambria Math" w:hAnsi="Cambria Math"/>
                      <w:i/>
                    </w:rPr>
                  </m:ctrlPr>
                </m:sSubPr>
                <m:e>
                  <m:r>
                    <w:rPr>
                      <w:rFonts w:ascii="Cambria Math" w:hAnsi="Cambria Math"/>
                    </w:rPr>
                    <m:t>θ</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θ</m:t>
                  </m:r>
                </m:e>
                <m:sub>
                  <m:r>
                    <w:rPr>
                      <w:rFonts w:ascii="Cambria Math" w:hAnsi="Cambria Math"/>
                    </w:rPr>
                    <m:t>2</m:t>
                  </m:r>
                </m:sub>
              </m:sSub>
              <m:r>
                <w:rPr>
                  <w:rFonts w:ascii="Cambria Math" w:hAnsi="Cambria Math"/>
                </w:rPr>
                <m:t>&gt;0</m:t>
              </m:r>
            </m:e>
            <m:e>
              <m:r>
                <w:rPr>
                  <w:rFonts w:ascii="Cambria Math" w:hAnsi="Cambria Math"/>
                </w:rPr>
                <m:t>Dat</m:t>
              </m:r>
              <m:sSub>
                <m:sSubPr>
                  <m:ctrlPr>
                    <w:rPr>
                      <w:rFonts w:ascii="Cambria Math" w:hAnsi="Cambria Math"/>
                      <w:i/>
                    </w:rPr>
                  </m:ctrlPr>
                </m:sSubPr>
                <m:e>
                  <m:r>
                    <w:rPr>
                      <w:rFonts w:ascii="Cambria Math" w:hAnsi="Cambria Math"/>
                    </w:rPr>
                    <m:t>a</m:t>
                  </m:r>
                </m:e>
                <m:sub>
                  <m:r>
                    <w:rPr>
                      <w:rFonts w:ascii="Cambria Math" w:hAnsi="Cambria Math"/>
                    </w:rPr>
                    <m:t>k</m:t>
                  </m:r>
                </m:sub>
              </m:sSub>
            </m:e>
          </m:d>
          <m:r>
            <w:rPr>
              <w:rFonts w:ascii="Cambria Math" w:hAnsi="Cambria Math"/>
            </w:rPr>
            <m:t xml:space="preserve">&gt; </m:t>
          </m:r>
          <m:sSub>
            <m:sSubPr>
              <m:ctrlPr>
                <w:rPr>
                  <w:rFonts w:ascii="Cambria Math" w:hAnsi="Cambria Math"/>
                  <w:i/>
                </w:rPr>
              </m:ctrlPr>
            </m:sSubPr>
            <m:e>
              <m:r>
                <w:rPr>
                  <w:rFonts w:ascii="Cambria Math" w:hAnsi="Cambria Math"/>
                </w:rPr>
                <m:t>η</m:t>
              </m:r>
            </m:e>
            <m:sub>
              <m:r>
                <w:rPr>
                  <w:rFonts w:ascii="Cambria Math" w:hAnsi="Cambria Math"/>
                </w:rPr>
                <m:t>int</m:t>
              </m:r>
            </m:sub>
          </m:sSub>
        </m:oMath>
      </m:oMathPara>
    </w:p>
    <w:p w14:paraId="6ED44488" w14:textId="77777777" w:rsidR="00081E36" w:rsidRPr="00C9637D" w:rsidRDefault="00081E36" w:rsidP="00081E36">
      <w:pPr>
        <w:tabs>
          <w:tab w:val="left" w:pos="5810"/>
        </w:tabs>
        <w:rPr>
          <w:bCs/>
          <w:sz w:val="24"/>
          <w:szCs w:val="24"/>
          <w:u w:val="single"/>
        </w:rPr>
      </w:pPr>
      <w:r w:rsidRPr="00C9637D">
        <w:rPr>
          <w:sz w:val="24"/>
          <w:szCs w:val="24"/>
        </w:rPr>
        <w:t xml:space="preserve">where </w:t>
      </w:r>
      <m:oMath>
        <m:sSub>
          <m:sSubPr>
            <m:ctrlPr>
              <w:rPr>
                <w:rFonts w:ascii="Cambria Math" w:hAnsi="Cambria Math"/>
                <w:sz w:val="24"/>
                <w:szCs w:val="24"/>
              </w:rPr>
            </m:ctrlPr>
          </m:sSubPr>
          <m:e>
            <m:r>
              <w:rPr>
                <w:rFonts w:ascii="Cambria Math" w:hAnsi="Cambria Math"/>
                <w:sz w:val="24"/>
                <w:szCs w:val="24"/>
              </w:rPr>
              <m:t>η</m:t>
            </m:r>
          </m:e>
          <m:sub>
            <m:r>
              <w:rPr>
                <w:rFonts w:ascii="Cambria Math" w:hAnsi="Cambria Math"/>
                <w:sz w:val="24"/>
                <w:szCs w:val="24"/>
              </w:rPr>
              <m:t>int</m:t>
            </m:r>
          </m:sub>
        </m:sSub>
        <m:r>
          <m:rPr>
            <m:sty m:val="p"/>
          </m:rP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η</m:t>
            </m:r>
          </m:e>
          <m:sub>
            <m:r>
              <w:rPr>
                <w:rFonts w:ascii="Cambria Math" w:hAnsi="Cambria Math"/>
                <w:sz w:val="24"/>
                <w:szCs w:val="24"/>
              </w:rPr>
              <m:t>final</m:t>
            </m:r>
          </m:sub>
        </m:sSub>
      </m:oMath>
      <w:r>
        <w:rPr>
          <w:rFonts w:eastAsiaTheme="minorEastAsia"/>
          <w:sz w:val="24"/>
          <w:szCs w:val="24"/>
        </w:rPr>
        <w:t xml:space="preserve"> and</w:t>
      </w:r>
      <w:r w:rsidRPr="00C9637D">
        <w:rPr>
          <w:sz w:val="24"/>
          <w:szCs w:val="24"/>
        </w:rPr>
        <w:t xml:space="preserve"> is determined via simulations</w:t>
      </w:r>
      <w:r>
        <w:rPr>
          <w:sz w:val="24"/>
          <w:szCs w:val="24"/>
        </w:rPr>
        <w:t>.</w:t>
      </w:r>
      <w:r>
        <w:rPr>
          <w:sz w:val="24"/>
          <w:szCs w:val="24"/>
        </w:rPr>
        <w:tab/>
      </w:r>
    </w:p>
    <w:p w14:paraId="60560E1D" w14:textId="77777777" w:rsidR="00081E36" w:rsidRPr="00C9637D" w:rsidRDefault="00081E36" w:rsidP="00081E36">
      <w:pPr>
        <w:rPr>
          <w:bCs/>
          <w:i/>
          <w:sz w:val="24"/>
          <w:szCs w:val="24"/>
          <w:u w:val="single"/>
        </w:rPr>
      </w:pPr>
      <w:r w:rsidRPr="00C9637D">
        <w:rPr>
          <w:bCs/>
          <w:i/>
          <w:sz w:val="24"/>
          <w:szCs w:val="24"/>
          <w:u w:val="single"/>
        </w:rPr>
        <w:t>Futility</w:t>
      </w:r>
    </w:p>
    <w:p w14:paraId="60686059" w14:textId="49B383E5" w:rsidR="00081E36" w:rsidRDefault="00081E36" w:rsidP="00081E36">
      <w:pPr>
        <w:pStyle w:val="FirstParagraph"/>
      </w:pPr>
      <w:r>
        <w:t xml:space="preserve">At interim </w:t>
      </w:r>
      <w:r>
        <w:rPr>
          <w:i/>
        </w:rPr>
        <w:t xml:space="preserve">k, </w:t>
      </w:r>
      <w:r>
        <w:t xml:space="preserve">we will stop the trial for futility if the Posterior Predictive Probability of Success (PPOS) is less than a predetermined threshold </w:t>
      </w:r>
      <w:r>
        <w:rPr>
          <w:rFonts w:cstheme="minorHAnsi"/>
        </w:rPr>
        <w:t>γ</w:t>
      </w:r>
      <w:r>
        <w:t xml:space="preserve">. This means we will only continue if there is a high chance of claiming success if we were to continue to recruit to the maximum sample size. </w:t>
      </w:r>
    </w:p>
    <w:p w14:paraId="1F45332A" w14:textId="77777777" w:rsidR="00081E36" w:rsidRDefault="00081E36" w:rsidP="00081E36">
      <w:pPr>
        <w:pStyle w:val="BodyText"/>
      </w:pPr>
      <w:r>
        <w:t xml:space="preserve">At interim </w:t>
      </w:r>
      <w:r>
        <w:rPr>
          <w:i/>
        </w:rPr>
        <w:t>k,</w:t>
      </w:r>
      <w:r>
        <w:t xml:space="preserve"> the posterior predictive distribution is Beta-Binomial. In group </w:t>
      </w:r>
      <w:r>
        <w:rPr>
          <w:i/>
        </w:rPr>
        <w:t xml:space="preserve">j </w:t>
      </w:r>
      <w:r>
        <w:t xml:space="preserve">if </w:t>
      </w:r>
      <m:oMath>
        <m:sSub>
          <m:sSubPr>
            <m:ctrlPr>
              <w:rPr>
                <w:rFonts w:ascii="Cambria Math" w:hAnsi="Cambria Math"/>
                <w:i/>
              </w:rPr>
            </m:ctrlPr>
          </m:sSubPr>
          <m:e>
            <m:r>
              <w:rPr>
                <w:rFonts w:ascii="Cambria Math" w:hAnsi="Cambria Math"/>
              </w:rPr>
              <m:t>n</m:t>
            </m:r>
          </m:e>
          <m:sub>
            <m:r>
              <w:rPr>
                <w:rFonts w:ascii="Cambria Math" w:hAnsi="Cambria Math"/>
              </w:rPr>
              <m:t>jk</m:t>
            </m:r>
          </m:sub>
        </m:sSub>
      </m:oMath>
      <w:r>
        <w:rPr>
          <w:rFonts w:eastAsiaTheme="minorEastAsia"/>
        </w:rPr>
        <w:t xml:space="preserve"> participants have been recruited so far, then there are </w:t>
      </w:r>
      <m:oMath>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jk</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j,max</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jk</m:t>
            </m:r>
          </m:sub>
        </m:sSub>
      </m:oMath>
      <w:r>
        <w:rPr>
          <w:rFonts w:eastAsiaTheme="minorEastAsia"/>
        </w:rPr>
        <w:t xml:space="preserve"> participants left to recruit. Let </w:t>
      </w:r>
      <m:oMath>
        <m:sSub>
          <m:sSubPr>
            <m:ctrlPr>
              <w:rPr>
                <w:rFonts w:ascii="Cambria Math" w:eastAsiaTheme="minorEastAsia" w:hAnsi="Cambria Math"/>
                <w:i/>
              </w:rPr>
            </m:ctrlPr>
          </m:sSubPr>
          <m:e>
            <m:acc>
              <m:accPr>
                <m:chr m:val="̃"/>
                <m:ctrlPr>
                  <w:rPr>
                    <w:rFonts w:ascii="Cambria Math" w:eastAsiaTheme="minorEastAsia" w:hAnsi="Cambria Math"/>
                    <w:i/>
                  </w:rPr>
                </m:ctrlPr>
              </m:accPr>
              <m:e>
                <m:r>
                  <w:rPr>
                    <w:rFonts w:ascii="Cambria Math" w:eastAsiaTheme="minorEastAsia" w:hAnsi="Cambria Math"/>
                  </w:rPr>
                  <m:t>y</m:t>
                </m:r>
              </m:e>
            </m:acc>
          </m:e>
          <m:sub>
            <m:r>
              <w:rPr>
                <w:rFonts w:ascii="Cambria Math" w:eastAsiaTheme="minorEastAsia" w:hAnsi="Cambria Math"/>
              </w:rPr>
              <m:t>j</m:t>
            </m:r>
          </m:sub>
        </m:sSub>
      </m:oMath>
      <w:r>
        <w:rPr>
          <w:rFonts w:eastAsiaTheme="minorEastAsia"/>
        </w:rPr>
        <w:t xml:space="preserve"> denote new responses in future patients, then the posterior predictive distribution is</w:t>
      </w:r>
      <w:r>
        <w:t xml:space="preserve"> given by:</w:t>
      </w:r>
    </w:p>
    <w:p w14:paraId="3CC89D43" w14:textId="77777777" w:rsidR="00081E36" w:rsidRDefault="00F064AC" w:rsidP="00081E36">
      <w:pPr>
        <w:pStyle w:val="BodyText"/>
      </w:pPr>
      <m:oMathPara>
        <m:oMath>
          <m:sSub>
            <m:sSubPr>
              <m:ctrlPr>
                <w:rPr>
                  <w:rFonts w:ascii="Cambria Math" w:hAnsi="Cambria Math"/>
                  <w:i/>
                </w:rPr>
              </m:ctrlPr>
            </m:sSubPr>
            <m:e>
              <m:acc>
                <m:accPr>
                  <m:chr m:val="̃"/>
                  <m:ctrlPr>
                    <w:rPr>
                      <w:rFonts w:ascii="Cambria Math" w:hAnsi="Cambria Math"/>
                      <w:i/>
                    </w:rPr>
                  </m:ctrlPr>
                </m:accPr>
                <m:e>
                  <m:r>
                    <w:rPr>
                      <w:rFonts w:ascii="Cambria Math" w:hAnsi="Cambria Math"/>
                    </w:rPr>
                    <m:t>y</m:t>
                  </m:r>
                </m:e>
              </m:acc>
            </m:e>
            <m:sub>
              <m:r>
                <w:rPr>
                  <w:rFonts w:ascii="Cambria Math" w:hAnsi="Cambria Math"/>
                </w:rPr>
                <m:t>j</m:t>
              </m:r>
            </m:sub>
          </m:sSub>
          <m:r>
            <w:rPr>
              <w:rFonts w:ascii="Cambria Math" w:hAnsi="Cambria Math"/>
            </w:rPr>
            <m:t>|</m:t>
          </m:r>
          <m:r>
            <w:rPr>
              <w:rFonts w:ascii="Cambria Math" w:hAnsi="Cambria Math"/>
            </w:rPr>
            <m:t>Dat</m:t>
          </m:r>
          <m:sSub>
            <m:sSubPr>
              <m:ctrlPr>
                <w:rPr>
                  <w:rFonts w:ascii="Cambria Math" w:hAnsi="Cambria Math"/>
                  <w:i/>
                </w:rPr>
              </m:ctrlPr>
            </m:sSubPr>
            <m:e>
              <m:r>
                <w:rPr>
                  <w:rFonts w:ascii="Cambria Math" w:hAnsi="Cambria Math"/>
                </w:rPr>
                <m:t>a</m:t>
              </m:r>
            </m:e>
            <m:sub>
              <m:r>
                <w:rPr>
                  <w:rFonts w:ascii="Cambria Math" w:hAnsi="Cambria Math"/>
                </w:rPr>
                <m:t>jk</m:t>
              </m:r>
            </m:sub>
          </m:sSub>
          <m:r>
            <w:rPr>
              <w:rFonts w:ascii="Cambria Math" w:hAnsi="Cambria Math"/>
            </w:rPr>
            <m:t>~</m:t>
          </m:r>
          <m:r>
            <m:rPr>
              <m:nor/>
            </m:rPr>
            <w:rPr>
              <w:rFonts w:ascii="Cambria Math" w:hAnsi="Cambria Math"/>
            </w:rPr>
            <m:t>Beta-Binomial</m:t>
          </m:r>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jk</m:t>
              </m:r>
            </m:sub>
          </m:sSub>
          <m:r>
            <w:rPr>
              <w:rFonts w:ascii="Cambria Math" w:hAnsi="Cambria Math"/>
            </w:rPr>
            <m:t>, 1+</m:t>
          </m:r>
          <m:sSub>
            <m:sSubPr>
              <m:ctrlPr>
                <w:rPr>
                  <w:rFonts w:ascii="Cambria Math" w:hAnsi="Cambria Math"/>
                  <w:i/>
                </w:rPr>
              </m:ctrlPr>
            </m:sSubPr>
            <m:e>
              <m:r>
                <w:rPr>
                  <w:rFonts w:ascii="Cambria Math" w:hAnsi="Cambria Math"/>
                </w:rPr>
                <m:t>y</m:t>
              </m:r>
            </m:e>
            <m:sub>
              <m:r>
                <w:rPr>
                  <w:rFonts w:ascii="Cambria Math" w:hAnsi="Cambria Math"/>
                </w:rPr>
                <m:t>jk</m:t>
              </m:r>
            </m:sub>
          </m:sSub>
          <m:r>
            <w:rPr>
              <w:rFonts w:ascii="Cambria Math" w:hAnsi="Cambria Math"/>
            </w:rPr>
            <m:t>, 1+</m:t>
          </m:r>
          <m:sSub>
            <m:sSubPr>
              <m:ctrlPr>
                <w:rPr>
                  <w:rFonts w:ascii="Cambria Math" w:hAnsi="Cambria Math"/>
                  <w:i/>
                </w:rPr>
              </m:ctrlPr>
            </m:sSubPr>
            <m:e>
              <m:r>
                <w:rPr>
                  <w:rFonts w:ascii="Cambria Math" w:hAnsi="Cambria Math"/>
                </w:rPr>
                <m:t>n</m:t>
              </m:r>
            </m:e>
            <m:sub>
              <m:r>
                <w:rPr>
                  <w:rFonts w:ascii="Cambria Math" w:hAnsi="Cambria Math"/>
                </w:rPr>
                <m:t>jk</m:t>
              </m:r>
            </m:sub>
          </m:sSub>
          <m:r>
            <w:rPr>
              <w:rFonts w:ascii="Cambria Math" w:hAnsi="Cambria Math"/>
            </w:rPr>
            <m:t>-</m:t>
          </m:r>
          <m:sSub>
            <m:sSubPr>
              <m:ctrlPr>
                <w:rPr>
                  <w:rFonts w:ascii="Cambria Math" w:hAnsi="Cambria Math"/>
                  <w:i/>
                </w:rPr>
              </m:ctrlPr>
            </m:sSubPr>
            <m:e>
              <m:r>
                <w:rPr>
                  <w:rFonts w:ascii="Cambria Math" w:hAnsi="Cambria Math"/>
                </w:rPr>
                <m:t>y</m:t>
              </m:r>
            </m:e>
            <m:sub>
              <m:r>
                <w:rPr>
                  <w:rFonts w:ascii="Cambria Math" w:hAnsi="Cambria Math"/>
                </w:rPr>
                <m:t>jk</m:t>
              </m:r>
            </m:sub>
          </m:sSub>
          <m:r>
            <w:rPr>
              <w:rFonts w:ascii="Cambria Math" w:hAnsi="Cambria Math"/>
            </w:rPr>
            <m:t>)</m:t>
          </m:r>
        </m:oMath>
      </m:oMathPara>
    </w:p>
    <w:p w14:paraId="7745E65B" w14:textId="77777777" w:rsidR="00081E36" w:rsidRDefault="00081E36" w:rsidP="00081E36">
      <w:pPr>
        <w:pStyle w:val="FirstParagraph"/>
      </w:pPr>
      <w:r>
        <w:t xml:space="preserve">To calculate the PPOS at interim analysis </w:t>
      </w:r>
      <m:oMath>
        <m:r>
          <w:rPr>
            <w:rFonts w:ascii="Cambria Math" w:hAnsi="Cambria Math"/>
          </w:rPr>
          <m:t>k</m:t>
        </m:r>
      </m:oMath>
      <w:r>
        <w:t>, iterate the following steps many times:</w:t>
      </w:r>
    </w:p>
    <w:p w14:paraId="4FA33B27" w14:textId="77777777" w:rsidR="00081E36" w:rsidRDefault="00081E36" w:rsidP="00081E36">
      <w:pPr>
        <w:pStyle w:val="Compact"/>
        <w:numPr>
          <w:ilvl w:val="0"/>
          <w:numId w:val="18"/>
        </w:numPr>
      </w:pPr>
      <w:r>
        <w:t xml:space="preserve">For each group </w:t>
      </w:r>
      <w:r w:rsidRPr="00DC7F91">
        <w:rPr>
          <w:i/>
        </w:rPr>
        <w:t>j</w:t>
      </w:r>
      <w:r w:rsidRPr="00C9637D">
        <w:t>, r</w:t>
      </w:r>
      <w:r w:rsidRPr="00DC7F91">
        <w:t>andomly</w:t>
      </w:r>
      <w:r>
        <w:t xml:space="preserve"> generate new outcome data </w:t>
      </w:r>
      <m:oMath>
        <m:sSub>
          <m:sSubPr>
            <m:ctrlPr>
              <w:rPr>
                <w:rFonts w:ascii="Cambria Math" w:hAnsi="Cambria Math"/>
                <w:i/>
              </w:rPr>
            </m:ctrlPr>
          </m:sSubPr>
          <m:e>
            <m:acc>
              <m:accPr>
                <m:chr m:val="̃"/>
                <m:ctrlPr>
                  <w:rPr>
                    <w:rFonts w:ascii="Cambria Math" w:hAnsi="Cambria Math"/>
                    <w:i/>
                  </w:rPr>
                </m:ctrlPr>
              </m:accPr>
              <m:e>
                <m:r>
                  <w:rPr>
                    <w:rFonts w:ascii="Cambria Math" w:hAnsi="Cambria Math"/>
                  </w:rPr>
                  <m:t>y</m:t>
                </m:r>
              </m:e>
            </m:acc>
          </m:e>
          <m:sub>
            <m:r>
              <w:rPr>
                <w:rFonts w:ascii="Cambria Math" w:hAnsi="Cambria Math"/>
              </w:rPr>
              <m:t>j</m:t>
            </m:r>
          </m:sub>
        </m:sSub>
      </m:oMath>
      <w:r>
        <w:t xml:space="preserve"> from the relevant posterior predictive distributions.</w:t>
      </w:r>
    </w:p>
    <w:p w14:paraId="44211804" w14:textId="77777777" w:rsidR="00081E36" w:rsidRDefault="00081E36" w:rsidP="00081E36">
      <w:pPr>
        <w:pStyle w:val="Compact"/>
        <w:numPr>
          <w:ilvl w:val="0"/>
          <w:numId w:val="18"/>
        </w:numPr>
      </w:pPr>
      <w:r>
        <w:t xml:space="preserve">Using this now “complete” dataset the posterior distribution for </w:t>
      </w:r>
      <m:oMath>
        <m:sSub>
          <m:sSubPr>
            <m:ctrlPr>
              <w:rPr>
                <w:rFonts w:ascii="Cambria Math" w:hAnsi="Cambria Math"/>
              </w:rPr>
            </m:ctrlPr>
          </m:sSubPr>
          <m:e>
            <m:r>
              <w:rPr>
                <w:rFonts w:ascii="Cambria Math" w:hAnsi="Cambria Math"/>
              </w:rPr>
              <m:t>θ</m:t>
            </m:r>
          </m:e>
          <m:sub>
            <m:r>
              <w:rPr>
                <w:rFonts w:ascii="Cambria Math" w:hAnsi="Cambria Math"/>
              </w:rPr>
              <m:t>j</m:t>
            </m:r>
          </m:sub>
        </m:sSub>
      </m:oMath>
      <w:r>
        <w:t xml:space="preserve"> is given by:</w:t>
      </w:r>
    </w:p>
    <w:p w14:paraId="44A32AEB" w14:textId="77777777" w:rsidR="00081E36" w:rsidRDefault="00F064AC" w:rsidP="00081E36">
      <w:pPr>
        <w:pStyle w:val="Compact"/>
      </w:pPr>
      <m:oMathPara>
        <m:oMathParaPr>
          <m:jc m:val="center"/>
        </m:oMathParaPr>
        <m:oMath>
          <m:sSub>
            <m:sSubPr>
              <m:ctrlPr>
                <w:rPr>
                  <w:rFonts w:ascii="Cambria Math" w:hAnsi="Cambria Math"/>
                  <w:i/>
                </w:rPr>
              </m:ctrlPr>
            </m:sSubPr>
            <m:e>
              <m:r>
                <w:rPr>
                  <w:rFonts w:ascii="Cambria Math" w:hAnsi="Cambria Math"/>
                </w:rPr>
                <m:t>θ</m:t>
              </m:r>
            </m:e>
            <m:sub>
              <m:r>
                <w:rPr>
                  <w:rFonts w:ascii="Cambria Math" w:hAnsi="Cambria Math"/>
                </w:rPr>
                <m:t>j</m:t>
              </m:r>
            </m:sub>
          </m:sSub>
          <m:r>
            <w:rPr>
              <w:rFonts w:ascii="Cambria Math" w:hAnsi="Cambria Math"/>
            </w:rPr>
            <m:t xml:space="preserve"> ~ </m:t>
          </m:r>
          <m:r>
            <w:rPr>
              <w:rFonts w:ascii="Cambria Math" w:hAnsi="Cambria Math"/>
            </w:rPr>
            <m:t>Beta</m:t>
          </m:r>
          <m:r>
            <w:rPr>
              <w:rFonts w:ascii="Cambria Math" w:hAnsi="Cambria Math"/>
            </w:rPr>
            <m:t>(1+</m:t>
          </m:r>
          <m:sSub>
            <m:sSubPr>
              <m:ctrlPr>
                <w:rPr>
                  <w:rFonts w:ascii="Cambria Math" w:hAnsi="Cambria Math"/>
                  <w:i/>
                </w:rPr>
              </m:ctrlPr>
            </m:sSubPr>
            <m:e>
              <m:r>
                <w:rPr>
                  <w:rFonts w:ascii="Cambria Math" w:hAnsi="Cambria Math"/>
                </w:rPr>
                <m:t>y</m:t>
              </m:r>
            </m:e>
            <m:sub>
              <m:r>
                <w:rPr>
                  <w:rFonts w:ascii="Cambria Math" w:hAnsi="Cambria Math"/>
                </w:rPr>
                <m:t>jk</m:t>
              </m:r>
            </m:sub>
          </m:sSub>
          <m:r>
            <w:rPr>
              <w:rFonts w:ascii="Cambria Math" w:hAnsi="Cambria Math"/>
            </w:rPr>
            <m:t xml:space="preserve">+ </m:t>
          </m:r>
          <m:sSub>
            <m:sSubPr>
              <m:ctrlPr>
                <w:rPr>
                  <w:rFonts w:ascii="Cambria Math" w:hAnsi="Cambria Math"/>
                  <w:i/>
                </w:rPr>
              </m:ctrlPr>
            </m:sSubPr>
            <m:e>
              <m:acc>
                <m:accPr>
                  <m:chr m:val="̃"/>
                  <m:ctrlPr>
                    <w:rPr>
                      <w:rFonts w:ascii="Cambria Math" w:hAnsi="Cambria Math"/>
                      <w:i/>
                    </w:rPr>
                  </m:ctrlPr>
                </m:accPr>
                <m:e>
                  <m:r>
                    <w:rPr>
                      <w:rFonts w:ascii="Cambria Math" w:hAnsi="Cambria Math"/>
                    </w:rPr>
                    <m:t>y</m:t>
                  </m:r>
                </m:e>
              </m:acc>
            </m:e>
            <m:sub>
              <m:r>
                <w:rPr>
                  <w:rFonts w:ascii="Cambria Math" w:hAnsi="Cambria Math"/>
                </w:rPr>
                <m:t>j</m:t>
              </m:r>
            </m:sub>
          </m:sSub>
          <m:r>
            <w:rPr>
              <w:rFonts w:ascii="Cambria Math" w:hAnsi="Cambria Math"/>
            </w:rPr>
            <m:t>, 1+</m:t>
          </m:r>
          <m:sSub>
            <m:sSubPr>
              <m:ctrlPr>
                <w:rPr>
                  <w:rFonts w:ascii="Cambria Math" w:hAnsi="Cambria Math"/>
                  <w:i/>
                </w:rPr>
              </m:ctrlPr>
            </m:sSubPr>
            <m:e>
              <m:r>
                <w:rPr>
                  <w:rFonts w:ascii="Cambria Math" w:hAnsi="Cambria Math"/>
                </w:rPr>
                <m:t>N</m:t>
              </m:r>
            </m:e>
            <m:sub>
              <m:r>
                <w:rPr>
                  <w:rFonts w:ascii="Cambria Math" w:hAnsi="Cambria Math"/>
                </w:rPr>
                <m:t>j</m:t>
              </m:r>
              <m:r>
                <w:rPr>
                  <w:rFonts w:ascii="Cambria Math" w:hAnsi="Cambria Math"/>
                </w:rPr>
                <m:t>,</m:t>
              </m:r>
              <m:r>
                <w:rPr>
                  <w:rFonts w:ascii="Cambria Math" w:hAnsi="Cambria Math"/>
                </w:rPr>
                <m:t>max</m:t>
              </m:r>
            </m:sub>
          </m:sSub>
          <m:r>
            <w:rPr>
              <w:rFonts w:ascii="Cambria Math" w:hAnsi="Cambria Math"/>
            </w:rPr>
            <m:t>-</m:t>
          </m:r>
          <m:sSub>
            <m:sSubPr>
              <m:ctrlPr>
                <w:rPr>
                  <w:rFonts w:ascii="Cambria Math" w:hAnsi="Cambria Math"/>
                  <w:i/>
                </w:rPr>
              </m:ctrlPr>
            </m:sSubPr>
            <m:e>
              <m:r>
                <w:rPr>
                  <w:rFonts w:ascii="Cambria Math" w:hAnsi="Cambria Math"/>
                </w:rPr>
                <m:t>y</m:t>
              </m:r>
            </m:e>
            <m:sub>
              <m:r>
                <w:rPr>
                  <w:rFonts w:ascii="Cambria Math" w:hAnsi="Cambria Math"/>
                </w:rPr>
                <m:t>jk</m:t>
              </m:r>
            </m:sub>
          </m:sSub>
          <m:r>
            <w:rPr>
              <w:rFonts w:ascii="Cambria Math" w:hAnsi="Cambria Math"/>
            </w:rPr>
            <m:t>-</m:t>
          </m:r>
          <m:sSub>
            <m:sSubPr>
              <m:ctrlPr>
                <w:rPr>
                  <w:rFonts w:ascii="Cambria Math" w:hAnsi="Cambria Math"/>
                  <w:i/>
                </w:rPr>
              </m:ctrlPr>
            </m:sSubPr>
            <m:e>
              <m:acc>
                <m:accPr>
                  <m:chr m:val="̃"/>
                  <m:ctrlPr>
                    <w:rPr>
                      <w:rFonts w:ascii="Cambria Math" w:hAnsi="Cambria Math"/>
                      <w:i/>
                    </w:rPr>
                  </m:ctrlPr>
                </m:accPr>
                <m:e>
                  <m:r>
                    <w:rPr>
                      <w:rFonts w:ascii="Cambria Math" w:hAnsi="Cambria Math"/>
                    </w:rPr>
                    <m:t>y</m:t>
                  </m:r>
                </m:e>
              </m:acc>
            </m:e>
            <m:sub>
              <m:r>
                <w:rPr>
                  <w:rFonts w:ascii="Cambria Math" w:hAnsi="Cambria Math"/>
                </w:rPr>
                <m:t>j</m:t>
              </m:r>
            </m:sub>
          </m:sSub>
          <m:r>
            <w:rPr>
              <w:rFonts w:ascii="Cambria Math" w:eastAsiaTheme="minorEastAsia" w:hAnsi="Cambria Math"/>
            </w:rPr>
            <m:t>)</m:t>
          </m:r>
        </m:oMath>
      </m:oMathPara>
    </w:p>
    <w:p w14:paraId="42B24E91" w14:textId="77777777" w:rsidR="00081E36" w:rsidRDefault="00081E36" w:rsidP="00081E36">
      <w:pPr>
        <w:pStyle w:val="Compact"/>
        <w:numPr>
          <w:ilvl w:val="0"/>
          <w:numId w:val="18"/>
        </w:numPr>
      </w:pPr>
      <w:r>
        <w:t xml:space="preserve">Check if </w:t>
      </w:r>
      <m:oMath>
        <m:r>
          <m:rPr>
            <m:scr m:val="double-struck"/>
            <m:sty m:val="p"/>
          </m:rPr>
          <w:rPr>
            <w:rFonts w:ascii="Cambria Math" w:hAnsi="Cambria Math"/>
          </w:rPr>
          <m:t>P</m:t>
        </m:r>
        <m:d>
          <m:dPr>
            <m:ctrlPr>
              <w:rPr>
                <w:rFonts w:ascii="Cambria Math" w:hAnsi="Cambria Math"/>
              </w:rPr>
            </m:ctrlPr>
          </m:dPr>
          <m:e>
            <m:sSub>
              <m:sSubPr>
                <m:ctrlPr>
                  <w:rPr>
                    <w:rFonts w:ascii="Cambria Math" w:hAnsi="Cambria Math"/>
                  </w:rPr>
                </m:ctrlPr>
              </m:sSubPr>
              <m:e>
                <m:r>
                  <w:rPr>
                    <w:rFonts w:ascii="Cambria Math" w:hAnsi="Cambria Math"/>
                  </w:rPr>
                  <m:t>θ</m:t>
                </m:r>
              </m:e>
              <m:sub>
                <m:r>
                  <w:rPr>
                    <w:rFonts w:ascii="Cambria Math" w:hAnsi="Cambria Math"/>
                  </w:rPr>
                  <m:t>1</m:t>
                </m:r>
              </m:sub>
            </m:sSub>
            <m:r>
              <m:rPr>
                <m:sty m:val="p"/>
              </m:rPr>
              <w:rPr>
                <w:rFonts w:ascii="Cambria Math" w:hAnsi="Cambria Math"/>
              </w:rPr>
              <m:t>-</m:t>
            </m:r>
            <m:sSub>
              <m:sSubPr>
                <m:ctrlPr>
                  <w:rPr>
                    <w:rFonts w:ascii="Cambria Math" w:hAnsi="Cambria Math"/>
                  </w:rPr>
                </m:ctrlPr>
              </m:sSubPr>
              <m:e>
                <m:r>
                  <w:rPr>
                    <w:rFonts w:ascii="Cambria Math" w:hAnsi="Cambria Math"/>
                  </w:rPr>
                  <m:t>θ</m:t>
                </m:r>
              </m:e>
              <m:sub>
                <m:r>
                  <w:rPr>
                    <w:rFonts w:ascii="Cambria Math" w:hAnsi="Cambria Math"/>
                  </w:rPr>
                  <m:t>2</m:t>
                </m:r>
              </m:sub>
            </m:sSub>
            <m:r>
              <m:rPr>
                <m:sty m:val="p"/>
              </m:rPr>
              <w:rPr>
                <w:rFonts w:ascii="Cambria Math" w:hAnsi="Cambria Math"/>
              </w:rPr>
              <m:t>&gt;</m:t>
            </m:r>
            <m:r>
              <w:rPr>
                <w:rFonts w:ascii="Cambria Math" w:hAnsi="Cambria Math"/>
              </w:rPr>
              <m:t>0</m:t>
            </m:r>
            <m:r>
              <m:rPr>
                <m:sty m:val="p"/>
              </m:rPr>
              <w:rPr>
                <w:rFonts w:ascii="Cambria Math" w:hAnsi="Cambria Math"/>
              </w:rPr>
              <m:t>|</m:t>
            </m:r>
            <m:r>
              <w:rPr>
                <w:rFonts w:ascii="Cambria Math" w:hAnsi="Cambria Math"/>
              </w:rPr>
              <m:t>Data</m:t>
            </m:r>
          </m:e>
        </m:d>
        <m:r>
          <m:rPr>
            <m:sty m:val="p"/>
          </m:rPr>
          <w:rPr>
            <w:rFonts w:ascii="Cambria Math" w:hAnsi="Cambria Math"/>
          </w:rPr>
          <m:t>&gt;</m:t>
        </m:r>
        <m:sSub>
          <m:sSubPr>
            <m:ctrlPr>
              <w:rPr>
                <w:rFonts w:ascii="Cambria Math" w:hAnsi="Cambria Math"/>
              </w:rPr>
            </m:ctrlPr>
          </m:sSubPr>
          <m:e>
            <m:r>
              <w:rPr>
                <w:rFonts w:ascii="Cambria Math" w:hAnsi="Cambria Math"/>
              </w:rPr>
              <m:t>η</m:t>
            </m:r>
          </m:e>
          <m:sub>
            <m:r>
              <w:rPr>
                <w:rFonts w:ascii="Cambria Math" w:hAnsi="Cambria Math"/>
              </w:rPr>
              <m:t>final</m:t>
            </m:r>
          </m:sub>
        </m:sSub>
      </m:oMath>
      <w:r>
        <w:t xml:space="preserve"> for this iteration of randomly sampled “new” data.</w:t>
      </w:r>
    </w:p>
    <w:p w14:paraId="4D7CD84F" w14:textId="77777777" w:rsidR="00081E36" w:rsidRDefault="00081E36" w:rsidP="00081E36">
      <w:pPr>
        <w:pStyle w:val="Compact"/>
        <w:numPr>
          <w:ilvl w:val="0"/>
          <w:numId w:val="18"/>
        </w:numPr>
      </w:pPr>
      <w:r>
        <w:t>Record the result of step 3 (superiority found/ superiority not found).</w:t>
      </w:r>
    </w:p>
    <w:p w14:paraId="49831B0D" w14:textId="77777777" w:rsidR="00081E36" w:rsidRDefault="00081E36" w:rsidP="00081E36">
      <w:pPr>
        <w:pStyle w:val="FirstParagraph"/>
      </w:pPr>
      <w:r>
        <w:t xml:space="preserve">The PPOS at interim analysis </w:t>
      </w:r>
      <m:oMath>
        <m:r>
          <w:rPr>
            <w:rFonts w:ascii="Cambria Math" w:hAnsi="Cambria Math"/>
          </w:rPr>
          <m:t>k</m:t>
        </m:r>
      </m:oMath>
      <w:r>
        <w:t xml:space="preserve"> is given by:</w:t>
      </w:r>
    </w:p>
    <w:p w14:paraId="45B19F15" w14:textId="77777777" w:rsidR="00081E36" w:rsidRDefault="00081E36" w:rsidP="00081E36">
      <w:pPr>
        <w:pStyle w:val="BodyText"/>
      </w:pPr>
      <m:oMathPara>
        <m:oMathParaPr>
          <m:jc m:val="center"/>
        </m:oMathParaPr>
        <m:oMath>
          <m:r>
            <w:rPr>
              <w:rFonts w:ascii="Cambria Math" w:hAnsi="Cambria Math"/>
            </w:rPr>
            <m:t>PPOS</m:t>
          </m:r>
          <m:r>
            <m:rPr>
              <m:sty m:val="p"/>
            </m:rPr>
            <w:rPr>
              <w:rFonts w:ascii="Cambria Math" w:hAnsi="Cambria Math"/>
            </w:rPr>
            <m:t>=</m:t>
          </m:r>
          <m:f>
            <m:fPr>
              <m:ctrlPr>
                <w:rPr>
                  <w:rFonts w:ascii="Cambria Math" w:hAnsi="Cambria Math"/>
                </w:rPr>
              </m:ctrlPr>
            </m:fPr>
            <m:num>
              <m:r>
                <m:rPr>
                  <m:nor/>
                </m:rPr>
                <w:rPr>
                  <w:rFonts w:ascii="Cambria Math" w:hAnsi="Cambria Math"/>
                </w:rPr>
                <m:t>number of times</m:t>
              </m:r>
              <m:r>
                <w:rPr>
                  <w:rFonts w:ascii="Cambria Math" w:hAnsi="Cambria Math"/>
                </w:rPr>
                <m:t> </m:t>
              </m:r>
              <m:r>
                <m:rPr>
                  <m:scr m:val="double-struck"/>
                  <m:sty m:val="p"/>
                </m:rPr>
                <w:rPr>
                  <w:rFonts w:ascii="Cambria Math" w:hAnsi="Cambria Math"/>
                </w:rPr>
                <m:t>P</m:t>
              </m:r>
              <m:d>
                <m:dPr>
                  <m:ctrlPr>
                    <w:rPr>
                      <w:rFonts w:ascii="Cambria Math" w:hAnsi="Cambria Math"/>
                    </w:rPr>
                  </m:ctrlPr>
                </m:dPr>
                <m:e>
                  <m:sSub>
                    <m:sSubPr>
                      <m:ctrlPr>
                        <w:rPr>
                          <w:rFonts w:ascii="Cambria Math" w:hAnsi="Cambria Math"/>
                        </w:rPr>
                      </m:ctrlPr>
                    </m:sSubPr>
                    <m:e>
                      <m:r>
                        <w:rPr>
                          <w:rFonts w:ascii="Cambria Math" w:hAnsi="Cambria Math"/>
                        </w:rPr>
                        <m:t>θ</m:t>
                      </m:r>
                    </m:e>
                    <m:sub>
                      <m:r>
                        <w:rPr>
                          <w:rFonts w:ascii="Cambria Math" w:hAnsi="Cambria Math"/>
                        </w:rPr>
                        <m:t>1</m:t>
                      </m:r>
                    </m:sub>
                  </m:sSub>
                  <m:r>
                    <m:rPr>
                      <m:sty m:val="p"/>
                    </m:rPr>
                    <w:rPr>
                      <w:rFonts w:ascii="Cambria Math" w:hAnsi="Cambria Math"/>
                    </w:rPr>
                    <m:t>-</m:t>
                  </m:r>
                  <m:sSub>
                    <m:sSubPr>
                      <m:ctrlPr>
                        <w:rPr>
                          <w:rFonts w:ascii="Cambria Math" w:hAnsi="Cambria Math"/>
                        </w:rPr>
                      </m:ctrlPr>
                    </m:sSubPr>
                    <m:e>
                      <m:r>
                        <w:rPr>
                          <w:rFonts w:ascii="Cambria Math" w:hAnsi="Cambria Math"/>
                        </w:rPr>
                        <m:t>θ</m:t>
                      </m:r>
                    </m:e>
                    <m:sub>
                      <m:r>
                        <w:rPr>
                          <w:rFonts w:ascii="Cambria Math" w:hAnsi="Cambria Math"/>
                        </w:rPr>
                        <m:t>2</m:t>
                      </m:r>
                    </m:sub>
                  </m:sSub>
                  <m:r>
                    <m:rPr>
                      <m:sty m:val="p"/>
                    </m:rPr>
                    <w:rPr>
                      <w:rFonts w:ascii="Cambria Math" w:hAnsi="Cambria Math"/>
                    </w:rPr>
                    <m:t>&gt;</m:t>
                  </m:r>
                  <m:r>
                    <w:rPr>
                      <w:rFonts w:ascii="Cambria Math" w:hAnsi="Cambria Math"/>
                    </w:rPr>
                    <m:t>1</m:t>
                  </m:r>
                  <m:r>
                    <m:rPr>
                      <m:sty m:val="p"/>
                    </m:rPr>
                    <w:rPr>
                      <w:rFonts w:ascii="Cambria Math" w:hAnsi="Cambria Math"/>
                    </w:rPr>
                    <m:t>|Data</m:t>
                  </m:r>
                </m:e>
              </m:d>
              <m:r>
                <m:rPr>
                  <m:sty m:val="p"/>
                </m:rPr>
                <w:rPr>
                  <w:rFonts w:ascii="Cambria Math" w:hAnsi="Cambria Math"/>
                </w:rPr>
                <m:t>&gt;</m:t>
              </m:r>
              <m:sSub>
                <m:sSubPr>
                  <m:ctrlPr>
                    <w:rPr>
                      <w:rFonts w:ascii="Cambria Math" w:hAnsi="Cambria Math"/>
                    </w:rPr>
                  </m:ctrlPr>
                </m:sSubPr>
                <m:e>
                  <m:r>
                    <w:rPr>
                      <w:rFonts w:ascii="Cambria Math" w:hAnsi="Cambria Math"/>
                    </w:rPr>
                    <m:t>η</m:t>
                  </m:r>
                </m:e>
                <m:sub>
                  <m:r>
                    <w:rPr>
                      <w:rFonts w:ascii="Cambria Math" w:hAnsi="Cambria Math"/>
                    </w:rPr>
                    <m:t>final</m:t>
                  </m:r>
                </m:sub>
              </m:sSub>
            </m:num>
            <m:den>
              <m:r>
                <m:rPr>
                  <m:nor/>
                </m:rPr>
                <w:rPr>
                  <w:rFonts w:ascii="Cambria Math" w:hAnsi="Cambria Math"/>
                </w:rPr>
                <m:t>total number of iterations</m:t>
              </m:r>
            </m:den>
          </m:f>
          <m:r>
            <m:rPr>
              <m:sty m:val="p"/>
            </m:rPr>
            <w:rPr>
              <w:rFonts w:ascii="Cambria Math" w:hAnsi="Cambria Math"/>
            </w:rPr>
            <m:t>.</m:t>
          </m:r>
        </m:oMath>
      </m:oMathPara>
    </w:p>
    <w:p w14:paraId="4A30CEE8" w14:textId="77777777" w:rsidR="00081E36" w:rsidRDefault="00081E36" w:rsidP="00081E36">
      <w:pPr>
        <w:pStyle w:val="FirstParagraph"/>
      </w:pPr>
      <w:r>
        <w:t xml:space="preserve">If </w:t>
      </w:r>
      <m:oMath>
        <m:r>
          <w:rPr>
            <w:rFonts w:ascii="Cambria Math" w:hAnsi="Cambria Math"/>
          </w:rPr>
          <m:t>PPOS</m:t>
        </m:r>
        <m:r>
          <m:rPr>
            <m:sty m:val="p"/>
          </m:rPr>
          <w:rPr>
            <w:rFonts w:ascii="Cambria Math" w:hAnsi="Cambria Math"/>
          </w:rPr>
          <m:t>&lt;</m:t>
        </m:r>
        <m:r>
          <w:rPr>
            <w:rFonts w:ascii="Cambria Math" w:hAnsi="Cambria Math"/>
          </w:rPr>
          <m:t>γ</m:t>
        </m:r>
      </m:oMath>
      <w:r>
        <w:t xml:space="preserve">, we will stop the trial for futility at interim </w:t>
      </w:r>
      <w:r>
        <w:rPr>
          <w:i/>
        </w:rPr>
        <w:t>k</w:t>
      </w:r>
      <w:r>
        <w:t xml:space="preserve">. </w:t>
      </w:r>
      <m:oMath>
        <m:r>
          <w:rPr>
            <w:rFonts w:ascii="Cambria Math" w:hAnsi="Cambria Math"/>
          </w:rPr>
          <m:t>γ</m:t>
        </m:r>
        <m:r>
          <m:rPr>
            <m:sty m:val="p"/>
          </m:rPr>
          <w:rPr>
            <w:rFonts w:ascii="Cambria Math" w:hAnsi="Cambria Math"/>
          </w:rPr>
          <m:t>∈</m:t>
        </m:r>
        <m:d>
          <m:dPr>
            <m:begChr m:val="["/>
            <m:endChr m:val="]"/>
            <m:ctrlPr>
              <w:rPr>
                <w:rFonts w:ascii="Cambria Math" w:hAnsi="Cambria Math"/>
              </w:rPr>
            </m:ctrlPr>
          </m:dPr>
          <m:e>
            <m:r>
              <w:rPr>
                <w:rFonts w:ascii="Cambria Math" w:hAnsi="Cambria Math"/>
              </w:rPr>
              <m:t>0</m:t>
            </m:r>
            <m:r>
              <m:rPr>
                <m:sty m:val="p"/>
              </m:rPr>
              <w:rPr>
                <w:rFonts w:ascii="Cambria Math" w:hAnsi="Cambria Math"/>
              </w:rPr>
              <m:t>,</m:t>
            </m:r>
            <m:r>
              <w:rPr>
                <w:rFonts w:ascii="Cambria Math" w:hAnsi="Cambria Math"/>
              </w:rPr>
              <m:t>1</m:t>
            </m:r>
          </m:e>
        </m:d>
      </m:oMath>
      <w:r>
        <w:t xml:space="preserve"> is a constant to be determined via simulations.</w:t>
      </w:r>
    </w:p>
    <w:p w14:paraId="4D7E71CC" w14:textId="2261BA94" w:rsidR="00081E36" w:rsidRDefault="00081E36" w:rsidP="009B49AF">
      <w:pPr>
        <w:pStyle w:val="Heading2"/>
      </w:pPr>
      <w:bookmarkStart w:id="20" w:name="logistic"/>
      <w:bookmarkEnd w:id="17"/>
      <w:bookmarkEnd w:id="19"/>
      <w:r>
        <w:t>Logistic Regression Trial Analysis</w:t>
      </w:r>
    </w:p>
    <w:p w14:paraId="06E07EF2" w14:textId="77777777" w:rsidR="00081E36" w:rsidRDefault="00081E36" w:rsidP="00081E36">
      <w:pPr>
        <w:pStyle w:val="FirstParagraph"/>
      </w:pPr>
      <w:r>
        <w:t xml:space="preserve">The primary analysis model for the TRANSLATE trial is a frequentist mixed effects logistic regression. This will be replicated in a Bayesian framework. The model form, priors and </w:t>
      </w:r>
      <w:r>
        <w:lastRenderedPageBreak/>
        <w:t>stopping rules will be described in this section. Posterior estimates will be obtained via MCMC methods using a resampling program such as BUGS or Stan.</w:t>
      </w:r>
    </w:p>
    <w:p w14:paraId="67AD01EB" w14:textId="77777777" w:rsidR="00081E36" w:rsidRDefault="00081E36" w:rsidP="00081E36">
      <w:pPr>
        <w:pStyle w:val="BodyText"/>
      </w:pPr>
      <w:r>
        <w:t>The regression equation used is:</w:t>
      </w:r>
    </w:p>
    <w:p w14:paraId="732F80A4" w14:textId="601E188E" w:rsidR="00081E36" w:rsidRDefault="00081E36" w:rsidP="00081E36">
      <w:pPr>
        <w:pStyle w:val="BodyText"/>
      </w:pPr>
      <m:oMathPara>
        <m:oMathParaPr>
          <m:jc m:val="center"/>
        </m:oMathParaPr>
        <m:oMath>
          <m:r>
            <w:rPr>
              <w:rFonts w:ascii="Cambria Math" w:hAnsi="Cambria Math"/>
            </w:rPr>
            <m:t>logit</m:t>
          </m:r>
          <m:d>
            <m:dPr>
              <m:ctrlPr>
                <w:rPr>
                  <w:rFonts w:ascii="Cambria Math" w:hAnsi="Cambria Math"/>
                </w:rPr>
              </m:ctrlPr>
            </m:dPr>
            <m:e>
              <m:sSub>
                <m:sSubPr>
                  <m:ctrlPr>
                    <w:rPr>
                      <w:rFonts w:ascii="Cambria Math" w:hAnsi="Cambria Math"/>
                    </w:rPr>
                  </m:ctrlPr>
                </m:sSubPr>
                <m:e>
                  <m:r>
                    <w:rPr>
                      <w:rFonts w:ascii="Cambria Math" w:hAnsi="Cambria Math"/>
                    </w:rPr>
                    <m:t>θ</m:t>
                  </m:r>
                </m:e>
                <m:sub>
                  <m:r>
                    <w:rPr>
                      <w:rFonts w:ascii="Cambria Math" w:hAnsi="Cambria Math"/>
                    </w:rPr>
                    <m:t>i</m:t>
                  </m:r>
                  <m:r>
                    <m:rPr>
                      <m:sty m:val="p"/>
                    </m:rPr>
                    <w:rPr>
                      <w:rFonts w:ascii="Cambria Math" w:hAnsi="Cambria Math"/>
                    </w:rPr>
                    <m:t>,</m:t>
                  </m:r>
                  <m:r>
                    <w:rPr>
                      <w:rFonts w:ascii="Cambria Math" w:hAnsi="Cambria Math"/>
                    </w:rPr>
                    <m:t>s</m:t>
                  </m:r>
                </m:sub>
              </m:sSub>
            </m:e>
          </m:d>
          <m:r>
            <m:rPr>
              <m:sty m:val="p"/>
            </m:rPr>
            <w:rPr>
              <w:rFonts w:ascii="Cambria Math" w:hAnsi="Cambria Math"/>
            </w:rPr>
            <m:t>=</m:t>
          </m:r>
          <m:sSub>
            <m:sSubPr>
              <m:ctrlPr>
                <w:rPr>
                  <w:rFonts w:ascii="Cambria Math" w:hAnsi="Cambria Math"/>
                </w:rPr>
              </m:ctrlPr>
            </m:sSubPr>
            <m:e>
              <m:r>
                <w:rPr>
                  <w:rFonts w:ascii="Cambria Math" w:hAnsi="Cambria Math"/>
                </w:rPr>
                <m:t>β</m:t>
              </m:r>
            </m:e>
            <m:sub>
              <m:r>
                <w:rPr>
                  <w:rFonts w:ascii="Cambria Math" w:hAnsi="Cambria Math"/>
                </w:rPr>
                <m:t>0</m:t>
              </m:r>
            </m:sub>
          </m:sSub>
          <m:r>
            <m:rPr>
              <m:sty m:val="p"/>
            </m:rPr>
            <w:rPr>
              <w:rFonts w:ascii="Cambria Math" w:hAnsi="Cambria Math"/>
            </w:rPr>
            <m:t>+</m:t>
          </m:r>
          <m:sSub>
            <m:sSubPr>
              <m:ctrlPr>
                <w:rPr>
                  <w:rFonts w:ascii="Cambria Math" w:hAnsi="Cambria Math"/>
                </w:rPr>
              </m:ctrlPr>
            </m:sSubPr>
            <m:e>
              <m:r>
                <w:rPr>
                  <w:rFonts w:ascii="Cambria Math" w:hAnsi="Cambria Math"/>
                </w:rPr>
                <m:t>β</m:t>
              </m:r>
            </m:e>
            <m:sub>
              <m:r>
                <w:rPr>
                  <w:rFonts w:ascii="Cambria Math" w:hAnsi="Cambria Math"/>
                </w:rPr>
                <m:t>1</m:t>
              </m:r>
            </m:sub>
          </m:sSub>
          <m:r>
            <m:rPr>
              <m:sty m:val="p"/>
            </m:rPr>
            <w:rPr>
              <w:rFonts w:ascii="Cambria Math" w:hAnsi="Cambria Math"/>
            </w:rPr>
            <m:t>*</m:t>
          </m:r>
          <m:r>
            <w:rPr>
              <w:rFonts w:ascii="Cambria Math" w:hAnsi="Cambria Math"/>
            </w:rPr>
            <m:t>treatmen</m:t>
          </m:r>
          <m:sSub>
            <m:sSubPr>
              <m:ctrlPr>
                <w:rPr>
                  <w:rFonts w:ascii="Cambria Math" w:hAnsi="Cambria Math"/>
                </w:rPr>
              </m:ctrlPr>
            </m:sSubPr>
            <m:e>
              <m:r>
                <w:rPr>
                  <w:rFonts w:ascii="Cambria Math" w:hAnsi="Cambria Math"/>
                </w:rPr>
                <m:t>t</m:t>
              </m:r>
            </m:e>
            <m:sub>
              <m:r>
                <w:rPr>
                  <w:rFonts w:ascii="Cambria Math" w:hAnsi="Cambria Math"/>
                </w:rPr>
                <m:t>i</m:t>
              </m:r>
            </m:sub>
          </m:sSub>
          <m:r>
            <m:rPr>
              <m:sty m:val="p"/>
            </m:rPr>
            <w:rPr>
              <w:rFonts w:ascii="Cambria Math" w:hAnsi="Cambria Math"/>
            </w:rPr>
            <m:t>+</m:t>
          </m:r>
          <m:sSub>
            <m:sSubPr>
              <m:ctrlPr>
                <w:rPr>
                  <w:rFonts w:ascii="Cambria Math" w:hAnsi="Cambria Math"/>
                </w:rPr>
              </m:ctrlPr>
            </m:sSubPr>
            <m:e>
              <m:r>
                <w:rPr>
                  <w:rFonts w:ascii="Cambria Math" w:hAnsi="Cambria Math"/>
                </w:rPr>
                <m:t>β</m:t>
              </m:r>
            </m:e>
            <m:sub>
              <m:r>
                <w:rPr>
                  <w:rFonts w:ascii="Cambria Math" w:hAnsi="Cambria Math"/>
                </w:rPr>
                <m:t>2</m:t>
              </m:r>
            </m:sub>
          </m:sSub>
          <m:r>
            <m:rPr>
              <m:sty m:val="p"/>
            </m:rPr>
            <w:rPr>
              <w:rFonts w:ascii="Cambria Math" w:hAnsi="Cambria Math"/>
            </w:rPr>
            <m:t>*</m:t>
          </m:r>
          <m:r>
            <w:rPr>
              <w:rFonts w:ascii="Cambria Math" w:hAnsi="Cambria Math"/>
            </w:rPr>
            <m:t>lesion</m:t>
          </m:r>
          <m:r>
            <m:rPr>
              <m:sty m:val="p"/>
            </m:rPr>
            <w:rPr>
              <w:rFonts w:ascii="Cambria Math" w:hAnsi="Cambria Math"/>
            </w:rPr>
            <m:t>.</m:t>
          </m:r>
          <m:r>
            <w:rPr>
              <w:rFonts w:ascii="Cambria Math" w:hAnsi="Cambria Math"/>
            </w:rPr>
            <m:t>location</m:t>
          </m:r>
          <m:sSub>
            <m:sSubPr>
              <m:ctrlPr>
                <w:rPr>
                  <w:rFonts w:ascii="Cambria Math" w:hAnsi="Cambria Math"/>
                </w:rPr>
              </m:ctrlPr>
            </m:sSubPr>
            <m:e>
              <m:r>
                <w:rPr>
                  <w:rFonts w:ascii="Cambria Math" w:hAnsi="Cambria Math"/>
                </w:rPr>
                <m:t>1</m:t>
              </m:r>
            </m:e>
            <m:sub>
              <m:r>
                <w:rPr>
                  <w:rFonts w:ascii="Cambria Math" w:hAnsi="Cambria Math"/>
                </w:rPr>
                <m:t>i</m:t>
              </m:r>
            </m:sub>
          </m:sSub>
          <m:r>
            <m:rPr>
              <m:sty m:val="p"/>
            </m:rPr>
            <w:rPr>
              <w:rFonts w:ascii="Cambria Math" w:hAnsi="Cambria Math"/>
            </w:rPr>
            <m:t>+</m:t>
          </m:r>
          <m:sSub>
            <m:sSubPr>
              <m:ctrlPr>
                <w:rPr>
                  <w:rFonts w:ascii="Cambria Math" w:hAnsi="Cambria Math"/>
                </w:rPr>
              </m:ctrlPr>
            </m:sSubPr>
            <m:e>
              <m:r>
                <w:rPr>
                  <w:rFonts w:ascii="Cambria Math" w:hAnsi="Cambria Math"/>
                </w:rPr>
                <m:t>β</m:t>
              </m:r>
            </m:e>
            <m:sub>
              <m:r>
                <w:rPr>
                  <w:rFonts w:ascii="Cambria Math" w:hAnsi="Cambria Math"/>
                </w:rPr>
                <m:t>3</m:t>
              </m:r>
            </m:sub>
          </m:sSub>
          <m:r>
            <m:rPr>
              <m:sty m:val="p"/>
            </m:rPr>
            <w:rPr>
              <w:rFonts w:ascii="Cambria Math" w:hAnsi="Cambria Math"/>
            </w:rPr>
            <m:t>*</m:t>
          </m:r>
          <m:r>
            <w:rPr>
              <w:rFonts w:ascii="Cambria Math" w:hAnsi="Cambria Math"/>
            </w:rPr>
            <m:t>lesion</m:t>
          </m:r>
          <m:r>
            <m:rPr>
              <m:sty m:val="p"/>
            </m:rPr>
            <w:rPr>
              <w:rFonts w:ascii="Cambria Math" w:hAnsi="Cambria Math"/>
            </w:rPr>
            <m:t>.</m:t>
          </m:r>
          <m:r>
            <w:rPr>
              <w:rFonts w:ascii="Cambria Math" w:hAnsi="Cambria Math"/>
            </w:rPr>
            <m:t>location</m:t>
          </m:r>
          <m:sSub>
            <m:sSubPr>
              <m:ctrlPr>
                <w:rPr>
                  <w:rFonts w:ascii="Cambria Math" w:hAnsi="Cambria Math"/>
                </w:rPr>
              </m:ctrlPr>
            </m:sSubPr>
            <m:e>
              <m:r>
                <w:rPr>
                  <w:rFonts w:ascii="Cambria Math" w:hAnsi="Cambria Math"/>
                </w:rPr>
                <m:t>2</m:t>
              </m:r>
            </m:e>
            <m:sub>
              <m:r>
                <w:rPr>
                  <w:rFonts w:ascii="Cambria Math" w:hAnsi="Cambria Math"/>
                </w:rPr>
                <m:t>i</m:t>
              </m:r>
            </m:sub>
          </m:sSub>
          <m:r>
            <m:rPr>
              <m:sty m:val="p"/>
            </m:rPr>
            <w:rPr>
              <w:rFonts w:ascii="Cambria Math" w:hAnsi="Cambria Math"/>
            </w:rPr>
            <m:t>+</m:t>
          </m:r>
          <m:sSub>
            <m:sSubPr>
              <m:ctrlPr>
                <w:rPr>
                  <w:rFonts w:ascii="Cambria Math" w:hAnsi="Cambria Math"/>
                </w:rPr>
              </m:ctrlPr>
            </m:sSubPr>
            <m:e>
              <m:r>
                <w:rPr>
                  <w:rFonts w:ascii="Cambria Math" w:hAnsi="Cambria Math"/>
                </w:rPr>
                <m:t>b</m:t>
              </m:r>
            </m:e>
            <m:sub>
              <m:r>
                <w:rPr>
                  <w:rFonts w:ascii="Cambria Math" w:hAnsi="Cambria Math"/>
                </w:rPr>
                <m:t>i</m:t>
              </m:r>
            </m:sub>
          </m:sSub>
        </m:oMath>
      </m:oMathPara>
    </w:p>
    <w:p w14:paraId="0066FF7B" w14:textId="77777777" w:rsidR="00081E36" w:rsidRDefault="00081E36" w:rsidP="00081E36">
      <w:pPr>
        <w:pStyle w:val="FirstParagraph"/>
      </w:pPr>
      <w:r>
        <w:t>Where:</w:t>
      </w:r>
    </w:p>
    <w:p w14:paraId="0A63B461" w14:textId="77777777" w:rsidR="00081E36" w:rsidRDefault="00081E36" w:rsidP="00081E36">
      <w:pPr>
        <w:pStyle w:val="Compact"/>
        <w:numPr>
          <w:ilvl w:val="0"/>
          <w:numId w:val="19"/>
        </w:numPr>
      </w:pPr>
      <m:oMath>
        <m:r>
          <w:rPr>
            <w:rFonts w:ascii="Cambria Math" w:hAnsi="Cambria Math"/>
          </w:rPr>
          <m:t>treatmen</m:t>
        </m:r>
        <m:sSub>
          <m:sSubPr>
            <m:ctrlPr>
              <w:rPr>
                <w:rFonts w:ascii="Cambria Math" w:hAnsi="Cambria Math"/>
              </w:rPr>
            </m:ctrlPr>
          </m:sSubPr>
          <m:e>
            <m:r>
              <w:rPr>
                <w:rFonts w:ascii="Cambria Math" w:hAnsi="Cambria Math"/>
              </w:rPr>
              <m:t>t</m:t>
            </m:r>
          </m:e>
          <m:sub>
            <m:r>
              <w:rPr>
                <w:rFonts w:ascii="Cambria Math" w:hAnsi="Cambria Math"/>
              </w:rPr>
              <m:t>i</m:t>
            </m:r>
          </m:sub>
        </m:sSub>
        <m:r>
          <m:rPr>
            <m:sty m:val="p"/>
          </m:rPr>
          <w:rPr>
            <w:rFonts w:ascii="Cambria Math" w:hAnsi="Cambria Math"/>
          </w:rPr>
          <m:t>=</m:t>
        </m:r>
        <m:r>
          <w:rPr>
            <w:rFonts w:ascii="Cambria Math" w:hAnsi="Cambria Math"/>
          </w:rPr>
          <m:t>1</m:t>
        </m:r>
      </m:oMath>
      <w:r>
        <w:t xml:space="preserve"> if LATP, </w:t>
      </w:r>
      <m:oMath>
        <m:r>
          <w:rPr>
            <w:rFonts w:ascii="Cambria Math" w:hAnsi="Cambria Math"/>
          </w:rPr>
          <m:t>0</m:t>
        </m:r>
      </m:oMath>
      <w:r>
        <w:t xml:space="preserve"> if TRUS.</w:t>
      </w:r>
    </w:p>
    <w:p w14:paraId="2E0BA48A" w14:textId="77777777" w:rsidR="00081E36" w:rsidRDefault="00081E36" w:rsidP="00081E36">
      <w:pPr>
        <w:pStyle w:val="Compact"/>
        <w:numPr>
          <w:ilvl w:val="0"/>
          <w:numId w:val="19"/>
        </w:numPr>
      </w:pPr>
      <m:oMath>
        <m:r>
          <w:rPr>
            <w:rFonts w:ascii="Cambria Math" w:hAnsi="Cambria Math"/>
          </w:rPr>
          <m:t>lesion</m:t>
        </m:r>
        <m:r>
          <m:rPr>
            <m:sty m:val="p"/>
          </m:rPr>
          <w:rPr>
            <w:rFonts w:ascii="Cambria Math" w:hAnsi="Cambria Math"/>
          </w:rPr>
          <m:t>.</m:t>
        </m:r>
        <m:r>
          <w:rPr>
            <w:rFonts w:ascii="Cambria Math" w:hAnsi="Cambria Math"/>
          </w:rPr>
          <m:t>location</m:t>
        </m:r>
        <m:sSub>
          <m:sSubPr>
            <m:ctrlPr>
              <w:rPr>
                <w:rFonts w:ascii="Cambria Math" w:hAnsi="Cambria Math"/>
              </w:rPr>
            </m:ctrlPr>
          </m:sSubPr>
          <m:e>
            <m:r>
              <w:rPr>
                <w:rFonts w:ascii="Cambria Math" w:hAnsi="Cambria Math"/>
              </w:rPr>
              <m:t>1</m:t>
            </m:r>
          </m:e>
          <m:sub>
            <m:r>
              <w:rPr>
                <w:rFonts w:ascii="Cambria Math" w:hAnsi="Cambria Math"/>
              </w:rPr>
              <m:t>i</m:t>
            </m:r>
          </m:sub>
        </m:sSub>
        <m:r>
          <m:rPr>
            <m:sty m:val="p"/>
          </m:rPr>
          <w:rPr>
            <w:rFonts w:ascii="Cambria Math" w:hAnsi="Cambria Math"/>
          </w:rPr>
          <m:t>=</m:t>
        </m:r>
        <m:r>
          <w:rPr>
            <w:rFonts w:ascii="Cambria Math" w:hAnsi="Cambria Math"/>
          </w:rPr>
          <m:t>1</m:t>
        </m:r>
      </m:oMath>
      <w:r>
        <w:t xml:space="preserve"> if significant lesion including anterior, </w:t>
      </w:r>
      <m:oMath>
        <m:r>
          <w:rPr>
            <w:rFonts w:ascii="Cambria Math" w:hAnsi="Cambria Math"/>
          </w:rPr>
          <m:t>0</m:t>
        </m:r>
      </m:oMath>
      <w:r>
        <w:t xml:space="preserve"> if no significant </w:t>
      </w:r>
      <w:proofErr w:type="gramStart"/>
      <w:r>
        <w:t>lesion</w:t>
      </w:r>
      <w:proofErr w:type="gramEnd"/>
    </w:p>
    <w:p w14:paraId="0FB405F0" w14:textId="77777777" w:rsidR="00081E36" w:rsidRDefault="00081E36" w:rsidP="00081E36">
      <w:pPr>
        <w:pStyle w:val="Compact"/>
        <w:numPr>
          <w:ilvl w:val="0"/>
          <w:numId w:val="19"/>
        </w:numPr>
      </w:pPr>
      <m:oMath>
        <m:r>
          <w:rPr>
            <w:rFonts w:ascii="Cambria Math" w:hAnsi="Cambria Math"/>
          </w:rPr>
          <m:t>lesion</m:t>
        </m:r>
        <m:r>
          <m:rPr>
            <m:sty m:val="p"/>
          </m:rPr>
          <w:rPr>
            <w:rFonts w:ascii="Cambria Math" w:hAnsi="Cambria Math"/>
          </w:rPr>
          <m:t>.</m:t>
        </m:r>
        <m:r>
          <w:rPr>
            <w:rFonts w:ascii="Cambria Math" w:hAnsi="Cambria Math"/>
          </w:rPr>
          <m:t>location</m:t>
        </m:r>
        <m:sSub>
          <m:sSubPr>
            <m:ctrlPr>
              <w:rPr>
                <w:rFonts w:ascii="Cambria Math" w:hAnsi="Cambria Math"/>
              </w:rPr>
            </m:ctrlPr>
          </m:sSubPr>
          <m:e>
            <m:r>
              <w:rPr>
                <w:rFonts w:ascii="Cambria Math" w:hAnsi="Cambria Math"/>
              </w:rPr>
              <m:t>2</m:t>
            </m:r>
          </m:e>
          <m:sub>
            <m:r>
              <w:rPr>
                <w:rFonts w:ascii="Cambria Math" w:hAnsi="Cambria Math"/>
              </w:rPr>
              <m:t>i</m:t>
            </m:r>
          </m:sub>
        </m:sSub>
        <m:r>
          <m:rPr>
            <m:sty m:val="p"/>
          </m:rPr>
          <w:rPr>
            <w:rFonts w:ascii="Cambria Math" w:hAnsi="Cambria Math"/>
          </w:rPr>
          <m:t>=</m:t>
        </m:r>
        <m:r>
          <w:rPr>
            <w:rFonts w:ascii="Cambria Math" w:hAnsi="Cambria Math"/>
          </w:rPr>
          <m:t>1</m:t>
        </m:r>
      </m:oMath>
      <w:r>
        <w:t xml:space="preserve"> if significant lesion, but not anterior, </w:t>
      </w:r>
      <m:oMath>
        <m:r>
          <w:rPr>
            <w:rFonts w:ascii="Cambria Math" w:hAnsi="Cambria Math"/>
          </w:rPr>
          <m:t>0</m:t>
        </m:r>
      </m:oMath>
      <w:r>
        <w:t xml:space="preserve"> if no significant lesion</w:t>
      </w:r>
    </w:p>
    <w:p w14:paraId="08547B2E" w14:textId="77777777" w:rsidR="00081E36" w:rsidRDefault="00F064AC" w:rsidP="00081E36">
      <w:pPr>
        <w:pStyle w:val="Compact"/>
        <w:numPr>
          <w:ilvl w:val="0"/>
          <w:numId w:val="19"/>
        </w:numPr>
      </w:pPr>
      <m:oMath>
        <m:sSub>
          <m:sSubPr>
            <m:ctrlPr>
              <w:rPr>
                <w:rFonts w:ascii="Cambria Math" w:hAnsi="Cambria Math"/>
              </w:rPr>
            </m:ctrlPr>
          </m:sSubPr>
          <m:e>
            <m:r>
              <w:rPr>
                <w:rFonts w:ascii="Cambria Math" w:hAnsi="Cambria Math"/>
              </w:rPr>
              <m:t>b</m:t>
            </m:r>
          </m:e>
          <m:sub>
            <m:r>
              <w:rPr>
                <w:rFonts w:ascii="Cambria Math" w:hAnsi="Cambria Math"/>
              </w:rPr>
              <m:t>i</m:t>
            </m:r>
          </m:sub>
        </m:sSub>
        <m:r>
          <m:rPr>
            <m:sty m:val="p"/>
          </m:rPr>
          <w:rPr>
            <w:rFonts w:ascii="Cambria Math" w:hAnsi="Cambria Math"/>
          </w:rPr>
          <m:t>∼</m:t>
        </m:r>
        <m:r>
          <w:rPr>
            <w:rFonts w:ascii="Cambria Math" w:hAnsi="Cambria Math"/>
          </w:rPr>
          <m:t>N</m:t>
        </m:r>
        <m:d>
          <m:dPr>
            <m:ctrlPr>
              <w:rPr>
                <w:rFonts w:ascii="Cambria Math" w:hAnsi="Cambria Math"/>
              </w:rPr>
            </m:ctrlPr>
          </m:dPr>
          <m:e>
            <m:r>
              <w:rPr>
                <w:rFonts w:ascii="Cambria Math" w:hAnsi="Cambria Math"/>
              </w:rPr>
              <m:t>0</m:t>
            </m:r>
            <m:r>
              <m:rPr>
                <m:sty m:val="p"/>
              </m:rPr>
              <w:rPr>
                <w:rFonts w:ascii="Cambria Math" w:hAnsi="Cambria Math"/>
              </w:rPr>
              <m:t>,</m:t>
            </m:r>
            <m:sSubSup>
              <m:sSubSupPr>
                <m:ctrlPr>
                  <w:rPr>
                    <w:rFonts w:ascii="Cambria Math" w:hAnsi="Cambria Math"/>
                  </w:rPr>
                </m:ctrlPr>
              </m:sSubSupPr>
              <m:e>
                <m:r>
                  <w:rPr>
                    <w:rFonts w:ascii="Cambria Math" w:hAnsi="Cambria Math"/>
                  </w:rPr>
                  <m:t>σ</m:t>
                </m:r>
              </m:e>
              <m:sub>
                <m:r>
                  <w:rPr>
                    <w:rFonts w:ascii="Cambria Math" w:hAnsi="Cambria Math"/>
                  </w:rPr>
                  <m:t>b</m:t>
                </m:r>
              </m:sub>
              <m:sup>
                <m:r>
                  <w:rPr>
                    <w:rFonts w:ascii="Cambria Math" w:hAnsi="Cambria Math"/>
                  </w:rPr>
                  <m:t>2</m:t>
                </m:r>
              </m:sup>
            </m:sSubSup>
          </m:e>
        </m:d>
      </m:oMath>
      <w:r w:rsidR="00081E36">
        <w:t xml:space="preserve"> represents the between site effect and </w:t>
      </w:r>
      <m:oMath>
        <m:sSubSup>
          <m:sSubSupPr>
            <m:ctrlPr>
              <w:rPr>
                <w:rFonts w:ascii="Cambria Math" w:hAnsi="Cambria Math"/>
              </w:rPr>
            </m:ctrlPr>
          </m:sSubSupPr>
          <m:e>
            <m:r>
              <w:rPr>
                <w:rFonts w:ascii="Cambria Math" w:hAnsi="Cambria Math"/>
              </w:rPr>
              <m:t>σ</m:t>
            </m:r>
          </m:e>
          <m:sub>
            <m:r>
              <w:rPr>
                <w:rFonts w:ascii="Cambria Math" w:hAnsi="Cambria Math"/>
              </w:rPr>
              <m:t>b</m:t>
            </m:r>
          </m:sub>
          <m:sup>
            <m:r>
              <w:rPr>
                <w:rFonts w:ascii="Cambria Math" w:hAnsi="Cambria Math"/>
              </w:rPr>
              <m:t>2</m:t>
            </m:r>
          </m:sup>
        </m:sSubSup>
        <m:r>
          <m:rPr>
            <m:sty m:val="p"/>
          </m:rPr>
          <w:rPr>
            <w:rFonts w:ascii="Cambria Math" w:hAnsi="Cambria Math"/>
          </w:rPr>
          <m:t>=</m:t>
        </m:r>
      </m:oMath>
      <w:r w:rsidR="00081E36">
        <w:t xml:space="preserve"> between </w:t>
      </w:r>
      <w:proofErr w:type="gramStart"/>
      <w:r w:rsidR="00081E36">
        <w:t>site</w:t>
      </w:r>
      <w:proofErr w:type="gramEnd"/>
      <w:r w:rsidR="00081E36">
        <w:t xml:space="preserve"> variance</w:t>
      </w:r>
    </w:p>
    <w:p w14:paraId="2C064B46" w14:textId="77777777" w:rsidR="00081E36" w:rsidRDefault="00081E36" w:rsidP="00081E36">
      <w:pPr>
        <w:pStyle w:val="FirstParagraph"/>
      </w:pPr>
      <w:r>
        <w:rPr>
          <w:b/>
          <w:bCs/>
        </w:rPr>
        <w:t>Priors:</w:t>
      </w:r>
    </w:p>
    <w:p w14:paraId="08827711" w14:textId="5C34A6F8" w:rsidR="00081E36" w:rsidRPr="003979FE" w:rsidRDefault="00F064AC" w:rsidP="00081E36">
      <w:pPr>
        <w:pStyle w:val="Compact"/>
        <w:numPr>
          <w:ilvl w:val="0"/>
          <w:numId w:val="19"/>
        </w:numPr>
      </w:pPr>
      <m:oMath>
        <m:sSub>
          <m:sSubPr>
            <m:ctrlPr>
              <w:rPr>
                <w:rFonts w:ascii="Cambria Math" w:hAnsi="Cambria Math"/>
              </w:rPr>
            </m:ctrlPr>
          </m:sSubPr>
          <m:e>
            <m:r>
              <w:rPr>
                <w:rFonts w:ascii="Cambria Math" w:hAnsi="Cambria Math"/>
              </w:rPr>
              <m:t>β</m:t>
            </m:r>
          </m:e>
          <m:sub>
            <m:r>
              <w:rPr>
                <w:rFonts w:ascii="Cambria Math" w:hAnsi="Cambria Math"/>
              </w:rPr>
              <m:t>i</m:t>
            </m:r>
          </m:sub>
        </m:sSub>
        <m:r>
          <m:rPr>
            <m:sty m:val="p"/>
          </m:rPr>
          <w:rPr>
            <w:rFonts w:ascii="Cambria Math" w:hAnsi="Cambria Math"/>
          </w:rPr>
          <m:t>∼</m:t>
        </m:r>
        <m:r>
          <w:rPr>
            <w:rFonts w:ascii="Cambria Math" w:hAnsi="Cambria Math"/>
          </w:rPr>
          <m:t>N</m:t>
        </m:r>
        <m:d>
          <m:dPr>
            <m:ctrlPr>
              <w:rPr>
                <w:rFonts w:ascii="Cambria Math" w:hAnsi="Cambria Math"/>
              </w:rPr>
            </m:ctrlPr>
          </m:dPr>
          <m:e>
            <m:r>
              <w:rPr>
                <w:rFonts w:ascii="Cambria Math" w:hAnsi="Cambria Math"/>
              </w:rPr>
              <m:t>0</m:t>
            </m:r>
            <m:r>
              <m:rPr>
                <m:sty m:val="p"/>
              </m:rPr>
              <w:rPr>
                <w:rFonts w:ascii="Cambria Math" w:hAnsi="Cambria Math"/>
              </w:rPr>
              <m:t>,</m:t>
            </m:r>
            <m:sSup>
              <m:sSupPr>
                <m:ctrlPr>
                  <w:rPr>
                    <w:rFonts w:ascii="Cambria Math" w:hAnsi="Cambria Math"/>
                  </w:rPr>
                </m:ctrlPr>
              </m:sSupPr>
              <m:e>
                <m:r>
                  <w:rPr>
                    <w:rFonts w:ascii="Cambria Math" w:hAnsi="Cambria Math"/>
                  </w:rPr>
                  <m:t>2.5</m:t>
                </m:r>
              </m:e>
              <m:sup>
                <m:r>
                  <w:rPr>
                    <w:rFonts w:ascii="Cambria Math" w:hAnsi="Cambria Math"/>
                  </w:rPr>
                  <m:t>2</m:t>
                </m:r>
              </m:sup>
            </m:sSup>
          </m:e>
        </m:d>
        <m:r>
          <m:rPr>
            <m:sty m:val="p"/>
          </m:rPr>
          <w:rPr>
            <w:rFonts w:ascii="Cambria Math" w:hAnsi="Cambria Math"/>
          </w:rPr>
          <m:t>,</m:t>
        </m:r>
        <m:r>
          <w:rPr>
            <w:rFonts w:ascii="Cambria Math" w:hAnsi="Cambria Math"/>
          </w:rPr>
          <m:t> </m:t>
        </m:r>
        <m:r>
          <w:rPr>
            <w:rFonts w:ascii="Cambria Math" w:hAnsi="Cambria Math"/>
          </w:rPr>
          <m:t>i</m:t>
        </m:r>
        <m:r>
          <m:rPr>
            <m:sty m:val="p"/>
          </m:rPr>
          <w:rPr>
            <w:rFonts w:ascii="Cambria Math" w:hAnsi="Cambria Math"/>
          </w:rPr>
          <m:t>=</m:t>
        </m:r>
        <m:d>
          <m:dPr>
            <m:ctrlPr>
              <w:rPr>
                <w:rFonts w:ascii="Cambria Math" w:hAnsi="Cambria Math"/>
              </w:rPr>
            </m:ctrlPr>
          </m:dPr>
          <m:e>
            <m:r>
              <w:rPr>
                <w:rFonts w:ascii="Cambria Math" w:hAnsi="Cambria Math"/>
              </w:rPr>
              <m:t>0,1</m:t>
            </m:r>
            <m:r>
              <m:rPr>
                <m:sty m:val="p"/>
              </m:rPr>
              <w:rPr>
                <w:rFonts w:ascii="Cambria Math" w:hAnsi="Cambria Math"/>
              </w:rPr>
              <m:t>,</m:t>
            </m:r>
            <m:r>
              <w:rPr>
                <w:rFonts w:ascii="Cambria Math" w:hAnsi="Cambria Math"/>
              </w:rPr>
              <m:t>2</m:t>
            </m:r>
            <m:r>
              <m:rPr>
                <m:sty m:val="p"/>
              </m:rPr>
              <w:rPr>
                <w:rFonts w:ascii="Cambria Math" w:hAnsi="Cambria Math"/>
              </w:rPr>
              <m:t>,</m:t>
            </m:r>
            <m:r>
              <w:rPr>
                <w:rFonts w:ascii="Cambria Math" w:hAnsi="Cambria Math"/>
              </w:rPr>
              <m:t>3</m:t>
            </m:r>
          </m:e>
        </m:d>
      </m:oMath>
    </w:p>
    <w:p w14:paraId="101E6C9B" w14:textId="1D72663D" w:rsidR="00081E36" w:rsidRPr="003979FE" w:rsidRDefault="00F064AC" w:rsidP="00081E36">
      <w:pPr>
        <w:pStyle w:val="Compact"/>
        <w:numPr>
          <w:ilvl w:val="0"/>
          <w:numId w:val="19"/>
        </w:numPr>
      </w:pPr>
      <m:oMath>
        <m:sSub>
          <m:sSubPr>
            <m:ctrlPr>
              <w:rPr>
                <w:rFonts w:ascii="Cambria Math" w:hAnsi="Cambria Math"/>
              </w:rPr>
            </m:ctrlPr>
          </m:sSubPr>
          <m:e>
            <m:r>
              <w:rPr>
                <w:rFonts w:ascii="Cambria Math" w:hAnsi="Cambria Math"/>
              </w:rPr>
              <m:t>σ</m:t>
            </m:r>
          </m:e>
          <m:sub>
            <m:r>
              <w:rPr>
                <w:rFonts w:ascii="Cambria Math" w:hAnsi="Cambria Math"/>
              </w:rPr>
              <m:t>b</m:t>
            </m:r>
          </m:sub>
        </m:sSub>
        <m:r>
          <m:rPr>
            <m:sty m:val="p"/>
          </m:rPr>
          <w:rPr>
            <w:rFonts w:ascii="Cambria Math" w:hAnsi="Cambria Math"/>
          </w:rPr>
          <m:t>∼</m:t>
        </m:r>
        <m:r>
          <w:rPr>
            <w:rFonts w:ascii="Cambria Math" w:hAnsi="Cambria Math"/>
          </w:rPr>
          <m:t>Half</m:t>
        </m:r>
        <m:r>
          <w:rPr>
            <w:rFonts w:ascii="Cambria Math" w:hAnsi="Cambria Math"/>
          </w:rPr>
          <m:t>-</m:t>
        </m:r>
        <m:r>
          <w:rPr>
            <w:rFonts w:ascii="Cambria Math" w:hAnsi="Cambria Math"/>
          </w:rPr>
          <m:t>normal</m:t>
        </m:r>
        <m:d>
          <m:dPr>
            <m:ctrlPr>
              <w:rPr>
                <w:rFonts w:ascii="Cambria Math" w:hAnsi="Cambria Math"/>
              </w:rPr>
            </m:ctrlPr>
          </m:dPr>
          <m:e>
            <m:r>
              <w:rPr>
                <w:rFonts w:ascii="Cambria Math" w:hAnsi="Cambria Math"/>
              </w:rPr>
              <m:t>0</m:t>
            </m:r>
            <m:r>
              <m:rPr>
                <m:sty m:val="p"/>
              </m:rPr>
              <w:rPr>
                <w:rFonts w:ascii="Cambria Math" w:hAnsi="Cambria Math"/>
              </w:rPr>
              <m:t xml:space="preserve">, </m:t>
            </m:r>
            <m:sSup>
              <m:sSupPr>
                <m:ctrlPr>
                  <w:rPr>
                    <w:rFonts w:ascii="Cambria Math" w:hAnsi="Cambria Math"/>
                  </w:rPr>
                </m:ctrlPr>
              </m:sSupPr>
              <m:e>
                <m:r>
                  <m:rPr>
                    <m:sty m:val="p"/>
                  </m:rPr>
                  <w:rPr>
                    <w:rFonts w:ascii="Cambria Math" w:hAnsi="Cambria Math"/>
                  </w:rPr>
                  <m:t>2.5</m:t>
                </m:r>
              </m:e>
              <m:sup>
                <m:r>
                  <m:rPr>
                    <m:sty m:val="p"/>
                  </m:rPr>
                  <w:rPr>
                    <w:rFonts w:ascii="Cambria Math" w:hAnsi="Cambria Math"/>
                  </w:rPr>
                  <m:t>2</m:t>
                </m:r>
              </m:sup>
            </m:sSup>
          </m:e>
        </m:d>
      </m:oMath>
      <w:r w:rsidR="00081E36" w:rsidRPr="003979FE">
        <w:t xml:space="preserve"> </w:t>
      </w:r>
      <w:sdt>
        <w:sdtPr>
          <w:rPr>
            <w:color w:val="000000"/>
          </w:rPr>
          <w:tag w:val="MENDELEY_CITATION_v3_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"/>
          <w:id w:val="-788579412"/>
          <w:placeholder>
            <w:docPart w:val="DefaultPlaceholder_-1854013440"/>
          </w:placeholder>
        </w:sdtPr>
        <w:sdtEndPr/>
        <w:sdtContent>
          <w:r w:rsidR="00074755" w:rsidRPr="006744A0">
            <w:rPr>
              <w:color w:val="000000"/>
            </w:rPr>
            <w:t>[3]</w:t>
          </w:r>
        </w:sdtContent>
      </w:sdt>
    </w:p>
    <w:p w14:paraId="7A393296" w14:textId="7A34A6F0" w:rsidR="00081E36" w:rsidRDefault="00081E36" w:rsidP="00081E36">
      <w:pPr>
        <w:pStyle w:val="Compact"/>
        <w:ind w:left="240"/>
      </w:pPr>
    </w:p>
    <w:p w14:paraId="50F52D57" w14:textId="5DE2129A" w:rsidR="007204CD" w:rsidRDefault="007204CD" w:rsidP="00081E36">
      <w:pPr>
        <w:pStyle w:val="Compact"/>
        <w:ind w:left="240"/>
      </w:pPr>
      <w:r w:rsidRPr="00EF630A">
        <w:t xml:space="preserve">Baseline covariates will be </w:t>
      </w:r>
      <w:proofErr w:type="spellStart"/>
      <w:r w:rsidRPr="00EF630A">
        <w:t>standardised</w:t>
      </w:r>
      <w:proofErr w:type="spellEnd"/>
      <w:r w:rsidRPr="00EF630A">
        <w:t xml:space="preserve"> according </w:t>
      </w:r>
      <w:r w:rsidRPr="00074755">
        <w:t xml:space="preserve">to Gelman </w:t>
      </w:r>
      <w:sdt>
        <w:sdtPr>
          <w:rPr>
            <w:color w:val="000000"/>
          </w:rPr>
          <w:tag w:val="MENDELEY_CITATION_v3_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"/>
          <w:id w:val="1513263399"/>
          <w:placeholder>
            <w:docPart w:val="DefaultPlaceholder_-1854013440"/>
          </w:placeholder>
        </w:sdtPr>
        <w:sdtEndPr/>
        <w:sdtContent>
          <w:r w:rsidR="00074755" w:rsidRPr="006744A0">
            <w:rPr>
              <w:color w:val="000000"/>
            </w:rPr>
            <w:t>[4]</w:t>
          </w:r>
        </w:sdtContent>
      </w:sdt>
      <w:r w:rsidRPr="00EF630A">
        <w:t>so that dichotomous covariates have mean zero and differ by 1 in their upper and lower condition.</w:t>
      </w:r>
    </w:p>
    <w:p w14:paraId="4FCE7C18" w14:textId="77777777" w:rsidR="007204CD" w:rsidRDefault="007204CD" w:rsidP="00081E36">
      <w:pPr>
        <w:pStyle w:val="Compact"/>
        <w:ind w:left="240"/>
      </w:pPr>
    </w:p>
    <w:p w14:paraId="7F56967E" w14:textId="77777777" w:rsidR="00081E36" w:rsidRPr="00C9637D" w:rsidRDefault="00081E36" w:rsidP="00081E36">
      <w:pPr>
        <w:rPr>
          <w:bCs/>
          <w:u w:val="single"/>
        </w:rPr>
      </w:pPr>
      <w:bookmarkStart w:id="21" w:name="superiority-1"/>
      <w:r w:rsidRPr="00C9637D">
        <w:rPr>
          <w:b/>
          <w:bCs/>
          <w:u w:val="single"/>
        </w:rPr>
        <w:t>Superiority</w:t>
      </w:r>
    </w:p>
    <w:p w14:paraId="37D85AE2" w14:textId="77777777" w:rsidR="00081E36" w:rsidRDefault="00081E36" w:rsidP="00081E36">
      <w:pPr>
        <w:pStyle w:val="FirstParagraph"/>
      </w:pPr>
      <w:r>
        <w:t>We say LATP is superior to TRUS if, at the final analysis:</w:t>
      </w:r>
    </w:p>
    <w:p w14:paraId="0223545E" w14:textId="348CCF5A" w:rsidR="00081E36" w:rsidRDefault="00081E36" w:rsidP="00081E36">
      <w:pPr>
        <w:pStyle w:val="BodyText"/>
      </w:pPr>
      <m:oMathPara>
        <m:oMathParaPr>
          <m:jc m:val="center"/>
        </m:oMathParaPr>
        <m:oMath>
          <m:r>
            <m:rPr>
              <m:scr m:val="double-struck"/>
              <m:sty m:val="p"/>
            </m:rPr>
            <w:rPr>
              <w:rFonts w:ascii="Cambria Math" w:hAnsi="Cambria Math"/>
            </w:rPr>
            <m:t>P</m:t>
          </m:r>
          <m:d>
            <m:dPr>
              <m:ctrlPr>
                <w:rPr>
                  <w:rFonts w:ascii="Cambria Math" w:hAnsi="Cambria Math"/>
                </w:rPr>
              </m:ctrlPr>
            </m:dPr>
            <m:e>
              <m:sSub>
                <m:sSubPr>
                  <m:ctrlPr>
                    <w:rPr>
                      <w:rFonts w:ascii="Cambria Math" w:hAnsi="Cambria Math"/>
                    </w:rPr>
                  </m:ctrlPr>
                </m:sSubPr>
                <m:e>
                  <m:r>
                    <w:rPr>
                      <w:rFonts w:ascii="Cambria Math" w:hAnsi="Cambria Math"/>
                    </w:rPr>
                    <m:t>β</m:t>
                  </m:r>
                </m:e>
                <m:sub>
                  <m:r>
                    <w:rPr>
                      <w:rFonts w:ascii="Cambria Math" w:hAnsi="Cambria Math"/>
                    </w:rPr>
                    <m:t>1</m:t>
                  </m:r>
                </m:sub>
              </m:sSub>
              <m:r>
                <m:rPr>
                  <m:sty m:val="p"/>
                </m:rPr>
                <w:rPr>
                  <w:rFonts w:ascii="Cambria Math" w:hAnsi="Cambria Math"/>
                </w:rPr>
                <m:t>&gt;</m:t>
              </m:r>
              <m:r>
                <w:rPr>
                  <w:rFonts w:ascii="Cambria Math" w:hAnsi="Cambria Math"/>
                </w:rPr>
                <m:t>1</m:t>
              </m:r>
              <m:r>
                <m:rPr>
                  <m:sty m:val="p"/>
                </m:rPr>
                <w:rPr>
                  <w:rFonts w:ascii="Cambria Math" w:hAnsi="Cambria Math"/>
                </w:rPr>
                <m:t>|</m:t>
              </m:r>
              <m:r>
                <w:rPr>
                  <w:rFonts w:ascii="Cambria Math" w:hAnsi="Cambria Math"/>
                </w:rPr>
                <m:t>Dat</m:t>
              </m:r>
              <m:sSub>
                <m:sSubPr>
                  <m:ctrlPr>
                    <w:rPr>
                      <w:rFonts w:ascii="Cambria Math" w:hAnsi="Cambria Math"/>
                      <w:i/>
                    </w:rPr>
                  </m:ctrlPr>
                </m:sSubPr>
                <m:e>
                  <m:r>
                    <w:rPr>
                      <w:rFonts w:ascii="Cambria Math" w:hAnsi="Cambria Math"/>
                    </w:rPr>
                    <m:t>a</m:t>
                  </m:r>
                </m:e>
                <m:sub>
                  <m:r>
                    <w:rPr>
                      <w:rFonts w:ascii="Cambria Math" w:hAnsi="Cambria Math"/>
                    </w:rPr>
                    <m:t>final</m:t>
                  </m:r>
                </m:sub>
              </m:sSub>
            </m:e>
          </m:d>
          <m:r>
            <m:rPr>
              <m:sty m:val="p"/>
            </m:rPr>
            <w:rPr>
              <w:rFonts w:ascii="Cambria Math" w:hAnsi="Cambria Math"/>
            </w:rPr>
            <m:t>&gt;</m:t>
          </m:r>
          <m:sSub>
            <m:sSubPr>
              <m:ctrlPr>
                <w:rPr>
                  <w:rFonts w:ascii="Cambria Math" w:hAnsi="Cambria Math"/>
                </w:rPr>
              </m:ctrlPr>
            </m:sSubPr>
            <m:e>
              <m:r>
                <w:rPr>
                  <w:rFonts w:ascii="Cambria Math" w:hAnsi="Cambria Math"/>
                </w:rPr>
                <m:t>η</m:t>
              </m:r>
            </m:e>
            <m:sub>
              <m:r>
                <w:rPr>
                  <w:rFonts w:ascii="Cambria Math" w:hAnsi="Cambria Math"/>
                </w:rPr>
                <m:t>final</m:t>
              </m:r>
            </m:sub>
          </m:sSub>
          <m:r>
            <m:rPr>
              <m:sty m:val="p"/>
            </m:rPr>
            <w:rPr>
              <w:rFonts w:ascii="Cambria Math" w:hAnsi="Cambria Math"/>
            </w:rPr>
            <m:t>.</m:t>
          </m:r>
        </m:oMath>
      </m:oMathPara>
    </w:p>
    <w:p w14:paraId="20683979" w14:textId="6DE3FFFF" w:rsidR="00081E36" w:rsidRDefault="00081E36" w:rsidP="00081E36">
      <w:pPr>
        <w:pStyle w:val="FirstParagraph"/>
      </w:pPr>
      <w:r>
        <w:t xml:space="preserve">Similarly, we say LATP is superior to TRUS if, at interim analysis </w:t>
      </w:r>
      <m:oMath>
        <m:r>
          <w:rPr>
            <w:rFonts w:ascii="Cambria Math" w:hAnsi="Cambria Math"/>
          </w:rPr>
          <m:t>k</m:t>
        </m:r>
      </m:oMath>
      <w:r>
        <w:t>:</w:t>
      </w:r>
    </w:p>
    <w:p w14:paraId="59718796" w14:textId="62B4A269" w:rsidR="00081E36" w:rsidRDefault="00081E36" w:rsidP="00081E36">
      <w:pPr>
        <w:pStyle w:val="BodyText"/>
      </w:pPr>
      <m:oMathPara>
        <m:oMathParaPr>
          <m:jc m:val="center"/>
        </m:oMathParaPr>
        <m:oMath>
          <m:r>
            <m:rPr>
              <m:scr m:val="double-struck"/>
              <m:sty m:val="p"/>
            </m:rPr>
            <w:rPr>
              <w:rFonts w:ascii="Cambria Math" w:hAnsi="Cambria Math"/>
            </w:rPr>
            <m:t>P</m:t>
          </m:r>
          <m:d>
            <m:dPr>
              <m:ctrlPr>
                <w:rPr>
                  <w:rFonts w:ascii="Cambria Math" w:hAnsi="Cambria Math"/>
                </w:rPr>
              </m:ctrlPr>
            </m:dPr>
            <m:e>
              <m:sSub>
                <m:sSubPr>
                  <m:ctrlPr>
                    <w:rPr>
                      <w:rFonts w:ascii="Cambria Math" w:hAnsi="Cambria Math"/>
                    </w:rPr>
                  </m:ctrlPr>
                </m:sSubPr>
                <m:e>
                  <m:r>
                    <w:rPr>
                      <w:rFonts w:ascii="Cambria Math" w:hAnsi="Cambria Math"/>
                    </w:rPr>
                    <m:t>β</m:t>
                  </m:r>
                </m:e>
                <m:sub>
                  <m:r>
                    <w:rPr>
                      <w:rFonts w:ascii="Cambria Math" w:hAnsi="Cambria Math"/>
                    </w:rPr>
                    <m:t>1</m:t>
                  </m:r>
                </m:sub>
              </m:sSub>
              <m:r>
                <m:rPr>
                  <m:sty m:val="p"/>
                </m:rPr>
                <w:rPr>
                  <w:rFonts w:ascii="Cambria Math" w:hAnsi="Cambria Math"/>
                </w:rPr>
                <m:t>&gt;</m:t>
              </m:r>
              <m:r>
                <w:rPr>
                  <w:rFonts w:ascii="Cambria Math" w:hAnsi="Cambria Math"/>
                </w:rPr>
                <m:t>1</m:t>
              </m:r>
              <m:r>
                <m:rPr>
                  <m:sty m:val="p"/>
                </m:rPr>
                <w:rPr>
                  <w:rFonts w:ascii="Cambria Math" w:hAnsi="Cambria Math"/>
                </w:rPr>
                <m:t>|</m:t>
              </m:r>
              <m:r>
                <w:rPr>
                  <w:rFonts w:ascii="Cambria Math" w:hAnsi="Cambria Math"/>
                </w:rPr>
                <m:t>Dat</m:t>
              </m:r>
              <m:sSub>
                <m:sSubPr>
                  <m:ctrlPr>
                    <w:rPr>
                      <w:rFonts w:ascii="Cambria Math" w:hAnsi="Cambria Math"/>
                      <w:i/>
                    </w:rPr>
                  </m:ctrlPr>
                </m:sSubPr>
                <m:e>
                  <m:r>
                    <w:rPr>
                      <w:rFonts w:ascii="Cambria Math" w:hAnsi="Cambria Math"/>
                    </w:rPr>
                    <m:t>a</m:t>
                  </m:r>
                </m:e>
                <m:sub>
                  <m:r>
                    <w:rPr>
                      <w:rFonts w:ascii="Cambria Math" w:hAnsi="Cambria Math"/>
                    </w:rPr>
                    <m:t>k</m:t>
                  </m:r>
                </m:sub>
              </m:sSub>
            </m:e>
          </m:d>
          <m:r>
            <m:rPr>
              <m:sty m:val="p"/>
            </m:rPr>
            <w:rPr>
              <w:rFonts w:ascii="Cambria Math" w:hAnsi="Cambria Math"/>
            </w:rPr>
            <m:t>&gt;</m:t>
          </m:r>
          <m:sSub>
            <m:sSubPr>
              <m:ctrlPr>
                <w:rPr>
                  <w:rFonts w:ascii="Cambria Math" w:hAnsi="Cambria Math"/>
                </w:rPr>
              </m:ctrlPr>
            </m:sSubPr>
            <m:e>
              <m:r>
                <w:rPr>
                  <w:rFonts w:ascii="Cambria Math" w:hAnsi="Cambria Math"/>
                </w:rPr>
                <m:t>η</m:t>
              </m:r>
            </m:e>
            <m:sub>
              <m:r>
                <w:rPr>
                  <w:rFonts w:ascii="Cambria Math" w:hAnsi="Cambria Math"/>
                </w:rPr>
                <m:t>int</m:t>
              </m:r>
            </m:sub>
          </m:sSub>
          <m:r>
            <m:rPr>
              <m:sty m:val="p"/>
            </m:rPr>
            <w:rPr>
              <w:rFonts w:ascii="Cambria Math" w:hAnsi="Cambria Math"/>
            </w:rPr>
            <m:t>.</m:t>
          </m:r>
        </m:oMath>
      </m:oMathPara>
    </w:p>
    <w:p w14:paraId="736B71E9" w14:textId="77777777" w:rsidR="00081E36" w:rsidRPr="00EF630A" w:rsidRDefault="00081E36" w:rsidP="00081E36">
      <w:pPr>
        <w:rPr>
          <w:bCs/>
          <w:highlight w:val="yellow"/>
          <w:u w:val="single"/>
        </w:rPr>
      </w:pPr>
      <w:bookmarkStart w:id="22" w:name="futility-1"/>
      <w:bookmarkEnd w:id="21"/>
      <w:r w:rsidRPr="003979FE">
        <w:rPr>
          <w:b/>
          <w:bCs/>
          <w:u w:val="single"/>
        </w:rPr>
        <w:t>Futility</w:t>
      </w:r>
    </w:p>
    <w:p w14:paraId="52FB2340" w14:textId="44F08127" w:rsidR="003979FE" w:rsidRPr="00950DC2" w:rsidRDefault="003979FE" w:rsidP="003979FE">
      <w:pPr>
        <w:pStyle w:val="FirstParagraph"/>
      </w:pPr>
      <w:r w:rsidRPr="00272BAA">
        <w:rPr>
          <w:rFonts w:eastAsiaTheme="minorEastAsia"/>
        </w:rPr>
        <w:t xml:space="preserve">Baseline characteristics for predicted participants at interim analysis </w:t>
      </w:r>
      <m:oMath>
        <m:r>
          <w:rPr>
            <w:rFonts w:ascii="Cambria Math" w:eastAsiaTheme="minorEastAsia" w:hAnsi="Cambria Math"/>
          </w:rPr>
          <m:t>k</m:t>
        </m:r>
      </m:oMath>
      <w:r w:rsidRPr="00272BAA">
        <w:rPr>
          <w:rFonts w:eastAsiaTheme="minorEastAsia"/>
        </w:rPr>
        <w:t xml:space="preserve"> will be </w:t>
      </w:r>
      <w:r w:rsidR="00D32E18" w:rsidRPr="00272BAA">
        <w:t>sampled with replacement from the current data with both treatment groups combined</w:t>
      </w:r>
      <w:r w:rsidRPr="00272BAA">
        <w:rPr>
          <w:rFonts w:eastAsiaTheme="minorEastAsia"/>
        </w:rPr>
        <w:t xml:space="preserve">. </w:t>
      </w:r>
      <w:r>
        <w:rPr>
          <w:rFonts w:eastAsiaTheme="minorEastAsia"/>
        </w:rPr>
        <w:t xml:space="preserve">Response data, </w:t>
      </w:r>
      <m:oMath>
        <m:acc>
          <m:accPr>
            <m:chr m:val="̃"/>
            <m:ctrlPr>
              <w:rPr>
                <w:rFonts w:ascii="Cambria Math" w:eastAsiaTheme="minorEastAsia" w:hAnsi="Cambria Math"/>
                <w:i/>
              </w:rPr>
            </m:ctrlPr>
          </m:accPr>
          <m:e>
            <m:r>
              <w:rPr>
                <w:rFonts w:ascii="Cambria Math" w:eastAsiaTheme="minorEastAsia" w:hAnsi="Cambria Math"/>
              </w:rPr>
              <m:t>y</m:t>
            </m:r>
          </m:e>
        </m:acc>
      </m:oMath>
      <w:r>
        <w:rPr>
          <w:rFonts w:eastAsiaTheme="minorEastAsia"/>
        </w:rPr>
        <w:t xml:space="preserve">, </w:t>
      </w:r>
      <w:r w:rsidRPr="00E77278">
        <w:rPr>
          <w:rFonts w:eastAsiaTheme="minorEastAsia"/>
        </w:rPr>
        <w:t>will be predicte</w:t>
      </w:r>
      <w:r>
        <w:rPr>
          <w:rFonts w:eastAsiaTheme="minorEastAsia"/>
        </w:rPr>
        <w:t xml:space="preserve">d based on generated baseline characteristics and </w:t>
      </w:r>
      <w:proofErr w:type="spellStart"/>
      <w:r>
        <w:rPr>
          <w:rFonts w:eastAsiaTheme="minorEastAsia"/>
        </w:rPr>
        <w:t>randomised</w:t>
      </w:r>
      <w:proofErr w:type="spellEnd"/>
      <w:r>
        <w:rPr>
          <w:rFonts w:eastAsiaTheme="minorEastAsia"/>
        </w:rPr>
        <w:t xml:space="preserve"> group</w:t>
      </w:r>
      <w:r w:rsidRPr="00E77278">
        <w:rPr>
          <w:rFonts w:eastAsiaTheme="minorEastAsia"/>
        </w:rPr>
        <w:t xml:space="preserve">. </w:t>
      </w:r>
      <m:oMath>
        <m:sSub>
          <m:sSubPr>
            <m:ctrlPr>
              <w:rPr>
                <w:rFonts w:ascii="Cambria Math" w:hAnsi="Cambria Math"/>
              </w:rPr>
            </m:ctrlPr>
          </m:sSubPr>
          <m:e>
            <m:r>
              <w:rPr>
                <w:rFonts w:ascii="Cambria Math" w:hAnsi="Cambria Math"/>
              </w:rPr>
              <m:t>β</m:t>
            </m:r>
          </m:e>
          <m:sub>
            <m:r>
              <w:rPr>
                <w:rFonts w:ascii="Cambria Math" w:hAnsi="Cambria Math"/>
              </w:rPr>
              <m:t>1</m:t>
            </m:r>
          </m:sub>
        </m:sSub>
      </m:oMath>
      <w:r>
        <w:t xml:space="preserve"> will be calculated for this “complete” dataset via MCMC methods described above and the </w:t>
      </w:r>
      <w:r w:rsidRPr="00E77278">
        <w:t xml:space="preserve">result (if </w:t>
      </w:r>
      <m:oMath>
        <m:r>
          <m:rPr>
            <m:scr m:val="double-struck"/>
            <m:sty m:val="p"/>
          </m:rPr>
          <w:rPr>
            <w:rFonts w:ascii="Cambria Math" w:hAnsi="Cambria Math"/>
          </w:rPr>
          <m:t>P</m:t>
        </m:r>
        <m:d>
          <m:dPr>
            <m:ctrlPr>
              <w:rPr>
                <w:rFonts w:ascii="Cambria Math" w:hAnsi="Cambria Math"/>
              </w:rPr>
            </m:ctrlPr>
          </m:dPr>
          <m:e>
            <m:sSub>
              <m:sSubPr>
                <m:ctrlPr>
                  <w:rPr>
                    <w:rFonts w:ascii="Cambria Math" w:hAnsi="Cambria Math"/>
                  </w:rPr>
                </m:ctrlPr>
              </m:sSubPr>
              <m:e>
                <m:r>
                  <w:rPr>
                    <w:rFonts w:ascii="Cambria Math" w:hAnsi="Cambria Math"/>
                  </w:rPr>
                  <m:t>β</m:t>
                </m:r>
              </m:e>
              <m:sub>
                <m:r>
                  <w:rPr>
                    <w:rFonts w:ascii="Cambria Math" w:hAnsi="Cambria Math"/>
                  </w:rPr>
                  <m:t>1</m:t>
                </m:r>
              </m:sub>
            </m:sSub>
            <m:r>
              <m:rPr>
                <m:sty m:val="p"/>
              </m:rPr>
              <w:rPr>
                <w:rFonts w:ascii="Cambria Math" w:hAnsi="Cambria Math"/>
              </w:rPr>
              <m:t>&gt;</m:t>
            </m:r>
            <m:r>
              <w:rPr>
                <w:rFonts w:ascii="Cambria Math" w:hAnsi="Cambria Math"/>
              </w:rPr>
              <m:t>1</m:t>
            </m:r>
            <m:r>
              <m:rPr>
                <m:sty m:val="p"/>
              </m:rPr>
              <w:rPr>
                <w:rFonts w:ascii="Cambria Math" w:hAnsi="Cambria Math"/>
              </w:rPr>
              <m:t>|</m:t>
            </m:r>
            <m:r>
              <w:rPr>
                <w:rFonts w:ascii="Cambria Math" w:hAnsi="Cambria Math"/>
              </w:rPr>
              <m:t>Data</m:t>
            </m:r>
          </m:e>
        </m:d>
        <m:r>
          <m:rPr>
            <m:sty m:val="p"/>
          </m:rPr>
          <w:rPr>
            <w:rFonts w:ascii="Cambria Math" w:hAnsi="Cambria Math"/>
          </w:rPr>
          <m:t>&gt;</m:t>
        </m:r>
        <m:sSub>
          <m:sSubPr>
            <m:ctrlPr>
              <w:rPr>
                <w:rFonts w:ascii="Cambria Math" w:hAnsi="Cambria Math"/>
              </w:rPr>
            </m:ctrlPr>
          </m:sSubPr>
          <m:e>
            <m:r>
              <w:rPr>
                <w:rFonts w:ascii="Cambria Math" w:hAnsi="Cambria Math"/>
              </w:rPr>
              <m:t>η</m:t>
            </m:r>
          </m:e>
          <m:sub>
            <m:r>
              <w:rPr>
                <w:rFonts w:ascii="Cambria Math" w:hAnsi="Cambria Math"/>
              </w:rPr>
              <m:t>final</m:t>
            </m:r>
          </m:sub>
        </m:sSub>
      </m:oMath>
      <w:r w:rsidRPr="00E77278">
        <w:rPr>
          <w:rFonts w:eastAsiaTheme="minorEastAsia"/>
        </w:rPr>
        <w:t>)</w:t>
      </w:r>
      <w:r>
        <w:rPr>
          <w:rFonts w:eastAsiaTheme="minorEastAsia"/>
        </w:rPr>
        <w:t xml:space="preserve"> will be stored. This process will be iterated and the </w:t>
      </w:r>
      <w:r w:rsidRPr="00950DC2">
        <w:t>PPOS</w:t>
      </w:r>
      <w:r>
        <w:t xml:space="preserve"> at interim </w:t>
      </w:r>
      <m:oMath>
        <m:r>
          <w:rPr>
            <w:rFonts w:ascii="Cambria Math" w:eastAsiaTheme="minorEastAsia" w:hAnsi="Cambria Math"/>
          </w:rPr>
          <m:t>k</m:t>
        </m:r>
      </m:oMath>
      <w:r w:rsidRPr="00950DC2">
        <w:t xml:space="preserve"> will be defined as</w:t>
      </w:r>
    </w:p>
    <w:p w14:paraId="07843727" w14:textId="77777777" w:rsidR="003979FE" w:rsidRPr="00950DC2" w:rsidRDefault="003979FE" w:rsidP="003979FE">
      <w:pPr>
        <w:pStyle w:val="BodyText"/>
      </w:pPr>
      <m:oMathPara>
        <m:oMathParaPr>
          <m:jc m:val="center"/>
        </m:oMathParaPr>
        <m:oMath>
          <m:r>
            <w:rPr>
              <w:rFonts w:ascii="Cambria Math" w:hAnsi="Cambria Math"/>
            </w:rPr>
            <m:t>PPOS</m:t>
          </m:r>
          <m:r>
            <m:rPr>
              <m:sty m:val="p"/>
            </m:rPr>
            <w:rPr>
              <w:rFonts w:ascii="Cambria Math" w:hAnsi="Cambria Math"/>
            </w:rPr>
            <m:t>=</m:t>
          </m:r>
          <m:f>
            <m:fPr>
              <m:ctrlPr>
                <w:rPr>
                  <w:rFonts w:ascii="Cambria Math" w:hAnsi="Cambria Math"/>
                </w:rPr>
              </m:ctrlPr>
            </m:fPr>
            <m:num>
              <m:r>
                <w:rPr>
                  <w:rFonts w:ascii="Cambria Math" w:hAnsi="Cambria Math"/>
                </w:rPr>
                <m:t>number of times </m:t>
              </m:r>
              <m:r>
                <m:rPr>
                  <m:scr m:val="double-struck"/>
                  <m:sty m:val="p"/>
                </m:rPr>
                <w:rPr>
                  <w:rFonts w:ascii="Cambria Math" w:hAnsi="Cambria Math"/>
                </w:rPr>
                <m:t>P</m:t>
              </m:r>
              <m:d>
                <m:dPr>
                  <m:ctrlPr>
                    <w:rPr>
                      <w:rFonts w:ascii="Cambria Math" w:hAnsi="Cambria Math"/>
                    </w:rPr>
                  </m:ctrlPr>
                </m:dPr>
                <m:e>
                  <m:sSub>
                    <m:sSubPr>
                      <m:ctrlPr>
                        <w:rPr>
                          <w:rFonts w:ascii="Cambria Math" w:hAnsi="Cambria Math"/>
                        </w:rPr>
                      </m:ctrlPr>
                    </m:sSubPr>
                    <m:e>
                      <m:r>
                        <w:rPr>
                          <w:rFonts w:ascii="Cambria Math" w:hAnsi="Cambria Math"/>
                        </w:rPr>
                        <m:t>β</m:t>
                      </m:r>
                    </m:e>
                    <m:sub>
                      <m:r>
                        <w:rPr>
                          <w:rFonts w:ascii="Cambria Math" w:hAnsi="Cambria Math"/>
                        </w:rPr>
                        <m:t>1</m:t>
                      </m:r>
                    </m:sub>
                  </m:sSub>
                  <m:r>
                    <m:rPr>
                      <m:sty m:val="p"/>
                    </m:rPr>
                    <w:rPr>
                      <w:rFonts w:ascii="Cambria Math" w:hAnsi="Cambria Math"/>
                    </w:rPr>
                    <m:t>&gt;</m:t>
                  </m:r>
                  <m:r>
                    <w:rPr>
                      <w:rFonts w:ascii="Cambria Math" w:hAnsi="Cambria Math"/>
                    </w:rPr>
                    <m:t>1</m:t>
                  </m:r>
                  <m:r>
                    <m:rPr>
                      <m:sty m:val="p"/>
                    </m:rPr>
                    <w:rPr>
                      <w:rFonts w:ascii="Cambria Math" w:hAnsi="Cambria Math"/>
                    </w:rPr>
                    <m:t>|</m:t>
                  </m:r>
                  <m:r>
                    <w:rPr>
                      <w:rFonts w:ascii="Cambria Math" w:hAnsi="Cambria Math"/>
                    </w:rPr>
                    <m:t>Data</m:t>
                  </m:r>
                </m:e>
              </m:d>
              <m:r>
                <m:rPr>
                  <m:sty m:val="p"/>
                </m:rPr>
                <w:rPr>
                  <w:rFonts w:ascii="Cambria Math" w:hAnsi="Cambria Math"/>
                </w:rPr>
                <m:t>&gt;</m:t>
              </m:r>
              <m:sSub>
                <m:sSubPr>
                  <m:ctrlPr>
                    <w:rPr>
                      <w:rFonts w:ascii="Cambria Math" w:hAnsi="Cambria Math"/>
                    </w:rPr>
                  </m:ctrlPr>
                </m:sSubPr>
                <m:e>
                  <m:r>
                    <w:rPr>
                      <w:rFonts w:ascii="Cambria Math" w:hAnsi="Cambria Math"/>
                    </w:rPr>
                    <m:t>η</m:t>
                  </m:r>
                </m:e>
                <m:sub>
                  <m:r>
                    <w:rPr>
                      <w:rFonts w:ascii="Cambria Math" w:hAnsi="Cambria Math"/>
                    </w:rPr>
                    <m:t>final</m:t>
                  </m:r>
                </m:sub>
              </m:sSub>
            </m:num>
            <m:den>
              <m:r>
                <w:rPr>
                  <w:rFonts w:ascii="Cambria Math" w:hAnsi="Cambria Math"/>
                </w:rPr>
                <m:t>total number of iterations</m:t>
              </m:r>
            </m:den>
          </m:f>
        </m:oMath>
      </m:oMathPara>
    </w:p>
    <w:p w14:paraId="76449208" w14:textId="77777777" w:rsidR="003979FE" w:rsidRDefault="003979FE" w:rsidP="003979FE">
      <w:pPr>
        <w:pStyle w:val="FirstParagraph"/>
      </w:pPr>
      <w:r w:rsidRPr="00950DC2">
        <w:t xml:space="preserve">the trial will stop for futility if, at interim analysis </w:t>
      </w:r>
      <m:oMath>
        <m:r>
          <w:rPr>
            <w:rFonts w:ascii="Cambria Math" w:hAnsi="Cambria Math"/>
          </w:rPr>
          <m:t>k</m:t>
        </m:r>
      </m:oMath>
      <w:r w:rsidRPr="00950DC2">
        <w:t>:</w:t>
      </w:r>
    </w:p>
    <w:p w14:paraId="3FA325F5" w14:textId="77777777" w:rsidR="003979FE" w:rsidRDefault="003979FE" w:rsidP="003979FE">
      <w:pPr>
        <w:pStyle w:val="BodyText"/>
      </w:pPr>
      <m:oMathPara>
        <m:oMathParaPr>
          <m:jc m:val="center"/>
        </m:oMathParaPr>
        <m:oMath>
          <m:r>
            <w:rPr>
              <w:rFonts w:ascii="Cambria Math" w:hAnsi="Cambria Math"/>
            </w:rPr>
            <m:t>PPOS</m:t>
          </m:r>
          <m:r>
            <m:rPr>
              <m:sty m:val="p"/>
            </m:rPr>
            <w:rPr>
              <w:rFonts w:ascii="Cambria Math" w:hAnsi="Cambria Math"/>
            </w:rPr>
            <m:t>&lt;</m:t>
          </m:r>
          <m:r>
            <w:rPr>
              <w:rFonts w:ascii="Cambria Math" w:hAnsi="Cambria Math"/>
            </w:rPr>
            <m:t>γ</m:t>
          </m:r>
          <m:r>
            <m:rPr>
              <m:sty m:val="p"/>
            </m:rPr>
            <w:rPr>
              <w:rFonts w:ascii="Cambria Math" w:hAnsi="Cambria Math"/>
            </w:rPr>
            <m:t>.</m:t>
          </m:r>
        </m:oMath>
      </m:oMathPara>
    </w:p>
    <w:p w14:paraId="540145C3" w14:textId="77777777" w:rsidR="003979FE" w:rsidRPr="00EF630A" w:rsidRDefault="003979FE" w:rsidP="00EF630A">
      <w:pPr>
        <w:rPr>
          <w:highlight w:val="yellow"/>
          <w:lang w:eastAsia="x-none"/>
        </w:rPr>
      </w:pPr>
    </w:p>
    <w:p w14:paraId="08AF6760" w14:textId="77777777" w:rsidR="009B49AF" w:rsidRPr="009F73A8" w:rsidRDefault="009B49AF" w:rsidP="009B49AF">
      <w:pPr>
        <w:jc w:val="both"/>
      </w:pPr>
      <w:bookmarkStart w:id="23" w:name="references"/>
      <w:bookmarkEnd w:id="20"/>
      <w:bookmarkEnd w:id="22"/>
    </w:p>
    <w:p w14:paraId="6D5BFC1D" w14:textId="6446F965" w:rsidR="00074755" w:rsidRDefault="009B49AF" w:rsidP="006744A0">
      <w:pPr>
        <w:pStyle w:val="Heading1"/>
      </w:pPr>
      <w:r>
        <w:lastRenderedPageBreak/>
        <w:t xml:space="preserve">References </w:t>
      </w:r>
    </w:p>
    <w:sdt>
      <w:sdtPr>
        <w:rPr>
          <w:rFonts w:eastAsia="Times New Roman"/>
        </w:rPr>
        <w:tag w:val="MENDELEY_BIBLIOGRAPHY"/>
        <w:id w:val="-1433281805"/>
        <w:placeholder>
          <w:docPart w:val="DefaultPlaceholder_-1854013440"/>
        </w:placeholder>
      </w:sdtPr>
      <w:sdtEndPr/>
      <w:sdtContent>
        <w:p w14:paraId="25AC0242" w14:textId="77777777" w:rsidR="00074755" w:rsidRDefault="00074755">
          <w:pPr>
            <w:autoSpaceDE w:val="0"/>
            <w:autoSpaceDN w:val="0"/>
            <w:ind w:hanging="640"/>
            <w:divId w:val="1494177408"/>
            <w:rPr>
              <w:rFonts w:eastAsia="Times New Roman"/>
              <w:sz w:val="24"/>
              <w:szCs w:val="24"/>
            </w:rPr>
          </w:pPr>
          <w:r>
            <w:rPr>
              <w:rFonts w:eastAsia="Times New Roman"/>
            </w:rPr>
            <w:t>[1]</w:t>
          </w:r>
          <w:r>
            <w:rPr>
              <w:rFonts w:eastAsia="Times New Roman"/>
            </w:rPr>
            <w:tab/>
            <w:t xml:space="preserve">R. J. Bryant </w:t>
          </w:r>
          <w:r>
            <w:rPr>
              <w:rFonts w:eastAsia="Times New Roman"/>
              <w:i/>
              <w:iCs/>
            </w:rPr>
            <w:t>et al.</w:t>
          </w:r>
          <w:r>
            <w:rPr>
              <w:rFonts w:eastAsia="Times New Roman"/>
            </w:rPr>
            <w:t xml:space="preserve">, “Protocol for the TRANSLATE prospective, multicentre, randomised clinical trial of prostate biopsy technique,” </w:t>
          </w:r>
          <w:r>
            <w:rPr>
              <w:rFonts w:eastAsia="Times New Roman"/>
              <w:i/>
              <w:iCs/>
            </w:rPr>
            <w:t>BJU Int</w:t>
          </w:r>
          <w:r>
            <w:rPr>
              <w:rFonts w:eastAsia="Times New Roman"/>
            </w:rPr>
            <w:t xml:space="preserve">, 2023, </w:t>
          </w:r>
          <w:proofErr w:type="spellStart"/>
          <w:r>
            <w:rPr>
              <w:rFonts w:eastAsia="Times New Roman"/>
            </w:rPr>
            <w:t>doi</w:t>
          </w:r>
          <w:proofErr w:type="spellEnd"/>
          <w:r>
            <w:rPr>
              <w:rFonts w:eastAsia="Times New Roman"/>
            </w:rPr>
            <w:t>: 10.1111/bju.15978.</w:t>
          </w:r>
        </w:p>
        <w:p w14:paraId="52DF76B1" w14:textId="37E180EC" w:rsidR="00074755" w:rsidRDefault="00074755">
          <w:pPr>
            <w:autoSpaceDE w:val="0"/>
            <w:autoSpaceDN w:val="0"/>
            <w:ind w:hanging="640"/>
            <w:divId w:val="168256274"/>
            <w:rPr>
              <w:rFonts w:eastAsia="Times New Roman"/>
            </w:rPr>
          </w:pPr>
          <w:r>
            <w:rPr>
              <w:rFonts w:eastAsia="Times New Roman"/>
            </w:rPr>
            <w:t>[2]</w:t>
          </w:r>
          <w:r>
            <w:rPr>
              <w:rFonts w:eastAsia="Times New Roman"/>
            </w:rPr>
            <w:tab/>
            <w:t xml:space="preserve">John D. Cook, “Fast approximation of Beta inequalities” MD Anderson Cancer </w:t>
          </w:r>
          <w:proofErr w:type="spellStart"/>
          <w:r>
            <w:rPr>
              <w:rFonts w:eastAsia="Times New Roman"/>
            </w:rPr>
            <w:t>Center</w:t>
          </w:r>
          <w:proofErr w:type="spellEnd"/>
          <w:r>
            <w:rPr>
              <w:rFonts w:eastAsia="Times New Roman"/>
            </w:rPr>
            <w:t>, 2012.</w:t>
          </w:r>
        </w:p>
        <w:p w14:paraId="61D94089" w14:textId="77777777" w:rsidR="00074755" w:rsidRDefault="00074755">
          <w:pPr>
            <w:autoSpaceDE w:val="0"/>
            <w:autoSpaceDN w:val="0"/>
            <w:ind w:hanging="640"/>
            <w:divId w:val="1350569651"/>
            <w:rPr>
              <w:rFonts w:eastAsia="Times New Roman"/>
            </w:rPr>
          </w:pPr>
          <w:r>
            <w:rPr>
              <w:rFonts w:eastAsia="Times New Roman"/>
            </w:rPr>
            <w:t>[3]</w:t>
          </w:r>
          <w:r>
            <w:rPr>
              <w:rFonts w:eastAsia="Times New Roman"/>
            </w:rPr>
            <w:tab/>
            <w:t xml:space="preserve">A. Gelman, “Prior distributions for variance parameters in hierarchical models (comment on article by Browne and Draper),” </w:t>
          </w:r>
          <w:r>
            <w:rPr>
              <w:rFonts w:eastAsia="Times New Roman"/>
              <w:i/>
              <w:iCs/>
            </w:rPr>
            <w:t>Bayesian Anal</w:t>
          </w:r>
          <w:r>
            <w:rPr>
              <w:rFonts w:eastAsia="Times New Roman"/>
            </w:rPr>
            <w:t xml:space="preserve">, vol. 1, no. 3, Sep. 2006, </w:t>
          </w:r>
          <w:proofErr w:type="spellStart"/>
          <w:r>
            <w:rPr>
              <w:rFonts w:eastAsia="Times New Roman"/>
            </w:rPr>
            <w:t>doi</w:t>
          </w:r>
          <w:proofErr w:type="spellEnd"/>
          <w:r>
            <w:rPr>
              <w:rFonts w:eastAsia="Times New Roman"/>
            </w:rPr>
            <w:t>: 10.1214/06-BA117A.</w:t>
          </w:r>
        </w:p>
        <w:p w14:paraId="668DB89C" w14:textId="77777777" w:rsidR="00074755" w:rsidRDefault="00074755">
          <w:pPr>
            <w:autoSpaceDE w:val="0"/>
            <w:autoSpaceDN w:val="0"/>
            <w:ind w:hanging="640"/>
            <w:divId w:val="1917860969"/>
            <w:rPr>
              <w:rFonts w:eastAsia="Times New Roman"/>
            </w:rPr>
          </w:pPr>
          <w:r>
            <w:rPr>
              <w:rFonts w:eastAsia="Times New Roman"/>
            </w:rPr>
            <w:t>[4]</w:t>
          </w:r>
          <w:r>
            <w:rPr>
              <w:rFonts w:eastAsia="Times New Roman"/>
            </w:rPr>
            <w:tab/>
            <w:t xml:space="preserve">A. Gelman, A. </w:t>
          </w:r>
          <w:proofErr w:type="spellStart"/>
          <w:r>
            <w:rPr>
              <w:rFonts w:eastAsia="Times New Roman"/>
            </w:rPr>
            <w:t>Jakulin</w:t>
          </w:r>
          <w:proofErr w:type="spellEnd"/>
          <w:r>
            <w:rPr>
              <w:rFonts w:eastAsia="Times New Roman"/>
            </w:rPr>
            <w:t xml:space="preserve">, M. G. </w:t>
          </w:r>
          <w:proofErr w:type="spellStart"/>
          <w:r>
            <w:rPr>
              <w:rFonts w:eastAsia="Times New Roman"/>
            </w:rPr>
            <w:t>Pittau</w:t>
          </w:r>
          <w:proofErr w:type="spellEnd"/>
          <w:r>
            <w:rPr>
              <w:rFonts w:eastAsia="Times New Roman"/>
            </w:rPr>
            <w:t xml:space="preserve">, and Y.-S. Su, “A weakly informative default prior distribution for logistic and other regression models,” </w:t>
          </w:r>
          <w:r>
            <w:rPr>
              <w:rFonts w:eastAsia="Times New Roman"/>
              <w:i/>
              <w:iCs/>
            </w:rPr>
            <w:t>Ann Appl Stat</w:t>
          </w:r>
          <w:r>
            <w:rPr>
              <w:rFonts w:eastAsia="Times New Roman"/>
            </w:rPr>
            <w:t xml:space="preserve">, vol. 2, no. 4, Dec. 2008, </w:t>
          </w:r>
          <w:proofErr w:type="spellStart"/>
          <w:r>
            <w:rPr>
              <w:rFonts w:eastAsia="Times New Roman"/>
            </w:rPr>
            <w:t>doi</w:t>
          </w:r>
          <w:proofErr w:type="spellEnd"/>
          <w:r>
            <w:rPr>
              <w:rFonts w:eastAsia="Times New Roman"/>
            </w:rPr>
            <w:t>: 10.1214/08-AOAS191.</w:t>
          </w:r>
        </w:p>
        <w:p w14:paraId="30726CD2" w14:textId="65F027A4" w:rsidR="00074755" w:rsidRDefault="00074755" w:rsidP="009B49AF">
          <w:pPr>
            <w:autoSpaceDE w:val="0"/>
            <w:autoSpaceDN w:val="0"/>
            <w:ind w:hanging="640"/>
            <w:rPr>
              <w:rFonts w:eastAsia="Times New Roman"/>
            </w:rPr>
          </w:pPr>
          <w:r>
            <w:rPr>
              <w:rFonts w:eastAsia="Times New Roman"/>
            </w:rPr>
            <w:t> </w:t>
          </w:r>
        </w:p>
      </w:sdtContent>
    </w:sdt>
    <w:bookmarkEnd w:id="23"/>
    <w:p w14:paraId="651CD1F5" w14:textId="77777777" w:rsidR="00081E36" w:rsidRDefault="00081E36" w:rsidP="00081E36">
      <w:pPr>
        <w:jc w:val="both"/>
      </w:pPr>
    </w:p>
    <w:p w14:paraId="1DAF8916" w14:textId="77777777" w:rsidR="00424670" w:rsidRDefault="00424670"/>
    <w:sectPr w:rsidR="00424670">
      <w:footerReference w:type="default" r:id="rId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74D8F2" w14:textId="77777777" w:rsidR="0094497B" w:rsidRDefault="0094497B">
      <w:pPr>
        <w:spacing w:after="0" w:line="240" w:lineRule="auto"/>
      </w:pPr>
      <w:r>
        <w:separator/>
      </w:r>
    </w:p>
  </w:endnote>
  <w:endnote w:type="continuationSeparator" w:id="0">
    <w:p w14:paraId="648115A4" w14:textId="77777777" w:rsidR="0094497B" w:rsidRDefault="009449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ED2D28" w14:textId="38970A24" w:rsidR="0094497B" w:rsidRDefault="000D70E5" w:rsidP="000B0111">
    <w:pPr>
      <w:pStyle w:val="Footer"/>
    </w:pPr>
    <w:r>
      <w:t>TRANSLATE_BayesianAnalysisPlan_V</w:t>
    </w:r>
    <w:r w:rsidR="002E1D8B">
      <w:t>1</w:t>
    </w:r>
    <w:r w:rsidR="006744A0">
      <w:t>.</w:t>
    </w:r>
    <w:bookmarkStart w:id="24" w:name="_Hlk138245753"/>
    <w:r w:rsidR="006744A0">
      <w:t>0</w:t>
    </w:r>
    <w:r>
      <w:t>_</w:t>
    </w:r>
    <w:proofErr w:type="gramStart"/>
    <w:r w:rsidR="006744A0">
      <w:t>31</w:t>
    </w:r>
    <w:r w:rsidR="00EF630A">
      <w:t>J</w:t>
    </w:r>
    <w:r w:rsidR="002F46D6">
      <w:t>an</w:t>
    </w:r>
    <w:r>
      <w:t>202</w:t>
    </w:r>
    <w:r w:rsidR="002F46D6">
      <w:t>4</w:t>
    </w:r>
    <w:bookmarkEnd w:id="24"/>
    <w:proofErr w:type="gramEnd"/>
  </w:p>
  <w:p w14:paraId="7DEA1F89" w14:textId="77777777" w:rsidR="0094497B" w:rsidRDefault="009449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454ACD" w14:textId="77777777" w:rsidR="0094497B" w:rsidRDefault="0094497B">
      <w:pPr>
        <w:spacing w:after="0" w:line="240" w:lineRule="auto"/>
      </w:pPr>
      <w:r>
        <w:separator/>
      </w:r>
    </w:p>
  </w:footnote>
  <w:footnote w:type="continuationSeparator" w:id="0">
    <w:p w14:paraId="09D92819" w14:textId="77777777" w:rsidR="0094497B" w:rsidRDefault="009449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A991"/>
    <w:multiLevelType w:val="multilevel"/>
    <w:tmpl w:val="6478CC02"/>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abstractNum w:abstractNumId="1" w15:restartNumberingAfterBreak="0">
    <w:nsid w:val="00A99411"/>
    <w:multiLevelType w:val="multilevel"/>
    <w:tmpl w:val="C6A2D2C8"/>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2" w15:restartNumberingAfterBreak="0">
    <w:nsid w:val="02BD4521"/>
    <w:multiLevelType w:val="hybridMultilevel"/>
    <w:tmpl w:val="8E8CFAC4"/>
    <w:lvl w:ilvl="0" w:tplc="D31A47DE">
      <w:start w:val="1"/>
      <w:numFmt w:val="decimal"/>
      <w:lvlText w:val="%1.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5594F03"/>
    <w:multiLevelType w:val="hybridMultilevel"/>
    <w:tmpl w:val="F44CCFDA"/>
    <w:lvl w:ilvl="0" w:tplc="08090001">
      <w:start w:val="1"/>
      <w:numFmt w:val="bullet"/>
      <w:lvlText w:val=""/>
      <w:lvlJc w:val="left"/>
      <w:pPr>
        <w:ind w:left="2330" w:hanging="360"/>
      </w:pPr>
      <w:rPr>
        <w:rFonts w:ascii="Symbol" w:hAnsi="Symbol" w:hint="default"/>
      </w:rPr>
    </w:lvl>
    <w:lvl w:ilvl="1" w:tplc="08090003" w:tentative="1">
      <w:start w:val="1"/>
      <w:numFmt w:val="bullet"/>
      <w:lvlText w:val="o"/>
      <w:lvlJc w:val="left"/>
      <w:pPr>
        <w:ind w:left="3050" w:hanging="360"/>
      </w:pPr>
      <w:rPr>
        <w:rFonts w:ascii="Courier New" w:hAnsi="Courier New" w:cs="Courier New" w:hint="default"/>
      </w:rPr>
    </w:lvl>
    <w:lvl w:ilvl="2" w:tplc="08090005" w:tentative="1">
      <w:start w:val="1"/>
      <w:numFmt w:val="bullet"/>
      <w:lvlText w:val=""/>
      <w:lvlJc w:val="left"/>
      <w:pPr>
        <w:ind w:left="3770" w:hanging="360"/>
      </w:pPr>
      <w:rPr>
        <w:rFonts w:ascii="Wingdings" w:hAnsi="Wingdings" w:hint="default"/>
      </w:rPr>
    </w:lvl>
    <w:lvl w:ilvl="3" w:tplc="08090001" w:tentative="1">
      <w:start w:val="1"/>
      <w:numFmt w:val="bullet"/>
      <w:lvlText w:val=""/>
      <w:lvlJc w:val="left"/>
      <w:pPr>
        <w:ind w:left="4490" w:hanging="360"/>
      </w:pPr>
      <w:rPr>
        <w:rFonts w:ascii="Symbol" w:hAnsi="Symbol" w:hint="default"/>
      </w:rPr>
    </w:lvl>
    <w:lvl w:ilvl="4" w:tplc="08090003" w:tentative="1">
      <w:start w:val="1"/>
      <w:numFmt w:val="bullet"/>
      <w:lvlText w:val="o"/>
      <w:lvlJc w:val="left"/>
      <w:pPr>
        <w:ind w:left="5210" w:hanging="360"/>
      </w:pPr>
      <w:rPr>
        <w:rFonts w:ascii="Courier New" w:hAnsi="Courier New" w:cs="Courier New" w:hint="default"/>
      </w:rPr>
    </w:lvl>
    <w:lvl w:ilvl="5" w:tplc="08090005" w:tentative="1">
      <w:start w:val="1"/>
      <w:numFmt w:val="bullet"/>
      <w:lvlText w:val=""/>
      <w:lvlJc w:val="left"/>
      <w:pPr>
        <w:ind w:left="5930" w:hanging="360"/>
      </w:pPr>
      <w:rPr>
        <w:rFonts w:ascii="Wingdings" w:hAnsi="Wingdings" w:hint="default"/>
      </w:rPr>
    </w:lvl>
    <w:lvl w:ilvl="6" w:tplc="08090001" w:tentative="1">
      <w:start w:val="1"/>
      <w:numFmt w:val="bullet"/>
      <w:lvlText w:val=""/>
      <w:lvlJc w:val="left"/>
      <w:pPr>
        <w:ind w:left="6650" w:hanging="360"/>
      </w:pPr>
      <w:rPr>
        <w:rFonts w:ascii="Symbol" w:hAnsi="Symbol" w:hint="default"/>
      </w:rPr>
    </w:lvl>
    <w:lvl w:ilvl="7" w:tplc="08090003" w:tentative="1">
      <w:start w:val="1"/>
      <w:numFmt w:val="bullet"/>
      <w:lvlText w:val="o"/>
      <w:lvlJc w:val="left"/>
      <w:pPr>
        <w:ind w:left="7370" w:hanging="360"/>
      </w:pPr>
      <w:rPr>
        <w:rFonts w:ascii="Courier New" w:hAnsi="Courier New" w:cs="Courier New" w:hint="default"/>
      </w:rPr>
    </w:lvl>
    <w:lvl w:ilvl="8" w:tplc="08090005" w:tentative="1">
      <w:start w:val="1"/>
      <w:numFmt w:val="bullet"/>
      <w:lvlText w:val=""/>
      <w:lvlJc w:val="left"/>
      <w:pPr>
        <w:ind w:left="8090" w:hanging="360"/>
      </w:pPr>
      <w:rPr>
        <w:rFonts w:ascii="Wingdings" w:hAnsi="Wingdings" w:hint="default"/>
      </w:rPr>
    </w:lvl>
  </w:abstractNum>
  <w:abstractNum w:abstractNumId="4" w15:restartNumberingAfterBreak="0">
    <w:nsid w:val="06021BBB"/>
    <w:multiLevelType w:val="hybridMultilevel"/>
    <w:tmpl w:val="07EC3236"/>
    <w:lvl w:ilvl="0" w:tplc="BA80601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5134034"/>
    <w:multiLevelType w:val="hybridMultilevel"/>
    <w:tmpl w:val="9F90E4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5923AEF"/>
    <w:multiLevelType w:val="multilevel"/>
    <w:tmpl w:val="8ABAA360"/>
    <w:lvl w:ilvl="0">
      <w:start w:val="1"/>
      <w:numFmt w:val="decimal"/>
      <w:pStyle w:val="Heading2"/>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21E8041B"/>
    <w:multiLevelType w:val="hybridMultilevel"/>
    <w:tmpl w:val="760C3D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63736B6"/>
    <w:multiLevelType w:val="hybridMultilevel"/>
    <w:tmpl w:val="436CFA06"/>
    <w:lvl w:ilvl="0" w:tplc="4F341064">
      <w:start w:val="1"/>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32616CBA"/>
    <w:multiLevelType w:val="hybridMultilevel"/>
    <w:tmpl w:val="0C7C65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9A46FA6"/>
    <w:multiLevelType w:val="multilevel"/>
    <w:tmpl w:val="95869BE6"/>
    <w:lvl w:ilvl="0">
      <w:start w:val="1"/>
      <w:numFmt w:val="decimal"/>
      <w:lvlText w:val="%1."/>
      <w:lvlJc w:val="left"/>
      <w:pPr>
        <w:tabs>
          <w:tab w:val="num" w:pos="567"/>
        </w:tabs>
        <w:ind w:left="284" w:hanging="284"/>
      </w:pPr>
      <w:rPr>
        <w:rFonts w:asciiTheme="minorHAnsi" w:hAnsiTheme="minorHAnsi" w:hint="default"/>
        <w:b/>
        <w:i w:val="0"/>
        <w:caps/>
        <w:color w:val="993366"/>
        <w:sz w:val="24"/>
        <w:szCs w:val="24"/>
      </w:rPr>
    </w:lvl>
    <w:lvl w:ilvl="1">
      <w:start w:val="1"/>
      <w:numFmt w:val="decimal"/>
      <w:lvlText w:val="%1.%2"/>
      <w:lvlJc w:val="left"/>
      <w:pPr>
        <w:tabs>
          <w:tab w:val="num" w:pos="567"/>
        </w:tabs>
        <w:ind w:left="284" w:hanging="284"/>
      </w:pPr>
      <w:rPr>
        <w:rFonts w:asciiTheme="minorHAnsi" w:hAnsiTheme="minorHAnsi" w:hint="default"/>
        <w:b/>
        <w:bCs w:val="0"/>
        <w:i w:val="0"/>
        <w:iCs w:val="0"/>
        <w:caps w:val="0"/>
        <w:smallCaps w:val="0"/>
        <w:strike w:val="0"/>
        <w:dstrike w:val="0"/>
        <w:noProof w:val="0"/>
        <w:vanish w:val="0"/>
        <w:color w:val="00000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tabs>
          <w:tab w:val="num" w:pos="567"/>
        </w:tabs>
        <w:ind w:left="284" w:hanging="284"/>
      </w:pPr>
      <w:rPr>
        <w:rFonts w:asciiTheme="minorHAnsi" w:hAnsiTheme="minorHAnsi" w:hint="default"/>
        <w:b/>
        <w:sz w:val="22"/>
        <w:szCs w:val="22"/>
      </w:rPr>
    </w:lvl>
    <w:lvl w:ilvl="3">
      <w:start w:val="1"/>
      <w:numFmt w:val="decimal"/>
      <w:lvlText w:val="%1.%2.%3.%4"/>
      <w:lvlJc w:val="left"/>
      <w:pPr>
        <w:tabs>
          <w:tab w:val="num" w:pos="567"/>
        </w:tabs>
        <w:ind w:left="284" w:hanging="284"/>
      </w:pPr>
      <w:rPr>
        <w:rFonts w:hint="default"/>
      </w:rPr>
    </w:lvl>
    <w:lvl w:ilvl="4">
      <w:start w:val="1"/>
      <w:numFmt w:val="decimal"/>
      <w:lvlText w:val="%1.%2.%3.%4.%5"/>
      <w:lvlJc w:val="left"/>
      <w:pPr>
        <w:tabs>
          <w:tab w:val="num" w:pos="567"/>
        </w:tabs>
        <w:ind w:left="284" w:hanging="284"/>
      </w:pPr>
      <w:rPr>
        <w:rFonts w:hint="default"/>
      </w:rPr>
    </w:lvl>
    <w:lvl w:ilvl="5">
      <w:start w:val="1"/>
      <w:numFmt w:val="decimal"/>
      <w:lvlText w:val="%1.%2.%3.%4.%5.%6"/>
      <w:lvlJc w:val="left"/>
      <w:pPr>
        <w:tabs>
          <w:tab w:val="num" w:pos="567"/>
        </w:tabs>
        <w:ind w:left="284" w:hanging="284"/>
      </w:pPr>
      <w:rPr>
        <w:rFonts w:hint="default"/>
      </w:rPr>
    </w:lvl>
    <w:lvl w:ilvl="6">
      <w:start w:val="1"/>
      <w:numFmt w:val="decimal"/>
      <w:lvlText w:val="%1.%2.%3.%4.%5.%6.%7"/>
      <w:lvlJc w:val="left"/>
      <w:pPr>
        <w:tabs>
          <w:tab w:val="num" w:pos="567"/>
        </w:tabs>
        <w:ind w:left="284" w:hanging="284"/>
      </w:pPr>
      <w:rPr>
        <w:rFonts w:hint="default"/>
      </w:rPr>
    </w:lvl>
    <w:lvl w:ilvl="7">
      <w:start w:val="1"/>
      <w:numFmt w:val="decimal"/>
      <w:lvlText w:val="%1.%2.%3.%4.%5.%6.%7.%8"/>
      <w:lvlJc w:val="left"/>
      <w:pPr>
        <w:tabs>
          <w:tab w:val="num" w:pos="567"/>
        </w:tabs>
        <w:ind w:left="284" w:hanging="284"/>
      </w:pPr>
      <w:rPr>
        <w:rFonts w:hint="default"/>
      </w:rPr>
    </w:lvl>
    <w:lvl w:ilvl="8">
      <w:start w:val="1"/>
      <w:numFmt w:val="decimal"/>
      <w:lvlText w:val="%1.%2.%3.%4.%5.%6.%7.%8.%9"/>
      <w:lvlJc w:val="left"/>
      <w:pPr>
        <w:tabs>
          <w:tab w:val="num" w:pos="567"/>
        </w:tabs>
        <w:ind w:left="284" w:hanging="284"/>
      </w:pPr>
      <w:rPr>
        <w:rFonts w:hint="default"/>
      </w:rPr>
    </w:lvl>
  </w:abstractNum>
  <w:abstractNum w:abstractNumId="11" w15:restartNumberingAfterBreak="0">
    <w:nsid w:val="4C1E4CDA"/>
    <w:multiLevelType w:val="hybridMultilevel"/>
    <w:tmpl w:val="556EF370"/>
    <w:lvl w:ilvl="0" w:tplc="FFFFFFFF">
      <w:start w:val="1"/>
      <w:numFmt w:val="bullet"/>
      <w:lvlText w:val=""/>
      <w:lvlJc w:val="left"/>
      <w:pPr>
        <w:tabs>
          <w:tab w:val="num" w:pos="786"/>
        </w:tabs>
        <w:ind w:left="786"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Tahoma"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Tahoma"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Tahoma"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ED34B3E"/>
    <w:multiLevelType w:val="multilevel"/>
    <w:tmpl w:val="874868D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5BDC5EFE"/>
    <w:multiLevelType w:val="hybridMultilevel"/>
    <w:tmpl w:val="20384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6602B62"/>
    <w:multiLevelType w:val="hybridMultilevel"/>
    <w:tmpl w:val="93C445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25A3F0B"/>
    <w:multiLevelType w:val="hybridMultilevel"/>
    <w:tmpl w:val="4B02FC80"/>
    <w:lvl w:ilvl="0" w:tplc="A000ABE6">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345764E"/>
    <w:multiLevelType w:val="hybridMultilevel"/>
    <w:tmpl w:val="C48CDC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5198295">
    <w:abstractNumId w:val="14"/>
  </w:num>
  <w:num w:numId="2" w16cid:durableId="2038119012">
    <w:abstractNumId w:val="9"/>
  </w:num>
  <w:num w:numId="3" w16cid:durableId="2065324001">
    <w:abstractNumId w:val="8"/>
  </w:num>
  <w:num w:numId="4" w16cid:durableId="2056538626">
    <w:abstractNumId w:val="10"/>
  </w:num>
  <w:num w:numId="5" w16cid:durableId="967051673">
    <w:abstractNumId w:val="3"/>
  </w:num>
  <w:num w:numId="6" w16cid:durableId="405877354">
    <w:abstractNumId w:val="12"/>
  </w:num>
  <w:num w:numId="7" w16cid:durableId="1964729447">
    <w:abstractNumId w:val="6"/>
  </w:num>
  <w:num w:numId="8" w16cid:durableId="1788811225">
    <w:abstractNumId w:val="15"/>
  </w:num>
  <w:num w:numId="9" w16cid:durableId="167451513">
    <w:abstractNumId w:val="4"/>
  </w:num>
  <w:num w:numId="10" w16cid:durableId="1953319360">
    <w:abstractNumId w:val="5"/>
  </w:num>
  <w:num w:numId="11" w16cid:durableId="381100701">
    <w:abstractNumId w:val="16"/>
  </w:num>
  <w:num w:numId="12" w16cid:durableId="1252853745">
    <w:abstractNumId w:val="2"/>
  </w:num>
  <w:num w:numId="13" w16cid:durableId="322391263">
    <w:abstractNumId w:val="2"/>
    <w:lvlOverride w:ilvl="0">
      <w:startOverride w:val="4"/>
    </w:lvlOverride>
  </w:num>
  <w:num w:numId="14" w16cid:durableId="1168525009">
    <w:abstractNumId w:val="13"/>
  </w:num>
  <w:num w:numId="15" w16cid:durableId="460463173">
    <w:abstractNumId w:val="7"/>
  </w:num>
  <w:num w:numId="16" w16cid:durableId="9556637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468667778">
    <w:abstractNumId w:val="11"/>
  </w:num>
  <w:num w:numId="18" w16cid:durableId="80570596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988585823">
    <w:abstractNumId w:val="0"/>
  </w:num>
  <w:num w:numId="20" w16cid:durableId="53778890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4705455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1032686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1E36"/>
    <w:rsid w:val="00063DEF"/>
    <w:rsid w:val="00074755"/>
    <w:rsid w:val="00081E36"/>
    <w:rsid w:val="000D70E5"/>
    <w:rsid w:val="000E6125"/>
    <w:rsid w:val="00272BAA"/>
    <w:rsid w:val="002E1D8B"/>
    <w:rsid w:val="002F0D4A"/>
    <w:rsid w:val="002F46D6"/>
    <w:rsid w:val="003233ED"/>
    <w:rsid w:val="00346FE2"/>
    <w:rsid w:val="003979FE"/>
    <w:rsid w:val="00413594"/>
    <w:rsid w:val="00424670"/>
    <w:rsid w:val="00563287"/>
    <w:rsid w:val="005C59CE"/>
    <w:rsid w:val="005C5F36"/>
    <w:rsid w:val="006744A0"/>
    <w:rsid w:val="006930E6"/>
    <w:rsid w:val="007204CD"/>
    <w:rsid w:val="00794A42"/>
    <w:rsid w:val="007A258E"/>
    <w:rsid w:val="007A4D7B"/>
    <w:rsid w:val="0094497B"/>
    <w:rsid w:val="009667BA"/>
    <w:rsid w:val="009864FA"/>
    <w:rsid w:val="009B49AF"/>
    <w:rsid w:val="00AC638B"/>
    <w:rsid w:val="00AC6C59"/>
    <w:rsid w:val="00BE1B60"/>
    <w:rsid w:val="00C0765F"/>
    <w:rsid w:val="00D32E18"/>
    <w:rsid w:val="00D517EE"/>
    <w:rsid w:val="00EF630A"/>
    <w:rsid w:val="00F064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2F8685"/>
  <w15:chartTrackingRefBased/>
  <w15:docId w15:val="{F164F2FC-073B-4599-9C2A-3161DC6CB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1E36"/>
  </w:style>
  <w:style w:type="paragraph" w:styleId="Heading1">
    <w:name w:val="heading 1"/>
    <w:basedOn w:val="Normal"/>
    <w:next w:val="Normal"/>
    <w:link w:val="Heading1Char"/>
    <w:autoRedefine/>
    <w:qFormat/>
    <w:rsid w:val="00081E36"/>
    <w:pPr>
      <w:keepNext/>
      <w:suppressAutoHyphens/>
      <w:spacing w:before="60" w:after="120" w:line="240" w:lineRule="auto"/>
      <w:jc w:val="both"/>
      <w:outlineLvl w:val="0"/>
    </w:pPr>
    <w:rPr>
      <w:rFonts w:eastAsia="Times New Roman" w:cs="Times New Roman"/>
      <w:b/>
      <w:caps/>
      <w:color w:val="993366"/>
      <w:sz w:val="24"/>
      <w:szCs w:val="24"/>
    </w:rPr>
  </w:style>
  <w:style w:type="paragraph" w:styleId="Heading2">
    <w:name w:val="heading 2"/>
    <w:basedOn w:val="Normal"/>
    <w:next w:val="Normal"/>
    <w:link w:val="Heading2Char"/>
    <w:autoRedefine/>
    <w:qFormat/>
    <w:rsid w:val="009B49AF"/>
    <w:pPr>
      <w:keepNext/>
      <w:numPr>
        <w:numId w:val="7"/>
      </w:numPr>
      <w:suppressAutoHyphens/>
      <w:spacing w:before="60" w:after="120" w:line="240" w:lineRule="auto"/>
      <w:outlineLvl w:val="1"/>
    </w:pPr>
    <w:rPr>
      <w:rFonts w:eastAsia="Times New Roman" w:cs="Times New Roman"/>
      <w:b/>
      <w:color w:val="000000"/>
      <w:sz w:val="24"/>
      <w:szCs w:val="2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81E36"/>
    <w:rPr>
      <w:rFonts w:eastAsia="Times New Roman" w:cs="Times New Roman"/>
      <w:b/>
      <w:caps/>
      <w:color w:val="993366"/>
      <w:sz w:val="24"/>
      <w:szCs w:val="24"/>
    </w:rPr>
  </w:style>
  <w:style w:type="character" w:customStyle="1" w:styleId="Heading2Char">
    <w:name w:val="Heading 2 Char"/>
    <w:basedOn w:val="DefaultParagraphFont"/>
    <w:link w:val="Heading2"/>
    <w:rsid w:val="009B49AF"/>
    <w:rPr>
      <w:rFonts w:eastAsia="Times New Roman" w:cs="Times New Roman"/>
      <w:b/>
      <w:color w:val="000000"/>
      <w:sz w:val="24"/>
      <w:szCs w:val="20"/>
      <w:lang w:eastAsia="x-none"/>
    </w:rPr>
  </w:style>
  <w:style w:type="paragraph" w:styleId="ListParagraph">
    <w:name w:val="List Paragraph"/>
    <w:basedOn w:val="Normal"/>
    <w:uiPriority w:val="34"/>
    <w:qFormat/>
    <w:rsid w:val="00081E36"/>
    <w:pPr>
      <w:ind w:left="720"/>
      <w:contextualSpacing/>
    </w:pPr>
  </w:style>
  <w:style w:type="paragraph" w:customStyle="1" w:styleId="Default">
    <w:name w:val="Default"/>
    <w:rsid w:val="00081E36"/>
    <w:pPr>
      <w:autoSpaceDE w:val="0"/>
      <w:autoSpaceDN w:val="0"/>
      <w:adjustRightInd w:val="0"/>
      <w:spacing w:after="0" w:line="240" w:lineRule="auto"/>
    </w:pPr>
    <w:rPr>
      <w:rFonts w:ascii="Calibri" w:hAnsi="Calibri" w:cs="Calibri"/>
      <w:color w:val="000000"/>
      <w:sz w:val="24"/>
      <w:szCs w:val="24"/>
    </w:rPr>
  </w:style>
  <w:style w:type="character" w:customStyle="1" w:styleId="complextitleprimary">
    <w:name w:val="complextitle_primary"/>
    <w:basedOn w:val="DefaultParagraphFont"/>
    <w:rsid w:val="00081E36"/>
  </w:style>
  <w:style w:type="paragraph" w:styleId="Header">
    <w:name w:val="header"/>
    <w:aliases w:val="Page Header,En-tête1"/>
    <w:basedOn w:val="Normal"/>
    <w:link w:val="HeaderChar"/>
    <w:unhideWhenUsed/>
    <w:rsid w:val="00081E36"/>
    <w:pPr>
      <w:tabs>
        <w:tab w:val="center" w:pos="4513"/>
        <w:tab w:val="right" w:pos="9026"/>
      </w:tabs>
      <w:spacing w:after="0" w:line="240" w:lineRule="auto"/>
    </w:pPr>
  </w:style>
  <w:style w:type="character" w:customStyle="1" w:styleId="HeaderChar">
    <w:name w:val="Header Char"/>
    <w:aliases w:val="Page Header Char,En-tête1 Char"/>
    <w:basedOn w:val="DefaultParagraphFont"/>
    <w:link w:val="Header"/>
    <w:rsid w:val="00081E36"/>
  </w:style>
  <w:style w:type="paragraph" w:styleId="Footer">
    <w:name w:val="footer"/>
    <w:basedOn w:val="Normal"/>
    <w:link w:val="FooterChar"/>
    <w:uiPriority w:val="99"/>
    <w:unhideWhenUsed/>
    <w:rsid w:val="00081E36"/>
    <w:pPr>
      <w:tabs>
        <w:tab w:val="center" w:pos="4513"/>
        <w:tab w:val="right" w:pos="9026"/>
      </w:tabs>
      <w:spacing w:after="0" w:line="240" w:lineRule="auto"/>
    </w:pPr>
  </w:style>
  <w:style w:type="character" w:customStyle="1" w:styleId="FooterChar">
    <w:name w:val="Footer Char"/>
    <w:basedOn w:val="DefaultParagraphFont"/>
    <w:link w:val="Footer"/>
    <w:uiPriority w:val="99"/>
    <w:rsid w:val="00081E36"/>
  </w:style>
  <w:style w:type="paragraph" w:styleId="Revision">
    <w:name w:val="Revision"/>
    <w:hidden/>
    <w:uiPriority w:val="99"/>
    <w:semiHidden/>
    <w:rsid w:val="00081E36"/>
    <w:pPr>
      <w:spacing w:after="0" w:line="240" w:lineRule="auto"/>
    </w:pPr>
  </w:style>
  <w:style w:type="character" w:styleId="Hyperlink">
    <w:name w:val="Hyperlink"/>
    <w:basedOn w:val="DefaultParagraphFont"/>
    <w:uiPriority w:val="99"/>
    <w:unhideWhenUsed/>
    <w:rsid w:val="00081E36"/>
    <w:rPr>
      <w:color w:val="0563C1" w:themeColor="hyperlink"/>
      <w:u w:val="single"/>
    </w:rPr>
  </w:style>
  <w:style w:type="character" w:customStyle="1" w:styleId="UnresolvedMention1">
    <w:name w:val="Unresolved Mention1"/>
    <w:basedOn w:val="DefaultParagraphFont"/>
    <w:uiPriority w:val="99"/>
    <w:semiHidden/>
    <w:unhideWhenUsed/>
    <w:rsid w:val="00081E36"/>
    <w:rPr>
      <w:color w:val="605E5C"/>
      <w:shd w:val="clear" w:color="auto" w:fill="E1DFDD"/>
    </w:rPr>
  </w:style>
  <w:style w:type="character" w:styleId="CommentReference">
    <w:name w:val="annotation reference"/>
    <w:basedOn w:val="DefaultParagraphFont"/>
    <w:uiPriority w:val="99"/>
    <w:semiHidden/>
    <w:unhideWhenUsed/>
    <w:rsid w:val="00081E36"/>
    <w:rPr>
      <w:sz w:val="16"/>
      <w:szCs w:val="16"/>
    </w:rPr>
  </w:style>
  <w:style w:type="paragraph" w:styleId="CommentText">
    <w:name w:val="annotation text"/>
    <w:basedOn w:val="Normal"/>
    <w:link w:val="CommentTextChar"/>
    <w:uiPriority w:val="99"/>
    <w:unhideWhenUsed/>
    <w:rsid w:val="00081E36"/>
    <w:pPr>
      <w:spacing w:line="240" w:lineRule="auto"/>
    </w:pPr>
    <w:rPr>
      <w:sz w:val="20"/>
      <w:szCs w:val="20"/>
    </w:rPr>
  </w:style>
  <w:style w:type="character" w:customStyle="1" w:styleId="CommentTextChar">
    <w:name w:val="Comment Text Char"/>
    <w:basedOn w:val="DefaultParagraphFont"/>
    <w:link w:val="CommentText"/>
    <w:uiPriority w:val="99"/>
    <w:rsid w:val="00081E36"/>
    <w:rPr>
      <w:sz w:val="20"/>
      <w:szCs w:val="20"/>
    </w:rPr>
  </w:style>
  <w:style w:type="paragraph" w:styleId="CommentSubject">
    <w:name w:val="annotation subject"/>
    <w:basedOn w:val="CommentText"/>
    <w:next w:val="CommentText"/>
    <w:link w:val="CommentSubjectChar"/>
    <w:uiPriority w:val="99"/>
    <w:semiHidden/>
    <w:unhideWhenUsed/>
    <w:rsid w:val="00081E36"/>
    <w:rPr>
      <w:b/>
      <w:bCs/>
    </w:rPr>
  </w:style>
  <w:style w:type="character" w:customStyle="1" w:styleId="CommentSubjectChar">
    <w:name w:val="Comment Subject Char"/>
    <w:basedOn w:val="CommentTextChar"/>
    <w:link w:val="CommentSubject"/>
    <w:uiPriority w:val="99"/>
    <w:semiHidden/>
    <w:rsid w:val="00081E36"/>
    <w:rPr>
      <w:b/>
      <w:bCs/>
      <w:sz w:val="20"/>
      <w:szCs w:val="20"/>
    </w:rPr>
  </w:style>
  <w:style w:type="paragraph" w:styleId="BalloonText">
    <w:name w:val="Balloon Text"/>
    <w:basedOn w:val="Normal"/>
    <w:link w:val="BalloonTextChar"/>
    <w:uiPriority w:val="99"/>
    <w:semiHidden/>
    <w:unhideWhenUsed/>
    <w:rsid w:val="00081E3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1E36"/>
    <w:rPr>
      <w:rFonts w:ascii="Segoe UI" w:hAnsi="Segoe UI" w:cs="Segoe UI"/>
      <w:sz w:val="18"/>
      <w:szCs w:val="18"/>
    </w:rPr>
  </w:style>
  <w:style w:type="character" w:styleId="FollowedHyperlink">
    <w:name w:val="FollowedHyperlink"/>
    <w:basedOn w:val="DefaultParagraphFont"/>
    <w:uiPriority w:val="99"/>
    <w:semiHidden/>
    <w:unhideWhenUsed/>
    <w:rsid w:val="00081E36"/>
    <w:rPr>
      <w:color w:val="954F72" w:themeColor="followedHyperlink"/>
      <w:u w:val="single"/>
    </w:rPr>
  </w:style>
  <w:style w:type="character" w:customStyle="1" w:styleId="UnresolvedMention2">
    <w:name w:val="Unresolved Mention2"/>
    <w:basedOn w:val="DefaultParagraphFont"/>
    <w:uiPriority w:val="99"/>
    <w:semiHidden/>
    <w:unhideWhenUsed/>
    <w:rsid w:val="00081E36"/>
    <w:rPr>
      <w:color w:val="605E5C"/>
      <w:shd w:val="clear" w:color="auto" w:fill="E1DFDD"/>
    </w:rPr>
  </w:style>
  <w:style w:type="character" w:customStyle="1" w:styleId="hgkelc">
    <w:name w:val="hgkelc"/>
    <w:basedOn w:val="DefaultParagraphFont"/>
    <w:rsid w:val="00081E36"/>
  </w:style>
  <w:style w:type="table" w:styleId="TableGrid">
    <w:name w:val="Table Grid"/>
    <w:basedOn w:val="TableNormal"/>
    <w:uiPriority w:val="39"/>
    <w:rsid w:val="00081E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81E36"/>
    <w:pPr>
      <w:spacing w:after="200" w:line="240" w:lineRule="auto"/>
    </w:pPr>
    <w:rPr>
      <w:i/>
      <w:iCs/>
      <w:color w:val="44546A" w:themeColor="text2"/>
      <w:sz w:val="18"/>
      <w:szCs w:val="18"/>
    </w:rPr>
  </w:style>
  <w:style w:type="character" w:styleId="PlaceholderText">
    <w:name w:val="Placeholder Text"/>
    <w:basedOn w:val="DefaultParagraphFont"/>
    <w:uiPriority w:val="99"/>
    <w:semiHidden/>
    <w:rsid w:val="00081E36"/>
    <w:rPr>
      <w:color w:val="808080"/>
    </w:rPr>
  </w:style>
  <w:style w:type="paragraph" w:styleId="TOCHeading">
    <w:name w:val="TOC Heading"/>
    <w:basedOn w:val="Heading1"/>
    <w:next w:val="Normal"/>
    <w:uiPriority w:val="39"/>
    <w:unhideWhenUsed/>
    <w:qFormat/>
    <w:rsid w:val="00081E36"/>
    <w:pPr>
      <w:keepLines/>
      <w:suppressAutoHyphens w:val="0"/>
      <w:spacing w:before="240" w:after="0" w:line="259" w:lineRule="auto"/>
      <w:jc w:val="left"/>
      <w:outlineLvl w:val="9"/>
    </w:pPr>
    <w:rPr>
      <w:rFonts w:asciiTheme="majorHAnsi" w:eastAsiaTheme="majorEastAsia" w:hAnsiTheme="majorHAnsi" w:cstheme="majorBidi"/>
      <w:b w:val="0"/>
      <w:caps w:val="0"/>
      <w:color w:val="2E74B5" w:themeColor="accent1" w:themeShade="BF"/>
      <w:sz w:val="32"/>
      <w:szCs w:val="32"/>
      <w:lang w:val="en-US"/>
    </w:rPr>
  </w:style>
  <w:style w:type="paragraph" w:styleId="TOC1">
    <w:name w:val="toc 1"/>
    <w:basedOn w:val="Normal"/>
    <w:next w:val="Normal"/>
    <w:autoRedefine/>
    <w:uiPriority w:val="39"/>
    <w:unhideWhenUsed/>
    <w:rsid w:val="009864FA"/>
    <w:pPr>
      <w:tabs>
        <w:tab w:val="left" w:pos="440"/>
        <w:tab w:val="right" w:leader="dot" w:pos="9016"/>
      </w:tabs>
      <w:spacing w:after="100"/>
    </w:pPr>
  </w:style>
  <w:style w:type="character" w:customStyle="1" w:styleId="UnresolvedMention3">
    <w:name w:val="Unresolved Mention3"/>
    <w:basedOn w:val="DefaultParagraphFont"/>
    <w:uiPriority w:val="99"/>
    <w:semiHidden/>
    <w:unhideWhenUsed/>
    <w:rsid w:val="00081E36"/>
    <w:rPr>
      <w:color w:val="605E5C"/>
      <w:shd w:val="clear" w:color="auto" w:fill="E1DFDD"/>
    </w:rPr>
  </w:style>
  <w:style w:type="paragraph" w:styleId="TOC2">
    <w:name w:val="toc 2"/>
    <w:basedOn w:val="Normal"/>
    <w:next w:val="Normal"/>
    <w:autoRedefine/>
    <w:uiPriority w:val="39"/>
    <w:unhideWhenUsed/>
    <w:rsid w:val="00081E36"/>
    <w:pPr>
      <w:spacing w:after="100"/>
      <w:ind w:left="220"/>
    </w:pPr>
  </w:style>
  <w:style w:type="character" w:styleId="Emphasis">
    <w:name w:val="Emphasis"/>
    <w:basedOn w:val="DefaultParagraphFont"/>
    <w:uiPriority w:val="20"/>
    <w:qFormat/>
    <w:rsid w:val="00081E36"/>
    <w:rPr>
      <w:i/>
      <w:iCs/>
    </w:rPr>
  </w:style>
  <w:style w:type="paragraph" w:styleId="BodyText">
    <w:name w:val="Body Text"/>
    <w:basedOn w:val="Normal"/>
    <w:link w:val="BodyTextChar"/>
    <w:qFormat/>
    <w:rsid w:val="00081E36"/>
    <w:pPr>
      <w:spacing w:before="180" w:after="180" w:line="240" w:lineRule="auto"/>
    </w:pPr>
    <w:rPr>
      <w:sz w:val="24"/>
      <w:szCs w:val="24"/>
      <w:lang w:val="en-US"/>
    </w:rPr>
  </w:style>
  <w:style w:type="character" w:customStyle="1" w:styleId="BodyTextChar">
    <w:name w:val="Body Text Char"/>
    <w:basedOn w:val="DefaultParagraphFont"/>
    <w:link w:val="BodyText"/>
    <w:rsid w:val="00081E36"/>
    <w:rPr>
      <w:sz w:val="24"/>
      <w:szCs w:val="24"/>
      <w:lang w:val="en-US"/>
    </w:rPr>
  </w:style>
  <w:style w:type="paragraph" w:customStyle="1" w:styleId="FirstParagraph">
    <w:name w:val="First Paragraph"/>
    <w:basedOn w:val="BodyText"/>
    <w:next w:val="BodyText"/>
    <w:qFormat/>
    <w:rsid w:val="00081E36"/>
  </w:style>
  <w:style w:type="paragraph" w:customStyle="1" w:styleId="Compact">
    <w:name w:val="Compact"/>
    <w:basedOn w:val="BodyText"/>
    <w:qFormat/>
    <w:rsid w:val="00081E36"/>
    <w:pPr>
      <w:spacing w:before="36" w:after="36"/>
    </w:pPr>
  </w:style>
  <w:style w:type="paragraph" w:styleId="Title">
    <w:name w:val="Title"/>
    <w:basedOn w:val="Normal"/>
    <w:next w:val="BodyText"/>
    <w:link w:val="TitleChar"/>
    <w:qFormat/>
    <w:rsid w:val="00081E36"/>
    <w:pPr>
      <w:keepNext/>
      <w:keepLines/>
      <w:spacing w:before="480" w:after="240" w:line="240" w:lineRule="auto"/>
      <w:jc w:val="center"/>
    </w:pPr>
    <w:rPr>
      <w:rFonts w:asciiTheme="majorHAnsi" w:eastAsiaTheme="majorEastAsia" w:hAnsiTheme="majorHAnsi" w:cstheme="majorBidi"/>
      <w:b/>
      <w:bCs/>
      <w:color w:val="2C6EAB" w:themeColor="accent1" w:themeShade="B5"/>
      <w:sz w:val="36"/>
      <w:szCs w:val="36"/>
      <w:lang w:val="en-US"/>
    </w:rPr>
  </w:style>
  <w:style w:type="character" w:customStyle="1" w:styleId="TitleChar">
    <w:name w:val="Title Char"/>
    <w:basedOn w:val="DefaultParagraphFont"/>
    <w:link w:val="Title"/>
    <w:rsid w:val="00081E36"/>
    <w:rPr>
      <w:rFonts w:asciiTheme="majorHAnsi" w:eastAsiaTheme="majorEastAsia" w:hAnsiTheme="majorHAnsi" w:cstheme="majorBidi"/>
      <w:b/>
      <w:bCs/>
      <w:color w:val="2C6EAB" w:themeColor="accent1" w:themeShade="B5"/>
      <w:sz w:val="36"/>
      <w:szCs w:val="36"/>
      <w:lang w:val="en-US"/>
    </w:rPr>
  </w:style>
  <w:style w:type="paragraph" w:customStyle="1" w:styleId="Author">
    <w:name w:val="Author"/>
    <w:next w:val="BodyText"/>
    <w:qFormat/>
    <w:rsid w:val="00081E36"/>
    <w:pPr>
      <w:keepNext/>
      <w:keepLines/>
      <w:spacing w:after="200" w:line="240" w:lineRule="auto"/>
      <w:jc w:val="center"/>
    </w:pPr>
    <w:rPr>
      <w:sz w:val="24"/>
      <w:szCs w:val="24"/>
      <w:lang w:val="en-US"/>
    </w:rPr>
  </w:style>
  <w:style w:type="paragraph" w:styleId="Date">
    <w:name w:val="Date"/>
    <w:next w:val="BodyText"/>
    <w:link w:val="DateChar"/>
    <w:qFormat/>
    <w:rsid w:val="00081E36"/>
    <w:pPr>
      <w:keepNext/>
      <w:keepLines/>
      <w:spacing w:after="200" w:line="240" w:lineRule="auto"/>
      <w:jc w:val="center"/>
    </w:pPr>
    <w:rPr>
      <w:sz w:val="24"/>
      <w:szCs w:val="24"/>
      <w:lang w:val="en-US"/>
    </w:rPr>
  </w:style>
  <w:style w:type="character" w:customStyle="1" w:styleId="DateChar">
    <w:name w:val="Date Char"/>
    <w:basedOn w:val="DefaultParagraphFont"/>
    <w:link w:val="Date"/>
    <w:rsid w:val="00081E36"/>
    <w:rPr>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811799">
      <w:bodyDiv w:val="1"/>
      <w:marLeft w:val="0"/>
      <w:marRight w:val="0"/>
      <w:marTop w:val="0"/>
      <w:marBottom w:val="0"/>
      <w:divBdr>
        <w:top w:val="none" w:sz="0" w:space="0" w:color="auto"/>
        <w:left w:val="none" w:sz="0" w:space="0" w:color="auto"/>
        <w:bottom w:val="none" w:sz="0" w:space="0" w:color="auto"/>
        <w:right w:val="none" w:sz="0" w:space="0" w:color="auto"/>
      </w:divBdr>
      <w:divsChild>
        <w:div w:id="628240791">
          <w:marLeft w:val="640"/>
          <w:marRight w:val="0"/>
          <w:marTop w:val="0"/>
          <w:marBottom w:val="0"/>
          <w:divBdr>
            <w:top w:val="none" w:sz="0" w:space="0" w:color="auto"/>
            <w:left w:val="none" w:sz="0" w:space="0" w:color="auto"/>
            <w:bottom w:val="none" w:sz="0" w:space="0" w:color="auto"/>
            <w:right w:val="none" w:sz="0" w:space="0" w:color="auto"/>
          </w:divBdr>
        </w:div>
        <w:div w:id="312222507">
          <w:marLeft w:val="640"/>
          <w:marRight w:val="0"/>
          <w:marTop w:val="0"/>
          <w:marBottom w:val="0"/>
          <w:divBdr>
            <w:top w:val="none" w:sz="0" w:space="0" w:color="auto"/>
            <w:left w:val="none" w:sz="0" w:space="0" w:color="auto"/>
            <w:bottom w:val="none" w:sz="0" w:space="0" w:color="auto"/>
            <w:right w:val="none" w:sz="0" w:space="0" w:color="auto"/>
          </w:divBdr>
        </w:div>
        <w:div w:id="1161507597">
          <w:marLeft w:val="640"/>
          <w:marRight w:val="0"/>
          <w:marTop w:val="0"/>
          <w:marBottom w:val="0"/>
          <w:divBdr>
            <w:top w:val="none" w:sz="0" w:space="0" w:color="auto"/>
            <w:left w:val="none" w:sz="0" w:space="0" w:color="auto"/>
            <w:bottom w:val="none" w:sz="0" w:space="0" w:color="auto"/>
            <w:right w:val="none" w:sz="0" w:space="0" w:color="auto"/>
          </w:divBdr>
        </w:div>
      </w:divsChild>
    </w:div>
    <w:div w:id="874733120">
      <w:bodyDiv w:val="1"/>
      <w:marLeft w:val="0"/>
      <w:marRight w:val="0"/>
      <w:marTop w:val="0"/>
      <w:marBottom w:val="0"/>
      <w:divBdr>
        <w:top w:val="none" w:sz="0" w:space="0" w:color="auto"/>
        <w:left w:val="none" w:sz="0" w:space="0" w:color="auto"/>
        <w:bottom w:val="none" w:sz="0" w:space="0" w:color="auto"/>
        <w:right w:val="none" w:sz="0" w:space="0" w:color="auto"/>
      </w:divBdr>
      <w:divsChild>
        <w:div w:id="1494177408">
          <w:marLeft w:val="640"/>
          <w:marRight w:val="0"/>
          <w:marTop w:val="0"/>
          <w:marBottom w:val="0"/>
          <w:divBdr>
            <w:top w:val="none" w:sz="0" w:space="0" w:color="auto"/>
            <w:left w:val="none" w:sz="0" w:space="0" w:color="auto"/>
            <w:bottom w:val="none" w:sz="0" w:space="0" w:color="auto"/>
            <w:right w:val="none" w:sz="0" w:space="0" w:color="auto"/>
          </w:divBdr>
        </w:div>
        <w:div w:id="168256274">
          <w:marLeft w:val="640"/>
          <w:marRight w:val="0"/>
          <w:marTop w:val="0"/>
          <w:marBottom w:val="0"/>
          <w:divBdr>
            <w:top w:val="none" w:sz="0" w:space="0" w:color="auto"/>
            <w:left w:val="none" w:sz="0" w:space="0" w:color="auto"/>
            <w:bottom w:val="none" w:sz="0" w:space="0" w:color="auto"/>
            <w:right w:val="none" w:sz="0" w:space="0" w:color="auto"/>
          </w:divBdr>
        </w:div>
        <w:div w:id="1350569651">
          <w:marLeft w:val="640"/>
          <w:marRight w:val="0"/>
          <w:marTop w:val="0"/>
          <w:marBottom w:val="0"/>
          <w:divBdr>
            <w:top w:val="none" w:sz="0" w:space="0" w:color="auto"/>
            <w:left w:val="none" w:sz="0" w:space="0" w:color="auto"/>
            <w:bottom w:val="none" w:sz="0" w:space="0" w:color="auto"/>
            <w:right w:val="none" w:sz="0" w:space="0" w:color="auto"/>
          </w:divBdr>
        </w:div>
        <w:div w:id="1917860969">
          <w:marLeft w:val="640"/>
          <w:marRight w:val="0"/>
          <w:marTop w:val="0"/>
          <w:marBottom w:val="0"/>
          <w:divBdr>
            <w:top w:val="none" w:sz="0" w:space="0" w:color="auto"/>
            <w:left w:val="none" w:sz="0" w:space="0" w:color="auto"/>
            <w:bottom w:val="none" w:sz="0" w:space="0" w:color="auto"/>
            <w:right w:val="none" w:sz="0" w:space="0" w:color="auto"/>
          </w:divBdr>
        </w:div>
      </w:divsChild>
    </w:div>
    <w:div w:id="1062365835">
      <w:bodyDiv w:val="1"/>
      <w:marLeft w:val="0"/>
      <w:marRight w:val="0"/>
      <w:marTop w:val="0"/>
      <w:marBottom w:val="0"/>
      <w:divBdr>
        <w:top w:val="none" w:sz="0" w:space="0" w:color="auto"/>
        <w:left w:val="none" w:sz="0" w:space="0" w:color="auto"/>
        <w:bottom w:val="none" w:sz="0" w:space="0" w:color="auto"/>
        <w:right w:val="none" w:sz="0" w:space="0" w:color="auto"/>
      </w:divBdr>
      <w:divsChild>
        <w:div w:id="371350774">
          <w:marLeft w:val="640"/>
          <w:marRight w:val="0"/>
          <w:marTop w:val="0"/>
          <w:marBottom w:val="0"/>
          <w:divBdr>
            <w:top w:val="none" w:sz="0" w:space="0" w:color="auto"/>
            <w:left w:val="none" w:sz="0" w:space="0" w:color="auto"/>
            <w:bottom w:val="none" w:sz="0" w:space="0" w:color="auto"/>
            <w:right w:val="none" w:sz="0" w:space="0" w:color="auto"/>
          </w:divBdr>
        </w:div>
        <w:div w:id="2071422793">
          <w:marLeft w:val="640"/>
          <w:marRight w:val="0"/>
          <w:marTop w:val="0"/>
          <w:marBottom w:val="0"/>
          <w:divBdr>
            <w:top w:val="none" w:sz="0" w:space="0" w:color="auto"/>
            <w:left w:val="none" w:sz="0" w:space="0" w:color="auto"/>
            <w:bottom w:val="none" w:sz="0" w:space="0" w:color="auto"/>
            <w:right w:val="none" w:sz="0" w:space="0" w:color="auto"/>
          </w:divBdr>
        </w:div>
        <w:div w:id="1989892194">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g"/><Relationship Id="rId18" Type="http://schemas.openxmlformats.org/officeDocument/2006/relationships/hyperlink" Target="mailto:jane.holmes@phc.ox.ac.uk"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mailto:alastair.lamb@nds.ox.ac.uk" TargetMode="External"/><Relationship Id="rId2" Type="http://schemas.openxmlformats.org/officeDocument/2006/relationships/customXml" Target="../customXml/item2.xml"/><Relationship Id="rId16" Type="http://schemas.openxmlformats.org/officeDocument/2006/relationships/hyperlink" Target="mailto:richard.bryant@nds.ox.ac.uk"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ioana.marian@csm.ox.ac.uk"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mailto:matthew.parkes@manchester.ac.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alexander.ooms@ndorms.ox.ac.uk" TargetMode="External"/><Relationship Id="rId22"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CE923830D63B40049225632187FDAD1F"/>
        <w:category>
          <w:name w:val="General"/>
          <w:gallery w:val="placeholder"/>
        </w:category>
        <w:types>
          <w:type w:val="bbPlcHdr"/>
        </w:types>
        <w:behaviors>
          <w:behavior w:val="content"/>
        </w:behaviors>
        <w:guid w:val="{451870D9-53AD-4C0A-AD11-0F3E76DE9264}"/>
      </w:docPartPr>
      <w:docPartBody>
        <w:p w:rsidR="009C1321" w:rsidRDefault="00B44132" w:rsidP="00B44132">
          <w:pPr>
            <w:pStyle w:val="CE923830D63B40049225632187FDAD1F"/>
          </w:pPr>
          <w:r w:rsidRPr="001D59F0">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55E65855-EA1A-4AA1-A680-43D5A1BD0BC0}"/>
      </w:docPartPr>
      <w:docPartBody>
        <w:p w:rsidR="00F333C6" w:rsidRDefault="00F333C6">
          <w:r w:rsidRPr="001F5F29">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4132"/>
    <w:rsid w:val="00993E5D"/>
    <w:rsid w:val="009C1321"/>
    <w:rsid w:val="00B44132"/>
    <w:rsid w:val="00C57770"/>
    <w:rsid w:val="00F333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333C6"/>
    <w:rPr>
      <w:color w:val="808080"/>
    </w:rPr>
  </w:style>
  <w:style w:type="paragraph" w:customStyle="1" w:styleId="CE923830D63B40049225632187FDAD1F">
    <w:name w:val="CE923830D63B40049225632187FDAD1F"/>
    <w:rsid w:val="00B4413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743C631-B122-49CE-B3C1-10501A1C2EC7}">
  <we:reference id="wa104382081" version="1.55.1.0" store="en-GB" storeType="OMEX"/>
  <we:alternateReferences>
    <we:reference id="wa104382081" version="1.55.1.0" store="" storeType="OMEX"/>
  </we:alternateReferences>
  <we:properties>
    <we:property name="MENDELEY_CITATIONS" value="[{&quot;citationID&quot;:&quot;MENDELEY_CITATION_79772509-ebc3-49da-b39a-86162eefed6e&quot;,&quot;properties&quot;:{&quot;noteIndex&quot;:0},&quot;isEdited&quot;:false,&quot;manualOverride&quot;:{&quot;isManuallyOverridden&quot;:false,&quot;citeprocText&quot;:&quot;[1]&quot;,&quot;manualOverrideText&quot;:&quot;&quot;},&quot;citationTag&quot;:&quot;MENDELEY_CITATION_v3_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&quot;,&quot;citationItems&quot;:[{&quot;id&quot;:&quot;e1075e90-1012-3449-a01e-3fb0ed8594a1&quot;,&quot;itemData&quot;:{&quot;type&quot;:&quot;article-journal&quot;,&quot;id&quot;:&quot;e1075e90-1012-3449-a01e-3fb0ed8594a1&quot;,&quot;title&quot;:&quot;Protocol for the TRANSLATE prospective, multicentre, randomised clinical trial of prostate biopsy technique&quot;,&quot;author&quot;:[{&quot;family&quot;:&quot;Bryant&quot;,&quot;given&quot;:&quot;R.J.&quot;,&quot;parse-names&quot;:false,&quot;dropping-particle&quot;:&quot;&quot;,&quot;non-dropping-particle&quot;:&quot;&quot;},{&quot;family&quot;:&quot;Yamamoto&quot;,&quot;given&quot;:&quot;H.&quot;,&quot;parse-names&quot;:false,&quot;dropping-particle&quot;:&quot;&quot;,&quot;non-dropping-particle&quot;:&quot;&quot;},{&quot;family&quot;:&quot;Eddy&quot;,&quot;given&quot;:&quot;B.&quot;,&quot;parse-names&quot;:false,&quot;dropping-particle&quot;:&quot;&quot;,&quot;non-dropping-particle&quot;:&quot;&quot;},{&quot;family&quot;:&quot;Kommu&quot;,&quot;given&quot;:&quot;S.&quot;,&quot;parse-names&quot;:false,&quot;dropping-particle&quot;:&quot;&quot;,&quot;non-dropping-particle&quot;:&quot;&quot;},{&quot;family&quot;:&quot;Narahari&quot;,&quot;given&quot;:&quot;K.&quot;,&quot;parse-names&quot;:false,&quot;dropping-particle&quot;:&quot;&quot;,&quot;non-dropping-particle&quot;:&quot;&quot;},{&quot;family&quot;:&quot;Omer&quot;,&quot;given&quot;:&quot;A.&quot;,&quot;parse-names&quot;:false,&quot;dropping-particle&quot;:&quot;&quot;,&quot;non-dropping-particle&quot;:&quot;&quot;},{&quot;family&quot;:&quot;Leslie&quot;,&quot;given&quot;:&quot;T.&quot;,&quot;parse-names&quot;:false,&quot;dropping-particle&quot;:&quot;&quot;,&quot;non-dropping-particle&quot;:&quot;&quot;},{&quot;family&quot;:&quot;Catto&quot;,&quot;given&quot;:&quot;J.W.F.&quot;,&quot;parse-names&quot;:false,&quot;dropping-particle&quot;:&quot;&quot;,&quot;non-dropping-particle&quot;:&quot;&quot;},{&quot;family&quot;:&quot;Rosario&quot;,&quot;given&quot;:&quot;D.J.&quot;,&quot;parse-names&quot;:false,&quot;dropping-particle&quot;:&quot;&quot;,&quot;non-dropping-particle&quot;:&quot;&quot;},{&quot;family&quot;:&quot;Good&quot;,&quot;given&quot;:&quot;D.W.&quot;,&quot;parse-names&quot;:false,&quot;dropping-particle&quot;:&quot;&quot;,&quot;non-dropping-particle&quot;:&quot;&quot;},{&quot;family&quot;:&quot;Gray&quot;,&quot;given&quot;:&quot;R.&quot;,&quot;parse-names&quot;:false,&quot;dropping-particle&quot;:&quot;&quot;,&quot;non-dropping-particle&quot;:&quot;&quot;},{&quot;family&quot;:&quot;Liew&quot;,&quot;given&quot;:&quot;M.P.C.&quot;,&quot;parse-names&quot;:false,&quot;dropping-particle&quot;:&quot;&quot;,&quot;non-dropping-particle&quot;:&quot;&quot;},{&quot;family&quot;:&quot;Lopez&quot;,&quot;given&quot;:&quot;J.F.&quot;,&quot;parse-names&quot;:false,&quot;dropping-particle&quot;:&quot;&quot;,&quot;non-dropping-particle&quot;:&quot;&quot;},{&quot;family&quot;:&quot;Campbell&quot;,&quot;given&quot;:&quot;T.&quot;,&quot;parse-names&quot;:false,&quot;dropping-particle&quot;:&quot;&quot;,&quot;non-dropping-particle&quot;:&quot;&quot;},{&quot;family&quot;:&quot;Reynard&quot;,&quot;given&quot;:&quot;J.M.&quot;,&quot;parse-names&quot;:false,&quot;dropping-particle&quot;:&quot;&quot;,&quot;non-dropping-particle&quot;:&quot;&quot;},{&quot;family&quot;:&quot;Tuck&quot;,&quot;given&quot;:&quot;S.&quot;,&quot;parse-names&quot;:false,&quot;dropping-particle&quot;:&quot;&quot;,&quot;non-dropping-particle&quot;:&quot;&quot;},{&quot;family&quot;:&quot;Barber&quot;,&quot;given&quot;:&quot;V.S.&quot;,&quot;parse-names&quot;:false,&quot;dropping-particle&quot;:&quot;&quot;,&quot;non-dropping-particle&quot;:&quot;&quot;},{&quot;family&quot;:&quot;Medeghri&quot;,&quot;given&quot;:&quot;N.&quot;,&quot;parse-names&quot;:false,&quot;dropping-particle&quot;:&quot;&quot;,&quot;non-dropping-particle&quot;:&quot;&quot;},{&quot;family&quot;:&quot;Davies&quot;,&quot;given&quot;:&quot;L.&quot;,&quot;parse-names&quot;:false,&quot;dropping-particle&quot;:&quot;&quot;,&quot;non-dropping-particle&quot;:&quot;&quot;},{&quot;family&quot;:&quot;Parkes&quot;,&quot;given&quot;:&quot;M.&quot;,&quot;parse-names&quot;:false,&quot;dropping-particle&quot;:&quot;&quot;,&quot;non-dropping-particle&quot;:&quot;&quot;},{&quot;family&quot;:&quot;Hewitt&quot;,&quot;given&quot;:&quot;A.&quot;,&quot;parse-names&quot;:false,&quot;dropping-particle&quot;:&quot;&quot;,&quot;non-dropping-particle&quot;:&quot;&quot;},{&quot;family&quot;:&quot;Landeiro&quot;,&quot;given&quot;:&quot;F.&quot;,&quot;parse-names&quot;:false,&quot;dropping-particle&quot;:&quot;&quot;,&quot;non-dropping-particle&quot;:&quot;&quot;},{&quot;family&quot;:&quot;Wolstenholme&quot;,&quot;given&quot;:&quot;J.&quot;,&quot;parse-names&quot;:false,&quot;dropping-particle&quot;:&quot;&quot;,&quot;non-dropping-particle&quot;:&quot;&quot;},{&quot;family&quot;:&quot;Macpherson&quot;,&quot;given&quot;:&quot;R.&quot;,&quot;parse-names&quot;:false,&quot;dropping-particle&quot;:&quot;&quot;,&quot;non-dropping-particle&quot;:&quot;&quot;},{&quot;family&quot;:&quot;Verrill&quot;,&quot;given&quot;:&quot;C.&quot;,&quot;parse-names&quot;:false,&quot;dropping-particle&quot;:&quot;&quot;,&quot;non-dropping-particle&quot;:&quot;&quot;},{&quot;family&quot;:&quot;Marian&quot;,&quot;given&quot;:&quot;I.R.&quot;,&quot;parse-names&quot;:false,&quot;dropping-particle&quot;:&quot;&quot;,&quot;non-dropping-particle&quot;:&quot;&quot;},{&quot;family&quot;:&quot;Williams&quot;,&quot;given&quot;:&quot;R.&quot;,&quot;parse-names&quot;:false,&quot;dropping-particle&quot;:&quot;&quot;,&quot;non-dropping-particle&quot;:&quot;&quot;},{&quot;family&quot;:&quot;Hamdy&quot;,&quot;given&quot;:&quot;F.C.&quot;,&quot;parse-names&quot;:false,&quot;dropping-particle&quot;:&quot;&quot;,&quot;non-dropping-particle&quot;:&quot;&quot;},{&quot;family&quot;:&quot;Lamb&quot;,&quot;given&quot;:&quot;A.D.&quot;,&quot;parse-names&quot;:false,&quot;dropping-particle&quot;:&quot;&quot;,&quot;non-dropping-particle&quot;:&quot;&quot;}],&quot;container-title&quot;:&quot;BJU International&quot;,&quot;container-title-short&quot;:&quot;BJU Int&quot;,&quot;DOI&quot;:&quot;10.1111/bju.15978&quot;,&quot;ISSN&quot;:&quot;1464410X&quot;,&quot;issued&quot;:{&quot;date-parts&quot;:[[2023]]},&quot;abstract&quot;:&quot;Objectives: Primary objectives: to determine whether local anaesthetic transperineal prostate (LATP) biopsy improves the detection of clinically significant prostate cancer (csPCa), defined as International Society of Urological Pathology (ISUP) Grade Group ≥2 disease (i.e., any Gleason pattern 4 disease), compared to transrectal ultrasound-guided (TRUS) prostate biopsy, in biopsy-naïve men undergoing biopsy based on suspicion of csPCa. Secondary objectives: to compare (i) infection rates, (ii) health-related quality of life, (iii) patient-reported procedure tolerability, (iv) patient-reported biopsy-related complications (including bleeding, bruising, pain, loss of erectile function), (v) number of subsequent prostate biopsy procedures required, (vi) cost-effectiveness, (vii) other histological parameters, and (viii) burden and rate of detection of clinically insignificant PCa (ISUP Grade Group 1 disease) in men undergoing these two types of prostate biopsy. Patients and Methods: The TRANSLATE trial is a UK-wide, multicentre, randomised clinical trial that meets the criteria for level-one evidence in diagnostic test evaluation. TRANSLATE is investigating whether LATP biopsy leads to a higher rate of detection of csPCa compared to TRUS prostate biopsy. Both biopsies are being performed with an average of 12 systematic cores in six sectors (depending on prostate size), plus three to five target cores per multiparametric/bi-parametric magnetic resonance imaging lesion. LATP biopsy is performed using an ultrasound probe-mounted needle-guidance device (either the ‘Precision-Point’ or BK UA1232 system). TRUS biopsy is performed according to each hospital's standard practice. The study is 90% powered to detect a 10% difference (LATP biopsy hypothesised at 55% detection rate for csPCa vs 45% for TRUS biopsy). A total of 1042 biopsy-naïve men referred with suspected PCa need to be recruited. Conclusions: This trial will provide robust prospective data to determine the diagnostic ability of LATP biopsy vs TRUS biopsy in the primary diagnostic setting.&quot;},&quot;isTemporary&quot;:false}]},{&quot;citationID&quot;:&quot;MENDELEY_CITATION_94b66aad-7b47-49c7-b688-656a8ac82c03&quot;,&quot;properties&quot;:{&quot;noteIndex&quot;:0},&quot;isEdited&quot;:false,&quot;manualOverride&quot;:{&quot;isManuallyOverridden&quot;:false,&quot;citeprocText&quot;:&quot;[1]&quot;,&quot;manualOverrideText&quot;:&quot;&quot;},&quot;citationTag&quot;:&quot;MENDELEY_CITATION_v3_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&quot;,&quot;citationItems&quot;:[{&quot;id&quot;:&quot;e1075e90-1012-3449-a01e-3fb0ed8594a1&quot;,&quot;itemData&quot;:{&quot;type&quot;:&quot;article-journal&quot;,&quot;id&quot;:&quot;e1075e90-1012-3449-a01e-3fb0ed8594a1&quot;,&quot;title&quot;:&quot;Protocol for the TRANSLATE prospective, multicentre, randomised clinical trial of prostate biopsy technique&quot;,&quot;author&quot;:[{&quot;family&quot;:&quot;Bryant&quot;,&quot;given&quot;:&quot;R.J.&quot;,&quot;parse-names&quot;:false,&quot;dropping-particle&quot;:&quot;&quot;,&quot;non-dropping-particle&quot;:&quot;&quot;},{&quot;family&quot;:&quot;Yamamoto&quot;,&quot;given&quot;:&quot;H.&quot;,&quot;parse-names&quot;:false,&quot;dropping-particle&quot;:&quot;&quot;,&quot;non-dropping-particle&quot;:&quot;&quot;},{&quot;family&quot;:&quot;Eddy&quot;,&quot;given&quot;:&quot;B.&quot;,&quot;parse-names&quot;:false,&quot;dropping-particle&quot;:&quot;&quot;,&quot;non-dropping-particle&quot;:&quot;&quot;},{&quot;family&quot;:&quot;Kommu&quot;,&quot;given&quot;:&quot;S.&quot;,&quot;parse-names&quot;:false,&quot;dropping-particle&quot;:&quot;&quot;,&quot;non-dropping-particle&quot;:&quot;&quot;},{&quot;family&quot;:&quot;Narahari&quot;,&quot;given&quot;:&quot;K.&quot;,&quot;parse-names&quot;:false,&quot;dropping-particle&quot;:&quot;&quot;,&quot;non-dropping-particle&quot;:&quot;&quot;},{&quot;family&quot;:&quot;Omer&quot;,&quot;given&quot;:&quot;A.&quot;,&quot;parse-names&quot;:false,&quot;dropping-particle&quot;:&quot;&quot;,&quot;non-dropping-particle&quot;:&quot;&quot;},{&quot;family&quot;:&quot;Leslie&quot;,&quot;given&quot;:&quot;T.&quot;,&quot;parse-names&quot;:false,&quot;dropping-particle&quot;:&quot;&quot;,&quot;non-dropping-particle&quot;:&quot;&quot;},{&quot;family&quot;:&quot;Catto&quot;,&quot;given&quot;:&quot;J.W.F.&quot;,&quot;parse-names&quot;:false,&quot;dropping-particle&quot;:&quot;&quot;,&quot;non-dropping-particle&quot;:&quot;&quot;},{&quot;family&quot;:&quot;Rosario&quot;,&quot;given&quot;:&quot;D.J.&quot;,&quot;parse-names&quot;:false,&quot;dropping-particle&quot;:&quot;&quot;,&quot;non-dropping-particle&quot;:&quot;&quot;},{&quot;family&quot;:&quot;Good&quot;,&quot;given&quot;:&quot;D.W.&quot;,&quot;parse-names&quot;:false,&quot;dropping-particle&quot;:&quot;&quot;,&quot;non-dropping-particle&quot;:&quot;&quot;},{&quot;family&quot;:&quot;Gray&quot;,&quot;given&quot;:&quot;R.&quot;,&quot;parse-names&quot;:false,&quot;dropping-particle&quot;:&quot;&quot;,&quot;non-dropping-particle&quot;:&quot;&quot;},{&quot;family&quot;:&quot;Liew&quot;,&quot;given&quot;:&quot;M.P.C.&quot;,&quot;parse-names&quot;:false,&quot;dropping-particle&quot;:&quot;&quot;,&quot;non-dropping-particle&quot;:&quot;&quot;},{&quot;family&quot;:&quot;Lopez&quot;,&quot;given&quot;:&quot;J.F.&quot;,&quot;parse-names&quot;:false,&quot;dropping-particle&quot;:&quot;&quot;,&quot;non-dropping-particle&quot;:&quot;&quot;},{&quot;family&quot;:&quot;Campbell&quot;,&quot;given&quot;:&quot;T.&quot;,&quot;parse-names&quot;:false,&quot;dropping-particle&quot;:&quot;&quot;,&quot;non-dropping-particle&quot;:&quot;&quot;},{&quot;family&quot;:&quot;Reynard&quot;,&quot;given&quot;:&quot;J.M.&quot;,&quot;parse-names&quot;:false,&quot;dropping-particle&quot;:&quot;&quot;,&quot;non-dropping-particle&quot;:&quot;&quot;},{&quot;family&quot;:&quot;Tuck&quot;,&quot;given&quot;:&quot;S.&quot;,&quot;parse-names&quot;:false,&quot;dropping-particle&quot;:&quot;&quot;,&quot;non-dropping-particle&quot;:&quot;&quot;},{&quot;family&quot;:&quot;Barber&quot;,&quot;given&quot;:&quot;V.S.&quot;,&quot;parse-names&quot;:false,&quot;dropping-particle&quot;:&quot;&quot;,&quot;non-dropping-particle&quot;:&quot;&quot;},{&quot;family&quot;:&quot;Medeghri&quot;,&quot;given&quot;:&quot;N.&quot;,&quot;parse-names&quot;:false,&quot;dropping-particle&quot;:&quot;&quot;,&quot;non-dropping-particle&quot;:&quot;&quot;},{&quot;family&quot;:&quot;Davies&quot;,&quot;given&quot;:&quot;L.&quot;,&quot;parse-names&quot;:false,&quot;dropping-particle&quot;:&quot;&quot;,&quot;non-dropping-particle&quot;:&quot;&quot;},{&quot;family&quot;:&quot;Parkes&quot;,&quot;given&quot;:&quot;M.&quot;,&quot;parse-names&quot;:false,&quot;dropping-particle&quot;:&quot;&quot;,&quot;non-dropping-particle&quot;:&quot;&quot;},{&quot;family&quot;:&quot;Hewitt&quot;,&quot;given&quot;:&quot;A.&quot;,&quot;parse-names&quot;:false,&quot;dropping-particle&quot;:&quot;&quot;,&quot;non-dropping-particle&quot;:&quot;&quot;},{&quot;family&quot;:&quot;Landeiro&quot;,&quot;given&quot;:&quot;F.&quot;,&quot;parse-names&quot;:false,&quot;dropping-particle&quot;:&quot;&quot;,&quot;non-dropping-particle&quot;:&quot;&quot;},{&quot;family&quot;:&quot;Wolstenholme&quot;,&quot;given&quot;:&quot;J.&quot;,&quot;parse-names&quot;:false,&quot;dropping-particle&quot;:&quot;&quot;,&quot;non-dropping-particle&quot;:&quot;&quot;},{&quot;family&quot;:&quot;Macpherson&quot;,&quot;given&quot;:&quot;R.&quot;,&quot;parse-names&quot;:false,&quot;dropping-particle&quot;:&quot;&quot;,&quot;non-dropping-particle&quot;:&quot;&quot;},{&quot;family&quot;:&quot;Verrill&quot;,&quot;given&quot;:&quot;C.&quot;,&quot;parse-names&quot;:false,&quot;dropping-particle&quot;:&quot;&quot;,&quot;non-dropping-particle&quot;:&quot;&quot;},{&quot;family&quot;:&quot;Marian&quot;,&quot;given&quot;:&quot;I.R.&quot;,&quot;parse-names&quot;:false,&quot;dropping-particle&quot;:&quot;&quot;,&quot;non-dropping-particle&quot;:&quot;&quot;},{&quot;family&quot;:&quot;Williams&quot;,&quot;given&quot;:&quot;R.&quot;,&quot;parse-names&quot;:false,&quot;dropping-particle&quot;:&quot;&quot;,&quot;non-dropping-particle&quot;:&quot;&quot;},{&quot;family&quot;:&quot;Hamdy&quot;,&quot;given&quot;:&quot;F.C.&quot;,&quot;parse-names&quot;:false,&quot;dropping-particle&quot;:&quot;&quot;,&quot;non-dropping-particle&quot;:&quot;&quot;},{&quot;family&quot;:&quot;Lamb&quot;,&quot;given&quot;:&quot;A.D.&quot;,&quot;parse-names&quot;:false,&quot;dropping-particle&quot;:&quot;&quot;,&quot;non-dropping-particle&quot;:&quot;&quot;}],&quot;container-title&quot;:&quot;BJU International&quot;,&quot;container-title-short&quot;:&quot;BJU Int&quot;,&quot;DOI&quot;:&quot;10.1111/bju.15978&quot;,&quot;ISSN&quot;:&quot;1464410X&quot;,&quot;issued&quot;:{&quot;date-parts&quot;:[[2023]]},&quot;abstract&quot;:&quot;Objectives: Primary objectives: to determine whether local anaesthetic transperineal prostate (LATP) biopsy improves the detection of clinically significant prostate cancer (csPCa), defined as International Society of Urological Pathology (ISUP) Grade Group ≥2 disease (i.e., any Gleason pattern 4 disease), compared to transrectal ultrasound-guided (TRUS) prostate biopsy, in biopsy-naïve men undergoing biopsy based on suspicion of csPCa. Secondary objectives: to compare (i) infection rates, (ii) health-related quality of life, (iii) patient-reported procedure tolerability, (iv) patient-reported biopsy-related complications (including bleeding, bruising, pain, loss of erectile function), (v) number of subsequent prostate biopsy procedures required, (vi) cost-effectiveness, (vii) other histological parameters, and (viii) burden and rate of detection of clinically insignificant PCa (ISUP Grade Group 1 disease) in men undergoing these two types of prostate biopsy. Patients and Methods: The TRANSLATE trial is a UK-wide, multicentre, randomised clinical trial that meets the criteria for level-one evidence in diagnostic test evaluation. TRANSLATE is investigating whether LATP biopsy leads to a higher rate of detection of csPCa compared to TRUS prostate biopsy. Both biopsies are being performed with an average of 12 systematic cores in six sectors (depending on prostate size), plus three to five target cores per multiparametric/bi-parametric magnetic resonance imaging lesion. LATP biopsy is performed using an ultrasound probe-mounted needle-guidance device (either the ‘Precision-Point’ or BK UA1232 system). TRUS biopsy is performed according to each hospital's standard practice. The study is 90% powered to detect a 10% difference (LATP biopsy hypothesised at 55% detection rate for csPCa vs 45% for TRUS biopsy). A total of 1042 biopsy-naïve men referred with suspected PCa need to be recruited. Conclusions: This trial will provide robust prospective data to determine the diagnostic ability of LATP biopsy vs TRUS biopsy in the primary diagnostic setting.&quot;},&quot;isTemporary&quot;:false}]},{&quot;citationID&quot;:&quot;MENDELEY_CITATION_9ea52b68-c2b7-49cc-a3e6-621584a9b7bb&quot;,&quot;properties&quot;:{&quot;noteIndex&quot;:0},&quot;isEdited&quot;:false,&quot;manualOverride&quot;:{&quot;isManuallyOverridden&quot;:false,&quot;citeprocText&quot;:&quot;[2]&quot;,&quot;manualOverrideText&quot;:&quot;&quot;},&quot;citationTag&quot;:&quot;MENDELEY_CITATION_v3_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&quot;,&quot;citationItems&quot;:[{&quot;id&quot;:&quot;5541b96a-7315-3253-97e0-8b43541e81f5&quot;,&quot;itemData&quot;:{&quot;type&quot;:&quot;report&quot;,&quot;id&quot;:&quot;5541b96a-7315-3253-97e0-8b43541e81f5&quot;,&quot;title&quot;:&quot;Fast approximation of Beta inequalities &quot;,&quot;author&quot;:[{&quot;family&quot;:&quot;John D. Cook&quot;,&quot;given&quot;:&quot;&quot;,&quot;parse-names&quot;:false,&quot;dropping-particle&quot;:&quot;&quot;,&quot;non-dropping-particle&quot;:&quot;&quot;}],&quot;issued&quot;:{&quot;date-parts&quot;:[[2012]]},&quot;publisher-place&quot;:&quot;MD Anderson Cancer Center&quot;,&quot;number-of-pages&quot;:&quot;1-3&quot;,&quot;container-title-short&quot;:&quot;&quot;},&quot;isTemporary&quot;:false}]},{&quot;citationID&quot;:&quot;MENDELEY_CITATION_dd489e09-ac62-4f45-a7cc-3898bd94bb63&quot;,&quot;properties&quot;:{&quot;noteIndex&quot;:0},&quot;isEdited&quot;:false,&quot;manualOverride&quot;:{&quot;isManuallyOverridden&quot;:false,&quot;citeprocText&quot;:&quot;[3]&quot;,&quot;manualOverrideText&quot;:&quot;&quot;},&quot;citationTag&quot;:&quot;MENDELEY_CITATION_v3_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&quot;,&quot;citationItems&quot;:[{&quot;id&quot;:&quot;52fc03fd-2885-3d25-846a-fb278f126156&quot;,&quot;itemData&quot;:{&quot;type&quot;:&quot;article-journal&quot;,&quot;id&quot;:&quot;52fc03fd-2885-3d25-846a-fb278f126156&quot;,&quot;title&quot;:&quot;Prior distributions for variance parameters in hierarchical models (comment on article by Browne and Draper)&quot;,&quot;author&quot;:[{&quot;family&quot;:&quot;Gelman&quot;,&quot;given&quot;:&quot;Andrew&quot;,&quot;parse-names&quot;:false,&quot;dropping-particle&quot;:&quot;&quot;,&quot;non-dropping-particle&quot;:&quot;&quot;}],&quot;container-title&quot;:&quot;Bayesian Analysis&quot;,&quot;container-title-short&quot;:&quot;Bayesian Anal&quot;,&quot;DOI&quot;:&quot;10.1214/06-BA117A&quot;,&quot;ISSN&quot;:&quot;1936-0975&quot;,&quot;issued&quot;:{&quot;date-parts&quot;:[[2006,9,1]]},&quot;issue&quot;:&quot;3&quot;,&quot;volume&quot;:&quot;1&quot;},&quot;isTemporary&quot;:false}]},{&quot;citationID&quot;:&quot;MENDELEY_CITATION_23c51a2c-ce32-409b-ab31-c63a708c4bb4&quot;,&quot;properties&quot;:{&quot;noteIndex&quot;:0},&quot;isEdited&quot;:false,&quot;manualOverride&quot;:{&quot;isManuallyOverridden&quot;:false,&quot;citeprocText&quot;:&quot;[4]&quot;,&quot;manualOverrideText&quot;:&quot;&quot;},&quot;citationTag&quot;:&quot;MENDELEY_CITATION_v3_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&quot;,&quot;citationItems&quot;:[{&quot;id&quot;:&quot;0d864086-5532-36f3-b0f4-52781b229c1d&quot;,&quot;itemData&quot;:{&quot;type&quot;:&quot;article-journal&quot;,&quot;id&quot;:&quot;0d864086-5532-36f3-b0f4-52781b229c1d&quot;,&quot;title&quot;:&quot;A weakly informative default prior distribution for logistic and other regression models&quot;,&quot;author&quot;:[{&quot;family&quot;:&quot;Gelman&quot;,&quot;given&quot;:&quot;Andrew&quot;,&quot;parse-names&quot;:false,&quot;dropping-particle&quot;:&quot;&quot;,&quot;non-dropping-particle&quot;:&quot;&quot;},{&quot;family&quot;:&quot;Jakulin&quot;,&quot;given&quot;:&quot;Aleks&quot;,&quot;parse-names&quot;:false,&quot;dropping-particle&quot;:&quot;&quot;,&quot;non-dropping-particle&quot;:&quot;&quot;},{&quot;family&quot;:&quot;Pittau&quot;,&quot;given&quot;:&quot;Maria Grazia&quot;,&quot;parse-names&quot;:false,&quot;dropping-particle&quot;:&quot;&quot;,&quot;non-dropping-particle&quot;:&quot;&quot;},{&quot;family&quot;:&quot;Su&quot;,&quot;given&quot;:&quot;Yu-Sung&quot;,&quot;parse-names&quot;:false,&quot;dropping-particle&quot;:&quot;&quot;,&quot;non-dropping-particle&quot;:&quot;&quot;}],&quot;container-title&quot;:&quot;The Annals of Applied Statistics&quot;,&quot;container-title-short&quot;:&quot;Ann Appl Stat&quot;,&quot;DOI&quot;:&quot;10.1214/08-AOAS191&quot;,&quot;ISSN&quot;:&quot;1932-6157&quot;,&quot;issued&quot;:{&quot;date-parts&quot;:[[2008,12,1]]},&quot;issue&quot;:&quot;4&quot;,&quot;volume&quot;:&quot;2&quot;},&quot;isTemporary&quot;:false}]}]"/>
    <we:property name="MENDELEY_CITATIONS_STYLE" value="{&quot;id&quot;:&quot;https://www.zotero.org/styles/ieee&quot;,&quot;title&quot;:&quot;IEEE&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C892B63D3E6A1245B67CADA3B990C962" ma:contentTypeVersion="10" ma:contentTypeDescription="Create a new document." ma:contentTypeScope="" ma:versionID="60b6542f6d797a774f2571b54fb387a7">
  <xsd:schema xmlns:xsd="http://www.w3.org/2001/XMLSchema" xmlns:xs="http://www.w3.org/2001/XMLSchema" xmlns:p="http://schemas.microsoft.com/office/2006/metadata/properties" xmlns:ns3="cf78f1f7-b0b2-45ef-b54a-144f8fc9eca1" xmlns:ns4="cc530965-1544-4f34-a408-209ca9f21136" targetNamespace="http://schemas.microsoft.com/office/2006/metadata/properties" ma:root="true" ma:fieldsID="063fb317dd433117c57ed6f41feb6f66" ns3:_="" ns4:_="">
    <xsd:import namespace="cf78f1f7-b0b2-45ef-b54a-144f8fc9eca1"/>
    <xsd:import namespace="cc530965-1544-4f34-a408-209ca9f21136"/>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_activity" minOccurs="0"/>
                <xsd:element ref="ns4:MediaServiceObjectDetectorVersion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78f1f7-b0b2-45ef-b54a-144f8fc9eca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c530965-1544-4f34-a408-209ca9f21136"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_activity" ma:index="15" nillable="true" ma:displayName="_activity" ma:hidden="true" ma:internalName="_activity">
      <xsd:simpleType>
        <xsd:restriction base="dms:Note"/>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cc530965-1544-4f34-a408-209ca9f21136" xsi:nil="true"/>
  </documentManagement>
</p:properties>
</file>

<file path=customXml/itemProps1.xml><?xml version="1.0" encoding="utf-8"?>
<ds:datastoreItem xmlns:ds="http://schemas.openxmlformats.org/officeDocument/2006/customXml" ds:itemID="{29BAEA89-661F-49F5-B81C-58D508E37958}">
  <ds:schemaRefs>
    <ds:schemaRef ds:uri="http://schemas.openxmlformats.org/officeDocument/2006/bibliography"/>
  </ds:schemaRefs>
</ds:datastoreItem>
</file>

<file path=customXml/itemProps2.xml><?xml version="1.0" encoding="utf-8"?>
<ds:datastoreItem xmlns:ds="http://schemas.openxmlformats.org/officeDocument/2006/customXml" ds:itemID="{71B0264F-94BB-41C6-9211-333633AF95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78f1f7-b0b2-45ef-b54a-144f8fc9eca1"/>
    <ds:schemaRef ds:uri="cc530965-1544-4f34-a408-209ca9f211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1E80583-2872-48DC-B8E0-7C8DE70AE41F}">
  <ds:schemaRefs>
    <ds:schemaRef ds:uri="http://schemas.microsoft.com/sharepoint/v3/contenttype/forms"/>
  </ds:schemaRefs>
</ds:datastoreItem>
</file>

<file path=customXml/itemProps4.xml><?xml version="1.0" encoding="utf-8"?>
<ds:datastoreItem xmlns:ds="http://schemas.openxmlformats.org/officeDocument/2006/customXml" ds:itemID="{2CAF9693-7AEC-48E4-A1C1-C9D5C874B69B}">
  <ds:schemaRefs>
    <ds:schemaRef ds:uri="http://schemas.openxmlformats.org/package/2006/metadata/core-properties"/>
    <ds:schemaRef ds:uri="http://purl.org/dc/terms/"/>
    <ds:schemaRef ds:uri="http://schemas.microsoft.com/office/2006/metadata/properties"/>
    <ds:schemaRef ds:uri="http://www.w3.org/XML/1998/namespace"/>
    <ds:schemaRef ds:uri="cc530965-1544-4f34-a408-209ca9f21136"/>
    <ds:schemaRef ds:uri="http://schemas.microsoft.com/office/2006/documentManagement/types"/>
    <ds:schemaRef ds:uri="http://purl.org/dc/elements/1.1/"/>
    <ds:schemaRef ds:uri="http://schemas.microsoft.com/office/infopath/2007/PartnerControls"/>
    <ds:schemaRef ds:uri="cf78f1f7-b0b2-45ef-b54a-144f8fc9eca1"/>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2949</Words>
  <Characters>16815</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MSDIT</Company>
  <LinksUpToDate>false</LinksUpToDate>
  <CharactersWithSpaces>19725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Holmes</dc:creator>
  <cp:keywords/>
  <dc:description/>
  <cp:lastModifiedBy>Ioana Marian</cp:lastModifiedBy>
  <cp:revision>3</cp:revision>
  <dcterms:created xsi:type="dcterms:W3CDTF">2024-01-31T09:52:00Z</dcterms:created>
  <dcterms:modified xsi:type="dcterms:W3CDTF">2024-01-31T09:53:00Z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0x010100C892B63D3E6A1245B67CADA3B990C962</vt:lpwstr>
  </property>
</Properties>
</file>