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447BE" w14:textId="58E315EA" w:rsidR="00D0002D" w:rsidRPr="003C2360" w:rsidRDefault="003C2360" w:rsidP="003C14BE">
      <w:pPr>
        <w:spacing w:line="480" w:lineRule="auto"/>
        <w:rPr>
          <w:rFonts w:ascii="Times New Roman" w:hAnsi="Times New Roman" w:cs="Times New Roman"/>
          <w:b/>
          <w:sz w:val="24"/>
          <w:szCs w:val="24"/>
          <w:lang w:val="en-US"/>
        </w:rPr>
      </w:pPr>
      <w:r w:rsidRPr="003C2360">
        <w:rPr>
          <w:rFonts w:ascii="Times New Roman" w:hAnsi="Times New Roman" w:cs="Times New Roman"/>
          <w:b/>
          <w:sz w:val="24"/>
          <w:szCs w:val="24"/>
          <w:lang w:val="en-GB"/>
        </w:rPr>
        <w:t>Additional file 1</w:t>
      </w:r>
      <w:r>
        <w:rPr>
          <w:rFonts w:ascii="Times New Roman" w:hAnsi="Times New Roman" w:cs="Times New Roman"/>
          <w:b/>
          <w:sz w:val="24"/>
          <w:szCs w:val="24"/>
          <w:lang w:val="en-GB"/>
        </w:rPr>
        <w:t>.</w:t>
      </w:r>
      <w:r w:rsidR="00D0002D" w:rsidRPr="003C2360">
        <w:rPr>
          <w:rFonts w:ascii="Times New Roman" w:hAnsi="Times New Roman" w:cs="Times New Roman"/>
          <w:b/>
          <w:sz w:val="24"/>
          <w:szCs w:val="24"/>
          <w:lang w:val="en-GB"/>
        </w:rPr>
        <w:t xml:space="preserve"> </w:t>
      </w:r>
      <w:r>
        <w:rPr>
          <w:rFonts w:ascii="Times New Roman" w:hAnsi="Times New Roman" w:cs="Times New Roman"/>
          <w:b/>
          <w:sz w:val="24"/>
          <w:szCs w:val="24"/>
          <w:lang w:val="en-US"/>
        </w:rPr>
        <w:t>D</w:t>
      </w:r>
      <w:bookmarkStart w:id="0" w:name="_GoBack"/>
      <w:bookmarkEnd w:id="0"/>
      <w:r w:rsidR="003C14BE" w:rsidRPr="003C2360">
        <w:rPr>
          <w:rFonts w:ascii="Times New Roman" w:hAnsi="Times New Roman" w:cs="Times New Roman"/>
          <w:b/>
          <w:sz w:val="24"/>
          <w:szCs w:val="24"/>
          <w:lang w:val="en-US"/>
        </w:rPr>
        <w:t>ata analyses of food supply diary and accelerometer</w:t>
      </w:r>
    </w:p>
    <w:p w14:paraId="4E84D9ED" w14:textId="4EBD08B3" w:rsidR="003C14BE" w:rsidRPr="003C14BE" w:rsidRDefault="003C14BE" w:rsidP="003C14BE">
      <w:pPr>
        <w:autoSpaceDE w:val="0"/>
        <w:autoSpaceDN w:val="0"/>
        <w:adjustRightInd w:val="0"/>
        <w:spacing w:after="0" w:line="480" w:lineRule="auto"/>
        <w:jc w:val="both"/>
        <w:rPr>
          <w:rFonts w:ascii="Times New Roman" w:hAnsi="Times New Roman" w:cs="Times New Roman"/>
          <w:b/>
          <w:sz w:val="24"/>
          <w:szCs w:val="25"/>
          <w:lang w:val="en-US"/>
        </w:rPr>
      </w:pPr>
      <w:r>
        <w:rPr>
          <w:rFonts w:ascii="Times New Roman" w:hAnsi="Times New Roman" w:cs="Times New Roman"/>
          <w:b/>
          <w:sz w:val="24"/>
          <w:szCs w:val="25"/>
          <w:lang w:val="en-US"/>
        </w:rPr>
        <w:t>F</w:t>
      </w:r>
      <w:r w:rsidRPr="003C14BE">
        <w:rPr>
          <w:rFonts w:ascii="Times New Roman" w:hAnsi="Times New Roman" w:cs="Times New Roman"/>
          <w:b/>
          <w:sz w:val="24"/>
          <w:szCs w:val="25"/>
          <w:lang w:val="en-US"/>
        </w:rPr>
        <w:t xml:space="preserve">ood supply diary </w:t>
      </w:r>
    </w:p>
    <w:p w14:paraId="25204798" w14:textId="50FF170A" w:rsidR="00B6588A" w:rsidRDefault="00D0002D" w:rsidP="003C14BE">
      <w:pPr>
        <w:spacing w:after="0" w:line="480" w:lineRule="auto"/>
        <w:jc w:val="both"/>
        <w:rPr>
          <w:rFonts w:ascii="Times New Roman" w:hAnsi="Times New Roman" w:cs="Times New Roman"/>
          <w:sz w:val="24"/>
          <w:szCs w:val="24"/>
          <w:lang w:val="en-GB"/>
        </w:rPr>
      </w:pPr>
      <w:r w:rsidRPr="001B3354">
        <w:rPr>
          <w:rFonts w:ascii="Times New Roman" w:hAnsi="Times New Roman" w:cs="Times New Roman"/>
          <w:i/>
          <w:sz w:val="24"/>
          <w:szCs w:val="24"/>
          <w:lang w:val="en-US"/>
        </w:rPr>
        <w:t>Healthiness of household’s food supply</w:t>
      </w:r>
      <w:r w:rsidRPr="001B3354">
        <w:rPr>
          <w:rFonts w:ascii="Times New Roman" w:hAnsi="Times New Roman" w:cs="Times New Roman"/>
          <w:sz w:val="24"/>
          <w:szCs w:val="24"/>
          <w:lang w:val="en-US"/>
        </w:rPr>
        <w:t xml:space="preserve">. The food diary supply provided a detailed record of foods (including purchases, donation and garden produce) entering the household over 1-month period. A database of monthly food purchases was then created by compiling information on date of purchase, quantity and price of all food items purchased. Food, energy and nutrient content of household monthly purchases were estimated following a previously described procedure </w:t>
      </w:r>
      <w:r w:rsidRPr="001B3354">
        <w:rPr>
          <w:rFonts w:ascii="Times New Roman" w:hAnsi="Times New Roman" w:cs="Times New Roman"/>
          <w:sz w:val="24"/>
          <w:szCs w:val="24"/>
          <w:lang w:val="en-US"/>
        </w:rPr>
        <w:fldChar w:fldCharType="begin" w:fldLock="1"/>
      </w:r>
      <w:r w:rsidR="003C14BE">
        <w:rPr>
          <w:rFonts w:ascii="Times New Roman" w:hAnsi="Times New Roman" w:cs="Times New Roman"/>
          <w:sz w:val="24"/>
          <w:szCs w:val="24"/>
          <w:lang w:val="en-US"/>
        </w:rPr>
        <w:instrText>ADDIN CSL_CITATION {"citationItems":[{"id":"ITEM-1","itemData":{"DOI":"10.3945/ajcn.114.104380","ISSN":"0002-9165, 1938-3207","abstract":"Background: It is unknown whether diet quality is correlated with actual food expenditure. According to the positive deviance theory, the study of actual food expenditure by people with limited economic resources could help identify beneficial food-purchasing behavior.\nObjectives: The aims were to investigate the relation between actual expenditure on food and nutritional quality and to identify “positive deviants” among low-income households.\nDesign: Individuals in deprived social situations (n = 91) were recruited as part of the “Opticourses” nutrition intervention conducted in 2012–2014 in poor districts of Marseille, France. Opticourses participants collected food-purchase receipts for their household over a 1-mo period. “Actual diet costs” and “estimated diet costs” were calculated per 2000 kcal of food purchases by using actual expenditures and a standard food price database of food consumed by a representative sample of French adults, respectively. Mean adequacy ratio (MAR), mean excess ratio (MER), and energy density (ED) were used as nutritional quality indicators. “Positive deviants” were defined as having a higher MAR and a lower MER than the respective median values.\nResults: Opticourses participants selected less-expensive food options than the average French population, both within a food group and for a given food item. Higher diet costs were associated with higher nutritional quality (higher MAR, lower ED), regardless of whether costs were calculated from actual expenditure or on the basis of standard food prices. Twenty-one positive deviants were identified. They made significantly healthier purchases than did other participants (MAR: +13%; MER: −90%. ED: −22%) at higher estimated diet costs. Yet, they did not spend more on food (having the same actual diet costs), which showed that they purchased food with a higher nutritional quality for their price.\nConclusion: In this low-income population, actual diet cost was positively correlated with nutritional quality, yet the results showed that higher diet quality is not necessarily more costly when foods with higher nutritional quality for their price are selected. The Opticourses intervention was registered at clinicaltrials.gov as NCT02383875.","author":[{"dropping-particle":"","family":"Marty","given":"Lucile","non-dropping-particle":"","parse-names":false,"suffix":""},{"dropping-particle":"","family":"Dubois","given":"Christophe","non-dropping-particle":"","parse-names":false,"suffix":""},{"dropping-particle":"","family":"Gaubard","given":"Malu S.","non-dropping-particle":"","parse-names":false,"suffix":""},{"dropping-particle":"","family":"Maidon","given":"Audrey","non-dropping-particle":"","parse-names":false,"suffix":""},{"dropping-particle":"","family":"Lesturgeon","given":"Audrey","non-dropping-particle":"","parse-names":false,"suffix":""},{"dropping-particle":"","family":"Gaigi","given":"Hind","non-dropping-particle":"","parse-names":false,"suffix":""},{"dropping-particle":"","family":"Darmon","given":"Nicole","non-dropping-particle":"","parse-names":false,"suffix":""}],"container-title":"The American Journal of Clinical Nutrition","id":"ITEM-1","issued":{"date-parts":[["2015","5"]]},"language":"en","page":"ajcn104380","title":"Higher nutritional quality at no additional cost among low-income households: insights from food purchases of “positive deviants”","title-short":"Higher nutritional quality at no additional cost a","type":"article-journal"},"uris":["http://www.mendeley.com/documents/?uuid=0d2dc223-6426-49ec-bcf9-68651f819abe"]}],"mendeley":{"formattedCitation":"[1]","plainTextFormattedCitation":"[1]","previouslyFormattedCitation":"[1]"},"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00B11B50" w:rsidRPr="00B11B50">
        <w:rPr>
          <w:rFonts w:ascii="Times New Roman" w:hAnsi="Times New Roman" w:cs="Times New Roman"/>
          <w:noProof/>
          <w:sz w:val="24"/>
          <w:szCs w:val="24"/>
          <w:lang w:val="en-US"/>
        </w:rPr>
        <w:t>[1]</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 xml:space="preserve">. A French food nutrient composition database completed by newly consumed foods and recipes provided was used to determine the nutrient content of all the foods, as consumed (i.e., after peeling, boning, water loss or gain during cooking, etc.) </w:t>
      </w:r>
      <w:r w:rsidRPr="001B3354">
        <w:rPr>
          <w:rFonts w:ascii="Times New Roman" w:hAnsi="Times New Roman" w:cs="Times New Roman"/>
          <w:sz w:val="24"/>
          <w:szCs w:val="24"/>
          <w:lang w:val="en-US"/>
        </w:rPr>
        <w:fldChar w:fldCharType="begin" w:fldLock="1"/>
      </w:r>
      <w:r w:rsidR="003C14BE">
        <w:rPr>
          <w:rFonts w:ascii="Times New Roman" w:hAnsi="Times New Roman" w:cs="Times New Roman"/>
          <w:sz w:val="24"/>
          <w:szCs w:val="24"/>
          <w:lang w:val="en-US"/>
        </w:rPr>
        <w:instrText>ADDIN CSL_CITATION {"citationItems":[{"id":"ITEM-1","itemData":{"URL":"https://ciqual.anses.fr/#/cms/telechargement/node/20","accessed":{"date-parts":[["2020","4","3"]]},"author":[{"dropping-particle":"","family":"ANSES","given":"","non-dropping-particle":"","parse-names":false,"suffix":""}],"id":"ITEM-1","issued":{"date-parts":[["0"]]},"title":"Ciqual Table de composition nutritionnelle des aliments","type":"webpage"},"uris":["http://www.mendeley.com/documents/?uuid=4218318f-9e72-3f80-81fa-f7aa3dc9dd95"]}],"mendeley":{"formattedCitation":"[2]","plainTextFormattedCitation":"[2]","previouslyFormattedCitation":"[2]"},"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00B11B50" w:rsidRPr="00B11B50">
        <w:rPr>
          <w:rFonts w:ascii="Times New Roman" w:hAnsi="Times New Roman" w:cs="Times New Roman"/>
          <w:noProof/>
          <w:sz w:val="24"/>
          <w:szCs w:val="24"/>
          <w:lang w:val="en-US"/>
        </w:rPr>
        <w:t>[2]</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 xml:space="preserve">. The primary outcome measure of healthiness was the household </w:t>
      </w:r>
      <w:r w:rsidR="00B6588A">
        <w:rPr>
          <w:rFonts w:ascii="Times New Roman" w:hAnsi="Times New Roman" w:cs="Times New Roman"/>
          <w:sz w:val="24"/>
          <w:szCs w:val="24"/>
          <w:lang w:val="en-US"/>
        </w:rPr>
        <w:t>fruit and vegetables</w:t>
      </w:r>
      <w:r w:rsidRPr="001B3354">
        <w:rPr>
          <w:rFonts w:ascii="Times New Roman" w:hAnsi="Times New Roman" w:cs="Times New Roman"/>
          <w:sz w:val="24"/>
          <w:szCs w:val="24"/>
          <w:lang w:val="en-US"/>
        </w:rPr>
        <w:t xml:space="preserve"> supply (in g/d per person) calculated as the sum of all </w:t>
      </w:r>
      <w:r w:rsidR="00B6588A">
        <w:rPr>
          <w:rFonts w:ascii="Times New Roman" w:hAnsi="Times New Roman" w:cs="Times New Roman"/>
          <w:sz w:val="24"/>
          <w:szCs w:val="24"/>
          <w:lang w:val="en-US"/>
        </w:rPr>
        <w:t>fruit and vegetables</w:t>
      </w:r>
      <w:r w:rsidRPr="001B3354">
        <w:rPr>
          <w:rFonts w:ascii="Times New Roman" w:hAnsi="Times New Roman" w:cs="Times New Roman"/>
          <w:sz w:val="24"/>
          <w:szCs w:val="24"/>
          <w:lang w:val="en-US"/>
        </w:rPr>
        <w:t xml:space="preserve"> recorded (in </w:t>
      </w:r>
      <w:proofErr w:type="spellStart"/>
      <w:r w:rsidRPr="001B3354">
        <w:rPr>
          <w:rFonts w:ascii="Times New Roman" w:hAnsi="Times New Roman" w:cs="Times New Roman"/>
          <w:sz w:val="24"/>
          <w:szCs w:val="24"/>
          <w:lang w:val="en-US"/>
        </w:rPr>
        <w:t>g as</w:t>
      </w:r>
      <w:proofErr w:type="spellEnd"/>
      <w:r w:rsidRPr="001B3354">
        <w:rPr>
          <w:rFonts w:ascii="Times New Roman" w:hAnsi="Times New Roman" w:cs="Times New Roman"/>
          <w:sz w:val="24"/>
          <w:szCs w:val="24"/>
          <w:lang w:val="en-US"/>
        </w:rPr>
        <w:t xml:space="preserve"> consumed) during the period of data collection, divided by the number of days of data collection and the number of household members. We also estimated the nutritional quality of household’s food supply using two indicators of nutritional quality : the mean adequacy ratio (MAR) which an indicator of good nutritional quality and represents the mean percentage of daily recommended intakes for 23 key nutrients </w:t>
      </w:r>
      <w:r w:rsidRPr="001B3354">
        <w:rPr>
          <w:rFonts w:ascii="Times New Roman" w:hAnsi="Times New Roman" w:cs="Times New Roman"/>
          <w:sz w:val="24"/>
          <w:szCs w:val="24"/>
          <w:lang w:val="en-US"/>
        </w:rPr>
        <w:fldChar w:fldCharType="begin" w:fldLock="1"/>
      </w:r>
      <w:r w:rsidR="003C14BE">
        <w:rPr>
          <w:rFonts w:ascii="Times New Roman" w:hAnsi="Times New Roman" w:cs="Times New Roman"/>
          <w:sz w:val="24"/>
          <w:szCs w:val="24"/>
          <w:lang w:val="en-US"/>
        </w:rPr>
        <w:instrText>ADDIN CSL_CITATION {"citationItems":[{"id":"ITEM-1","itemData":{"DOI":"10.1093/ajcn/86.3.690","ISSN":"0002-9165","PMID":"17823434","abstract":"BACKGROUND Low-energy-density diets are associated with higher diet costs per 10 MJ. Are diets of higher nutritional quality also associated with higher costs per 10 MJ? OBJECTIVE The objective was to determine the relations between energy-adjusted diet costs, dietary energy density, and nutritional quality of diets. DESIGN This was a cross-sectional study of a nationally representative sample of 1332 French adults in the 1999 Enquête Individuelle et Nationale sur les Consommations Alimentaires (INCA) data set. Analyses were based on data from 7-d food records. The monetary cost of each diet was estimated by using mean retail prices for 620 foods. Nutritional quality was estimated by calculating the mean adequacy ratio (MAR), based on 23 nutrients. Energy density was based on solid foods only. RESULTS In a bivariate analysis, low-energy-density diets were of higher nutritional quality but also cost more. Participants in the highest tertile of MARs had the lowest dietary energy density and the highest diet costs, calculated both per day and per 10 MJ. In a multivariate model, dietary energy density was negatively linked to diet costs (euro/10 MJ), whereas MAR values were positively linked to diet costs after adjustment for age and energy intake. For a given energy intake and energy density, each 10% increase in MAR led to a 13% increase in estimated diet costs per 10 MJ. CONCLUSIONS In this study of self-selected diets of French adults, lower energy density and higher nutritional quality were associated with higher energy-adjusted diet costs. Higher-quality diets cost more not only because they have a low energy density but also because they are nutrient rich.","author":[{"dropping-particle":"","family":"Maillot","given":"Matthieu","non-dropping-particle":"","parse-names":false,"suffix":""},{"dropping-particle":"","family":"Darmon","given":"Nicole","non-dropping-particle":"","parse-names":false,"suffix":""},{"dropping-particle":"","family":"Vieux","given":"Florent","non-dropping-particle":"","parse-names":false,"suffix":""},{"dropping-particle":"","family":"Drewnowski","given":"Adam","non-dropping-particle":"","parse-names":false,"suffix":""}],"container-title":"The American journal of clinical nutrition","id":"ITEM-1","issue":"3","issued":{"date-parts":[["2007","9"]]},"page":"690-6","title":"Low energy density and high nutritional quality are each associated with higher diet costs in French adults.","type":"article-journal","volume":"86"},"uris":["http://www.mendeley.com/documents/?uuid=7e501526-5480-3e49-9b56-ad758547c28f"]}],"mendeley":{"formattedCitation":"[3]","plainTextFormattedCitation":"[3]","previouslyFormattedCitation":"[3]"},"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00B11B50" w:rsidRPr="00B11B50">
        <w:rPr>
          <w:rFonts w:ascii="Times New Roman" w:hAnsi="Times New Roman" w:cs="Times New Roman"/>
          <w:noProof/>
          <w:sz w:val="24"/>
          <w:szCs w:val="24"/>
          <w:lang w:val="en-US"/>
        </w:rPr>
        <w:t>[3]</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 xml:space="preserve">, and the mean excess ratio (MER), which is an indicator of bad nutritional quality and represents the mean percentage of daily maximum recommended values for 3 harmful nutrients, namely saturated fatty acids, sodium, and free sugars </w:t>
      </w:r>
      <w:r w:rsidRPr="001B3354">
        <w:rPr>
          <w:rFonts w:ascii="Times New Roman" w:hAnsi="Times New Roman" w:cs="Times New Roman"/>
          <w:sz w:val="24"/>
          <w:szCs w:val="24"/>
          <w:lang w:val="en-US"/>
        </w:rPr>
        <w:fldChar w:fldCharType="begin" w:fldLock="1"/>
      </w:r>
      <w:r w:rsidR="003C14BE">
        <w:rPr>
          <w:rFonts w:ascii="Times New Roman" w:hAnsi="Times New Roman" w:cs="Times New Roman"/>
          <w:sz w:val="24"/>
          <w:szCs w:val="24"/>
          <w:lang w:val="en-US"/>
        </w:rPr>
        <w:instrText>ADDIN CSL_CITATION {"citationItems":[{"id":"ITEM-1","itemData":{"DOI":"10.3945/ajcn.112.035105","ISSN":"0002-9165","PMID":"23364012","abstract":"BACKGROUND Healthy diets are supposed to be more environmentally friendly because they rely mainly on plant-based foods, which have lower greenhouse gas emissions (GHGEs) per unit weight than do animal-based foods. OBJECTIVES The objectives were to estimate the GHGEs associated with the consumption of self-selected diets in France and to analyze their relation with the nutritional quality of diets. DESIGN For each adult in the national dietary Individual and National Survey on Food Consumption (n = 1918), the GHGEs of his or her diet were estimated based on the GHGEs of 391 foods. Highest-nutritional-quality diets were defined as those having simultaneously 1) an energy density below the median, 2) a mean adequacy ratio (MAR) above the median, and 3) a mean excess ratio (MER, percentage of maximum recommended values for nutrients for which intake should be limited) below the median. RESULTS MAR was positively correlated and MER was negatively correlated with diet-related GHGEs. High-nutritional-quality diets contained more plant-based foods, notably fruit and vegetables, and fewer sweets and salted snacks than did low-quality diets. After adjustment for age, sex, and energy intake, the consumption of sweets and salted snacks was negatively correlated with diet-related GHGEs, whereas the consumption of animal products and of fruit and vegetables was positively associated with them. After adjustment for energy intake, high-nutritional-quality diets had significantly higher GHGEs (+9% and +22% for men and women, respectively) than did low-nutritional-quality diets. CONCLUSION Despite containing large amounts of plant-based foods, self-selected diets of the highest nutritional quality are currently not those with the lowest diet-related GHGEs.","author":[{"dropping-particle":"","family":"Vieux","given":"F.","non-dropping-particle":"","parse-names":false,"suffix":""},{"dropping-particle":"","family":"Soler","given":"L.-G.","non-dropping-particle":"","parse-names":false,"suffix":""},{"dropping-particle":"","family":"Touazi","given":"D.","non-dropping-particle":"","parse-names":false,"suffix":""},{"dropping-particle":"","family":"Darmon","given":"Nicole","non-dropping-particle":"","parse-names":false,"suffix":""}],"container-title":"American Journal of Clinical Nutrition","id":"ITEM-1","issue":"3","issued":{"date-parts":[["2013"]]},"page":"569-583","title":"High nutritional quality is not associated with low greenhouse gas emissions in self-selected diets of French adults","type":"article-journal","volume":"97"},"uris":["http://www.mendeley.com/documents/?uuid=5bc057e0-8eaa-47a1-b5e7-7a9b49445ea4"]}],"mendeley":{"formattedCitation":"[4]","plainTextFormattedCitation":"[4]","previouslyFormattedCitation":"[4]"},"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00B11B50" w:rsidRPr="00B11B50">
        <w:rPr>
          <w:rFonts w:ascii="Times New Roman" w:hAnsi="Times New Roman" w:cs="Times New Roman"/>
          <w:noProof/>
          <w:sz w:val="24"/>
          <w:szCs w:val="24"/>
          <w:lang w:val="en-US"/>
        </w:rPr>
        <w:t>[4]</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 xml:space="preserve">. The MAR and the MER were calculated for 2000 kcal of household food supply. We also calculated the HPI (Healthy Purchase Index), an index estimating the healthiness of household food purchases, based on food expenditure only </w:t>
      </w:r>
      <w:r w:rsidRPr="001B3354">
        <w:rPr>
          <w:rFonts w:ascii="Times New Roman" w:hAnsi="Times New Roman" w:cs="Times New Roman"/>
          <w:sz w:val="24"/>
          <w:szCs w:val="24"/>
          <w:lang w:val="en-US"/>
        </w:rPr>
        <w:fldChar w:fldCharType="begin" w:fldLock="1"/>
      </w:r>
      <w:r w:rsidR="003C14BE">
        <w:rPr>
          <w:rFonts w:ascii="Times New Roman" w:hAnsi="Times New Roman" w:cs="Times New Roman"/>
          <w:sz w:val="24"/>
          <w:szCs w:val="24"/>
          <w:lang w:val="en-US"/>
        </w:rPr>
        <w:instrText>ADDIN CSL_CITATION {"citationItems":[{"id":"ITEM-1","itemData":{"DOI":"10.1017/S1368980018003154","ISSN":"1368-9800","PMID":"30472975","abstract":"OBJECTIVE To develop an index to assess the nutritional quality of household food purchases based on food expenditures only. DESIGN A database of monthly food purchases of a convenience sample of low-income households was used to develop the Healthy Purchase Index (HPI). The HPI is the sum of two sub-scores based on expenditure shares of food categories in total household food expenditure: the purchase diversity sub-score and the purchase quality sub-score. The first was adapted from an existing diversity score. The second integrated those food categories identified as the best predictors of the nutritional quality of purchases based on associations between expenditure shares of food categories and two nutritional quality indicators: the mean adequacy ratio (MAR) and the mean excess ratio (MER). Correlation between the HPI and a score assessing adherence to French dietary guidelines (PNNS-GSmod) was performed as a first validation.Setting/ParticpantsFood purchases of 112 households from deprived neighbourhoods of Marseille (France), participating in the Opticourses and Jassur projects (2012-2015). RESULTS The purchase diversity sub-score reflects the presence in food purchases of five food categories: fruits, vegetables, starches, dairy products, and meat, fish &amp;amp; eggs. The purchase quality sub-score is based on expenditure shares for fruit &amp;amp; vegetables, added fats &amp;amp; seasonings, sweet snacks, cheese, sugary drinks, refined grains and fish, as these were identified as predictors of the nutritional quality of purchases. The HPI was positively associated with the PNNS-GSmod (r s=0·378; P&amp;lt;0·001). CONCLUSIONS The HPI helps assess the healthiness of household food purchases.","author":[{"dropping-particle":"","family":"Tharrey","given":"Marion","non-dropping-particle":"","parse-names":false,"suffix":""},{"dropping-particle":"","family":"Dubois","given":"Christophe","non-dropping-particle":"","parse-names":false,"suffix":""},{"dropping-particle":"","family":"Maillot","given":"Matthieu","non-dropping-particle":"","parse-names":false,"suffix":""},{"dropping-particle":"","family":"Vieux","given":"Florent","non-dropping-particle":"","parse-names":false,"suffix":""},{"dropping-particle":"","family":"Méjean","given":"Caroline","non-dropping-particle":"","parse-names":false,"suffix":""},{"dropping-particle":"","family":"Perignon","given":"Marlène","non-dropping-particle":"","parse-names":false,"suffix":""},{"dropping-particle":"","family":"Darmon","given":"Nicole","non-dropping-particle":"","parse-names":false,"suffix":""}],"container-title":"Public Health Nutrition","id":"ITEM-1","issue":"5","issued":{"date-parts":[["2019","4","26"]]},"page":"765-775","title":"Development of the Healthy Purchase Index (HPI): a scoring system to assess the nutritional quality of household food purchases","type":"article-journal","volume":"22"},"uris":["http://www.mendeley.com/documents/?uuid=483828c9-5851-3500-85d4-4eb43b53bf98"]}],"mendeley":{"formattedCitation":"[5]","plainTextFormattedCitation":"[5]","previouslyFormattedCitation":"[5]"},"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00B11B50" w:rsidRPr="00B11B50">
        <w:rPr>
          <w:rFonts w:ascii="Times New Roman" w:hAnsi="Times New Roman" w:cs="Times New Roman"/>
          <w:noProof/>
          <w:sz w:val="24"/>
          <w:szCs w:val="24"/>
          <w:lang w:val="en-US"/>
        </w:rPr>
        <w:t>[5]</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w:t>
      </w:r>
      <w:r w:rsidR="00B6588A">
        <w:rPr>
          <w:rFonts w:ascii="Times New Roman" w:hAnsi="Times New Roman" w:cs="Times New Roman"/>
          <w:sz w:val="24"/>
          <w:szCs w:val="24"/>
          <w:lang w:val="en-US"/>
        </w:rPr>
        <w:t xml:space="preserve"> </w:t>
      </w:r>
      <w:r w:rsidR="00B6588A">
        <w:rPr>
          <w:rFonts w:ascii="Times New Roman" w:hAnsi="Times New Roman" w:cs="Times New Roman"/>
          <w:sz w:val="24"/>
          <w:szCs w:val="24"/>
          <w:lang w:val="en-GB"/>
        </w:rPr>
        <w:t>Total scores range of HPI from 0 to 15</w:t>
      </w:r>
      <w:r w:rsidR="00B6588A" w:rsidRPr="001B3354">
        <w:rPr>
          <w:rFonts w:ascii="Times New Roman" w:hAnsi="Times New Roman" w:cs="Times New Roman"/>
          <w:sz w:val="24"/>
          <w:szCs w:val="24"/>
          <w:lang w:val="en-GB"/>
        </w:rPr>
        <w:t xml:space="preserve">, with higher scores </w:t>
      </w:r>
      <w:r w:rsidR="00B6588A">
        <w:rPr>
          <w:rFonts w:ascii="Times New Roman" w:hAnsi="Times New Roman" w:cs="Times New Roman"/>
          <w:sz w:val="24"/>
          <w:szCs w:val="24"/>
          <w:lang w:val="en-GB"/>
        </w:rPr>
        <w:t>indicating</w:t>
      </w:r>
      <w:r w:rsidR="00B6588A" w:rsidRPr="001B3354">
        <w:rPr>
          <w:rFonts w:ascii="Times New Roman" w:hAnsi="Times New Roman" w:cs="Times New Roman"/>
          <w:sz w:val="24"/>
          <w:szCs w:val="24"/>
          <w:lang w:val="en-GB"/>
        </w:rPr>
        <w:t xml:space="preserve"> </w:t>
      </w:r>
      <w:r w:rsidR="00B6588A">
        <w:rPr>
          <w:rFonts w:ascii="Times New Roman" w:hAnsi="Times New Roman" w:cs="Times New Roman"/>
          <w:sz w:val="24"/>
          <w:szCs w:val="24"/>
          <w:lang w:val="en-US"/>
        </w:rPr>
        <w:t>healthier</w:t>
      </w:r>
      <w:r w:rsidR="00B6588A" w:rsidRPr="001B3354">
        <w:rPr>
          <w:rFonts w:ascii="Times New Roman" w:hAnsi="Times New Roman" w:cs="Times New Roman"/>
          <w:sz w:val="24"/>
          <w:szCs w:val="24"/>
          <w:lang w:val="en-US"/>
        </w:rPr>
        <w:t xml:space="preserve"> household food purchases</w:t>
      </w:r>
      <w:r w:rsidR="00B6588A" w:rsidRPr="001B3354">
        <w:rPr>
          <w:rFonts w:ascii="Times New Roman" w:hAnsi="Times New Roman" w:cs="Times New Roman"/>
          <w:sz w:val="24"/>
          <w:szCs w:val="24"/>
          <w:lang w:val="en-GB"/>
        </w:rPr>
        <w:t>.</w:t>
      </w:r>
      <w:r w:rsidR="00B6588A" w:rsidRPr="001B3354" w:rsidDel="00863854">
        <w:rPr>
          <w:rFonts w:ascii="Times New Roman" w:hAnsi="Times New Roman" w:cs="Times New Roman"/>
          <w:sz w:val="24"/>
          <w:szCs w:val="24"/>
          <w:lang w:val="en-GB"/>
        </w:rPr>
        <w:t xml:space="preserve"> </w:t>
      </w:r>
    </w:p>
    <w:p w14:paraId="3D8F0D78" w14:textId="340483F2" w:rsidR="003C14BE" w:rsidRDefault="003C14BE" w:rsidP="003C14BE">
      <w:pPr>
        <w:spacing w:after="0" w:line="480" w:lineRule="auto"/>
        <w:jc w:val="both"/>
        <w:rPr>
          <w:rFonts w:ascii="Times New Roman" w:hAnsi="Times New Roman" w:cs="Times New Roman"/>
          <w:sz w:val="24"/>
          <w:szCs w:val="24"/>
          <w:lang w:val="en-GB"/>
        </w:rPr>
      </w:pPr>
    </w:p>
    <w:p w14:paraId="2BDF6C56" w14:textId="37F0DC44" w:rsidR="003C14BE" w:rsidRDefault="003C14BE" w:rsidP="003C14BE">
      <w:pPr>
        <w:autoSpaceDE w:val="0"/>
        <w:autoSpaceDN w:val="0"/>
        <w:adjustRightInd w:val="0"/>
        <w:spacing w:after="0" w:line="480" w:lineRule="auto"/>
        <w:jc w:val="both"/>
        <w:rPr>
          <w:rFonts w:ascii="Times New Roman" w:hAnsi="Times New Roman" w:cs="Times New Roman"/>
          <w:sz w:val="24"/>
          <w:szCs w:val="24"/>
          <w:lang w:val="en-US"/>
        </w:rPr>
      </w:pPr>
      <w:r w:rsidRPr="001B3354">
        <w:rPr>
          <w:rFonts w:ascii="Times New Roman" w:hAnsi="Times New Roman" w:cs="Times New Roman"/>
          <w:i/>
          <w:sz w:val="24"/>
          <w:szCs w:val="24"/>
          <w:lang w:val="en-US"/>
        </w:rPr>
        <w:lastRenderedPageBreak/>
        <w:t>Environmental impact of household’s food supply</w:t>
      </w:r>
      <w:r w:rsidRPr="001B3354">
        <w:rPr>
          <w:rFonts w:ascii="Times New Roman" w:hAnsi="Times New Roman" w:cs="Times New Roman"/>
          <w:sz w:val="24"/>
          <w:szCs w:val="24"/>
          <w:lang w:val="en-US"/>
        </w:rPr>
        <w:t xml:space="preserve">. The GHGE (in g CO2eq), atmospheric acidification (in g SO2eq) and marine eutrophication (in g </w:t>
      </w:r>
      <w:proofErr w:type="spellStart"/>
      <w:r w:rsidRPr="001B3354">
        <w:rPr>
          <w:rFonts w:ascii="Times New Roman" w:hAnsi="Times New Roman" w:cs="Times New Roman"/>
          <w:sz w:val="24"/>
          <w:szCs w:val="24"/>
          <w:lang w:val="en-US"/>
        </w:rPr>
        <w:t>Neq</w:t>
      </w:r>
      <w:proofErr w:type="spellEnd"/>
      <w:r w:rsidRPr="001B3354">
        <w:rPr>
          <w:rFonts w:ascii="Times New Roman" w:hAnsi="Times New Roman" w:cs="Times New Roman"/>
          <w:sz w:val="24"/>
          <w:szCs w:val="24"/>
          <w:lang w:val="en-US"/>
        </w:rPr>
        <w:t>) associated with household food purchases were estimated</w:t>
      </w:r>
      <w:r w:rsidRPr="001B3354">
        <w:rPr>
          <w:rFonts w:ascii="Times New Roman" w:hAnsi="Times New Roman" w:cs="Times New Roman"/>
          <w:lang w:val="en-US"/>
        </w:rPr>
        <w:t xml:space="preserve"> </w:t>
      </w:r>
      <w:r w:rsidRPr="001B3354">
        <w:rPr>
          <w:rFonts w:ascii="Times New Roman" w:hAnsi="Times New Roman" w:cs="Times New Roman"/>
          <w:sz w:val="24"/>
          <w:szCs w:val="24"/>
          <w:lang w:val="en-US"/>
        </w:rPr>
        <w:t>based on the environmental impacts of each food item. An environmental food database providing the GHGE, acidification and eutrophication estimates (per 100 g of edible part) for 541 food items was used. T</w:t>
      </w:r>
      <w:r w:rsidRPr="001B3354">
        <w:rPr>
          <w:rFonts w:ascii="Times New Roman" w:eastAsia="Times New Roman" w:hAnsi="Times New Roman" w:cs="Times New Roman"/>
          <w:sz w:val="24"/>
          <w:szCs w:val="24"/>
          <w:lang w:val="en-GB" w:eastAsia="fr-FR"/>
        </w:rPr>
        <w:t xml:space="preserve">he </w:t>
      </w:r>
      <w:r w:rsidRPr="001B3354">
        <w:rPr>
          <w:rFonts w:ascii="Times New Roman" w:hAnsi="Times New Roman" w:cs="Times New Roman"/>
          <w:sz w:val="24"/>
          <w:szCs w:val="24"/>
          <w:lang w:val="en-US"/>
        </w:rPr>
        <w:t xml:space="preserve">estimates were assigned based on an hybrid method combining input/output and life-cycle assessment approaches and reflecting food products as consumed in the French market, as previously described </w:t>
      </w:r>
      <w:r w:rsidRPr="001B3354">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{"citationItems":[{"id":"ITEM-1","itemData":{"DOI":"10.1371/journal.pone.0150617","ISSN":"1932-6203","abstract":"There is a lack of standardized country-specific environmental data to combine with nutritional and dietary data for assessing the environmental impact of individual diets in epidemiology surveys, which are consequently reliant on environmental food datasets based on values retrieved from a heterogeneous literature. The aim of this study was to compare and assess the relative strengths and limits of a database of food greenhouse gas emissions (GHGE) values estimated with a hybrid method combining input/output and LCA approaches, with a dataset of GHGE values retrieved from the literature. France is the geographical perimeter considered in this study, but the methodology could be applied to other countries. The GHGE of 402 foodstuffs, representative of French diet, were estimated using the hybrid method. In parallel, the GHGE of individual foods were collected from existing literature. Median per-food-category GHGE values from the hybrid method and the reviewed literature were found to correlate strongly (Spearman correlation was 0.83), showing similar rankings of food categories. Median values were significantly different for only 5 (out of 29) food categories, including the ruminant meats category for which the hybrid method gave lower estimates than those from existing literature. Analysis also revealed that literature values came from heterogeneous studies that were not always sourced and that were conducted under different LCA modeling hypotheses. In contrast, the hybrid method helps build reliably-sourced, representative national standards for product-based datasets. We anticipate this hybrid method to be a starting point for better environmental impact assessments of diets.","author":[{"dropping-particle":"","family":"Bertoluci","given":"Gwenola","non-dropping-particle":"","parse-names":false,"suffix":""},{"dropping-particle":"","family":"Masset","given":"Gabriel","non-dropping-particle":"","parse-names":false,"suffix":""},{"dropping-particle":"","family":"Gomy","given":"Catherine","non-dropping-particle":"","parse-names":false,"suffix":""},{"dropping-particle":"","family":"Mottet","given":"Julien","non-dropping-particle":"","parse-names":false,"suffix":""},{"dropping-particle":"","family":"Darmon","given":"Nicole","non-dropping-particle":"","parse-names":false,"suffix":""}],"container-title":"PLOS ONE","editor":[{"dropping-particle":"","family":"Lightfoot","given":"David A","non-dropping-particle":"","parse-names":false,"suffix":""}],"id":"ITEM-1","issue":"4","issued":{"date-parts":[["2016","4"]]},"page":"e0150617","publisher":"Public Library of Science","title":"How to Build a Standardized Country-Specific Environmental Food Database for Nutritional Epidemiology Studies","type":"article-journal","volume":"11"},"uris":["http://www.mendeley.com/documents/?uuid=8b74809c-f1b8-494d-97b2-7ab4f1a52af3"]}],"mendeley":{"formattedCitation":"[6]","plainTextFormattedCitation":"[6]","previouslyFormattedCitation":"[6]"},"properties":{"noteIndex":0},"schema":"https://github.com/citation-style-language/schema/raw/master/csl-citation.json"}</w:instrText>
      </w:r>
      <w:r w:rsidRPr="001B3354">
        <w:rPr>
          <w:rFonts w:ascii="Times New Roman" w:hAnsi="Times New Roman" w:cs="Times New Roman"/>
          <w:sz w:val="24"/>
          <w:szCs w:val="24"/>
          <w:lang w:val="en-US"/>
        </w:rPr>
        <w:fldChar w:fldCharType="separate"/>
      </w:r>
      <w:r w:rsidRPr="003C14BE">
        <w:rPr>
          <w:rFonts w:ascii="Times New Roman" w:hAnsi="Times New Roman" w:cs="Times New Roman"/>
          <w:noProof/>
          <w:sz w:val="24"/>
          <w:szCs w:val="24"/>
          <w:lang w:val="en-US"/>
        </w:rPr>
        <w:t>[6]</w:t>
      </w:r>
      <w:r w:rsidRPr="001B3354">
        <w:rPr>
          <w:rFonts w:ascii="Times New Roman" w:hAnsi="Times New Roman" w:cs="Times New Roman"/>
          <w:sz w:val="24"/>
          <w:szCs w:val="24"/>
          <w:lang w:val="en-US"/>
        </w:rPr>
        <w:fldChar w:fldCharType="end"/>
      </w:r>
      <w:r w:rsidRPr="001B3354">
        <w:rPr>
          <w:rFonts w:ascii="Times New Roman" w:hAnsi="Times New Roman" w:cs="Times New Roman"/>
          <w:sz w:val="24"/>
          <w:szCs w:val="24"/>
          <w:lang w:val="en-US"/>
        </w:rPr>
        <w:t xml:space="preserve">. Each food item from the food supply database that was present in the list of 541 food items from the environmental database was attributed the corresponding environmental estimates. For the other food purchased, environmental estimates were allocated by linking each of them to the “nutritionally” closest food among the 541 food items. To do so, we calculated the nutritional Euclidean distance between food items within each food category based on their energy, water, protein, fiber, alcohol, sodium, calcium, iron, zinc, vitamin A, vitamin E, vitamin C, fats and saturated fatty acid contents. We also estimate the animal to plant </w:t>
      </w:r>
      <w:r>
        <w:rPr>
          <w:rFonts w:ascii="Times New Roman" w:hAnsi="Times New Roman" w:cs="Times New Roman"/>
          <w:sz w:val="24"/>
          <w:szCs w:val="24"/>
          <w:lang w:val="en-US"/>
        </w:rPr>
        <w:t xml:space="preserve">protein </w:t>
      </w:r>
      <w:r w:rsidRPr="001B3354">
        <w:rPr>
          <w:rFonts w:ascii="Times New Roman" w:hAnsi="Times New Roman" w:cs="Times New Roman"/>
          <w:sz w:val="24"/>
          <w:szCs w:val="24"/>
          <w:lang w:val="en-US"/>
        </w:rPr>
        <w:t>ratio of household food supply as the ratio of protein from animal-sourced foods to protein from plants.</w:t>
      </w:r>
    </w:p>
    <w:p w14:paraId="618F3E45" w14:textId="6ED10376" w:rsidR="003C14BE" w:rsidRPr="001B3354" w:rsidRDefault="003C14BE" w:rsidP="003C14BE">
      <w:pPr>
        <w:spacing w:after="0" w:line="480" w:lineRule="auto"/>
        <w:jc w:val="both"/>
        <w:rPr>
          <w:rFonts w:ascii="Times New Roman" w:hAnsi="Times New Roman" w:cs="Times New Roman"/>
          <w:sz w:val="24"/>
          <w:szCs w:val="24"/>
          <w:lang w:val="en-US"/>
        </w:rPr>
      </w:pPr>
      <w:r>
        <w:rPr>
          <w:rFonts w:ascii="Times New Roman" w:hAnsi="Times New Roman" w:cs="Times New Roman"/>
          <w:i/>
          <w:sz w:val="24"/>
          <w:szCs w:val="24"/>
          <w:lang w:val="en-US"/>
        </w:rPr>
        <w:t>H</w:t>
      </w:r>
      <w:r w:rsidRPr="003C14BE">
        <w:rPr>
          <w:rFonts w:ascii="Times New Roman" w:hAnsi="Times New Roman" w:cs="Times New Roman"/>
          <w:i/>
          <w:sz w:val="24"/>
          <w:szCs w:val="24"/>
          <w:lang w:val="en-US"/>
        </w:rPr>
        <w:t>ousehold food expenditure and expenditure share by food groups</w:t>
      </w:r>
      <w:r w:rsidRPr="001B3354">
        <w:rPr>
          <w:rFonts w:ascii="Times New Roman" w:hAnsi="Times New Roman" w:cs="Times New Roman"/>
          <w:sz w:val="24"/>
          <w:szCs w:val="24"/>
          <w:lang w:val="en-US"/>
        </w:rPr>
        <w:t>. The expenditure for each food item purchased during the month of data collection was summed to calculate total household food expenditure. A theoretical price using the mean observed food price was assigned to produce picked from the garden, and to foods freely received from family, friends, colleagues or food aid organizations. Missing information on the price of a food was estimated by multiplying the weight of the food by the observed mean price per kilogram of that food item.</w:t>
      </w:r>
    </w:p>
    <w:p w14:paraId="2EDB2A73" w14:textId="0B39517C" w:rsidR="00D0002D" w:rsidRPr="00B6588A" w:rsidRDefault="00D0002D" w:rsidP="003C14BE">
      <w:pPr>
        <w:autoSpaceDE w:val="0"/>
        <w:autoSpaceDN w:val="0"/>
        <w:adjustRightInd w:val="0"/>
        <w:spacing w:after="0" w:line="480" w:lineRule="auto"/>
        <w:jc w:val="both"/>
        <w:rPr>
          <w:rFonts w:ascii="Times New Roman" w:hAnsi="Times New Roman" w:cs="Times New Roman"/>
          <w:sz w:val="24"/>
          <w:szCs w:val="24"/>
          <w:lang w:val="en-GB"/>
        </w:rPr>
      </w:pPr>
    </w:p>
    <w:p w14:paraId="033E4DA2" w14:textId="48C096D6" w:rsidR="003C14BE" w:rsidRPr="003C14BE" w:rsidRDefault="003C14BE" w:rsidP="003C14BE">
      <w:pPr>
        <w:autoSpaceDE w:val="0"/>
        <w:autoSpaceDN w:val="0"/>
        <w:adjustRightInd w:val="0"/>
        <w:spacing w:after="0" w:line="480" w:lineRule="auto"/>
        <w:jc w:val="both"/>
        <w:rPr>
          <w:rFonts w:ascii="Times New Roman" w:hAnsi="Times New Roman" w:cs="Times New Roman"/>
          <w:b/>
          <w:sz w:val="24"/>
          <w:szCs w:val="25"/>
          <w:lang w:val="en-US"/>
        </w:rPr>
      </w:pPr>
      <w:r>
        <w:rPr>
          <w:rFonts w:ascii="Times New Roman" w:hAnsi="Times New Roman" w:cs="Times New Roman"/>
          <w:b/>
          <w:sz w:val="24"/>
          <w:szCs w:val="25"/>
          <w:lang w:val="en-US"/>
        </w:rPr>
        <w:t>Physical activity</w:t>
      </w:r>
    </w:p>
    <w:p w14:paraId="5EFC5D04" w14:textId="2FEB7301" w:rsidR="001B3354" w:rsidRDefault="00147B95" w:rsidP="003C14BE">
      <w:pPr>
        <w:pStyle w:val="MDPI32textnoindent"/>
        <w:spacing w:line="480" w:lineRule="auto"/>
        <w:rPr>
          <w:rFonts w:ascii="Times New Roman" w:hAnsi="Times New Roman"/>
          <w:sz w:val="24"/>
          <w:szCs w:val="24"/>
        </w:rPr>
      </w:pPr>
      <w:r w:rsidRPr="0014411D">
        <w:rPr>
          <w:rFonts w:ascii="Times New Roman" w:hAnsi="Times New Roman"/>
          <w:sz w:val="24"/>
          <w:szCs w:val="24"/>
          <w:lang w:val="en-GB"/>
        </w:rPr>
        <w:lastRenderedPageBreak/>
        <w:t xml:space="preserve">Participants were instructed </w:t>
      </w:r>
      <w:r w:rsidRPr="0014411D">
        <w:rPr>
          <w:rFonts w:ascii="Times New Roman" w:hAnsi="Times New Roman"/>
          <w:sz w:val="24"/>
          <w:szCs w:val="24"/>
        </w:rPr>
        <w:t xml:space="preserve">to wear a </w:t>
      </w:r>
      <w:proofErr w:type="spellStart"/>
      <w:r w:rsidRPr="0014411D">
        <w:rPr>
          <w:rFonts w:ascii="Times New Roman" w:hAnsi="Times New Roman"/>
          <w:sz w:val="24"/>
          <w:szCs w:val="24"/>
        </w:rPr>
        <w:t>triaxial</w:t>
      </w:r>
      <w:proofErr w:type="spellEnd"/>
      <w:r w:rsidRPr="0014411D">
        <w:rPr>
          <w:rFonts w:ascii="Times New Roman" w:hAnsi="Times New Roman"/>
          <w:sz w:val="24"/>
          <w:szCs w:val="24"/>
        </w:rPr>
        <w:t xml:space="preserve"> accelerometer (wGT3X-BT or </w:t>
      </w:r>
      <w:proofErr w:type="spellStart"/>
      <w:r w:rsidRPr="0014411D">
        <w:rPr>
          <w:rFonts w:ascii="Times New Roman" w:hAnsi="Times New Roman"/>
          <w:sz w:val="24"/>
          <w:szCs w:val="24"/>
        </w:rPr>
        <w:t>wActiSleep</w:t>
      </w:r>
      <w:proofErr w:type="spellEnd"/>
      <w:r w:rsidRPr="0014411D">
        <w:rPr>
          <w:rFonts w:ascii="Times New Roman" w:hAnsi="Times New Roman"/>
          <w:sz w:val="24"/>
          <w:szCs w:val="24"/>
        </w:rPr>
        <w:t xml:space="preserve">-BT, </w:t>
      </w:r>
      <w:proofErr w:type="spellStart"/>
      <w:r w:rsidRPr="0014411D">
        <w:rPr>
          <w:rFonts w:ascii="Times New Roman" w:hAnsi="Times New Roman"/>
          <w:sz w:val="24"/>
          <w:szCs w:val="24"/>
        </w:rPr>
        <w:t>Actigraph</w:t>
      </w:r>
      <w:proofErr w:type="spellEnd"/>
      <w:r w:rsidRPr="0014411D">
        <w:rPr>
          <w:rFonts w:ascii="Times New Roman" w:hAnsi="Times New Roman"/>
          <w:sz w:val="24"/>
          <w:szCs w:val="24"/>
        </w:rPr>
        <w:t xml:space="preserve">, </w:t>
      </w:r>
      <w:proofErr w:type="spellStart"/>
      <w:proofErr w:type="gramStart"/>
      <w:r w:rsidRPr="0014411D">
        <w:rPr>
          <w:rFonts w:ascii="Times New Roman" w:hAnsi="Times New Roman"/>
          <w:sz w:val="24"/>
          <w:szCs w:val="24"/>
        </w:rPr>
        <w:t>Pensacola,FL</w:t>
      </w:r>
      <w:proofErr w:type="spellEnd"/>
      <w:proofErr w:type="gramEnd"/>
      <w:r w:rsidRPr="0014411D">
        <w:rPr>
          <w:rFonts w:ascii="Times New Roman" w:hAnsi="Times New Roman"/>
          <w:sz w:val="24"/>
          <w:szCs w:val="24"/>
        </w:rPr>
        <w:t xml:space="preserve">, USA) for 9 consecutive days, </w:t>
      </w:r>
      <w:r w:rsidRPr="00710F80">
        <w:rPr>
          <w:rFonts w:ascii="Times New Roman" w:hAnsi="Times New Roman"/>
          <w:sz w:val="24"/>
          <w:szCs w:val="24"/>
        </w:rPr>
        <w:t xml:space="preserve">24h a day at the right hip. </w:t>
      </w:r>
      <w:r>
        <w:rPr>
          <w:rFonts w:ascii="Times New Roman" w:hAnsi="Times New Roman"/>
          <w:sz w:val="24"/>
          <w:szCs w:val="24"/>
        </w:rPr>
        <w:t>T</w:t>
      </w:r>
      <w:r w:rsidRPr="00710F80">
        <w:rPr>
          <w:rFonts w:ascii="Times New Roman" w:hAnsi="Times New Roman"/>
          <w:sz w:val="24"/>
          <w:szCs w:val="24"/>
        </w:rPr>
        <w:t>hey were asked to record in an activity logbook the time they went to and get out of bed each night, as well the time window and reason</w:t>
      </w:r>
      <w:r>
        <w:rPr>
          <w:rFonts w:ascii="Times New Roman" w:hAnsi="Times New Roman"/>
          <w:sz w:val="24"/>
          <w:szCs w:val="24"/>
        </w:rPr>
        <w:t>/type</w:t>
      </w:r>
      <w:r w:rsidRPr="00710F80">
        <w:rPr>
          <w:rFonts w:ascii="Times New Roman" w:hAnsi="Times New Roman"/>
          <w:sz w:val="24"/>
          <w:szCs w:val="24"/>
        </w:rPr>
        <w:t xml:space="preserve"> of any device removal and exercise. Raw acceleration and counts per minute </w:t>
      </w:r>
      <w:r w:rsidRPr="0014411D">
        <w:rPr>
          <w:rFonts w:ascii="Times New Roman" w:hAnsi="Times New Roman"/>
          <w:sz w:val="24"/>
          <w:szCs w:val="24"/>
        </w:rPr>
        <w:t>were downloaded using the manufacturer’s software (</w:t>
      </w:r>
      <w:proofErr w:type="spellStart"/>
      <w:r w:rsidRPr="0014411D">
        <w:rPr>
          <w:rFonts w:ascii="Times New Roman" w:hAnsi="Times New Roman"/>
          <w:sz w:val="24"/>
          <w:szCs w:val="24"/>
        </w:rPr>
        <w:t>ActiLife</w:t>
      </w:r>
      <w:proofErr w:type="spellEnd"/>
      <w:r w:rsidRPr="0014411D">
        <w:rPr>
          <w:rFonts w:ascii="Times New Roman" w:hAnsi="Times New Roman"/>
          <w:sz w:val="24"/>
          <w:szCs w:val="24"/>
        </w:rPr>
        <w:t xml:space="preserve"> version 6.13).</w:t>
      </w:r>
      <w:r>
        <w:rPr>
          <w:rFonts w:ascii="Times New Roman" w:hAnsi="Times New Roman"/>
          <w:sz w:val="24"/>
          <w:szCs w:val="24"/>
        </w:rPr>
        <w:t xml:space="preserve"> Sleep</w:t>
      </w:r>
      <w:r w:rsidRPr="00960F0F">
        <w:rPr>
          <w:rFonts w:ascii="Times New Roman" w:hAnsi="Times New Roman"/>
          <w:sz w:val="24"/>
          <w:szCs w:val="24"/>
        </w:rPr>
        <w:t xml:space="preserve"> time was </w:t>
      </w:r>
      <w:r>
        <w:rPr>
          <w:rFonts w:ascii="Times New Roman" w:hAnsi="Times New Roman"/>
          <w:sz w:val="24"/>
          <w:szCs w:val="24"/>
        </w:rPr>
        <w:t xml:space="preserve">identified from counts per minutes as previously described </w:t>
      </w:r>
      <w:r>
        <w:rPr>
          <w:rFonts w:ascii="Times New Roman" w:hAnsi="Times New Roman"/>
          <w:sz w:val="24"/>
          <w:szCs w:val="24"/>
        </w:rPr>
        <w:fldChar w:fldCharType="begin" w:fldLock="1"/>
      </w:r>
      <w:r w:rsidR="003C14BE">
        <w:rPr>
          <w:rFonts w:ascii="Times New Roman" w:hAnsi="Times New Roman"/>
          <w:sz w:val="24"/>
          <w:szCs w:val="24"/>
        </w:rPr>
        <w:instrText>ADDIN CSL_CITATION {"citationItems":[{"id":"ITEM-1","itemData":{"DOI":"10.1249/MSS.0000000000000486","ISSN":"15300315","abstract":"Purpose: The purposes of this study were 1) to add layers and features to a previously published fully automated algorithm designed to identify children's nocturnal sleep and to exclude episodes of nighttime nonwear/wakefulness and potentially misclassified daytime sleep episodes and 2) to validate this refined sleep algorithm (RSA) against sleep logs. Methods: Forty-five fourth-grade school children (51% female) participants were asked to log evening bedtime and morning wake time and wear an ActiGraph GT3X+ (ActiGraph LLC, Pensacola, FL) accelerometer at their waist for seven consecutive days. Accelerometers were distributed through a single school participating in the Baton Rouge, USA, site of the International Study of Childhood Obesity, Lifestyle, and the Environment. We compared log-based variables of sleep period time (SPT), bedtime, and wake time to corresponding accelerometer-determined variables of total sleep episode time, sleep onset, and sleep offset estimated with the RSA. In addition, SPT and sleep onset estimated using standard procedures combining sleep logs and accelerometry (Log + Accel) were compared to the RSA-derived values. Results: RSA total sleep episode time (540 T 36 min) was significantly different from Log SPT (560 T 24 min), P = 0.003, but not different from Log + Accel SPT (549 T 24 min), P = 0.15. Significant and moderately high correlations were apparent between RSA-determined variables and those using the other methods (r = 0.61 to 0.74). There were no differences between RSA and Log + Accel estimates of sleep onset (P = 0.15) or RSA sleep offset and log wake time (P = 0.16). Conclusions: The RSA is a refinement of our previous algorithm, allowing researchers who use a 24-h waist-worn accelerometry protocol to distinguish children's nocturnal sleep (including night time wake episodes) from daytime activities.","author":[{"dropping-particle":"V.","family":"Barreira","given":"Tiago","non-dropping-particle":"","parse-names":false,"suffix":""},{"dropping-particle":"","family":"Schuna","given":"John M.","non-dropping-particle":"","parse-names":false,"suffix":""},{"dropping-particle":"","family":"Mire","given":"Emily F.","non-dropping-particle":"","parse-names":false,"suffix":""},{"dropping-particle":"","family":"Katzmarzyk","given":"Peter T.","non-dropping-particle":"","parse-names":false,"suffix":""},{"dropping-particle":"","family":"Chaput","given":"Jean Philippe","non-dropping-particle":"","parse-names":false,"suffix":""},{"dropping-particle":"","family":"Leduc","given":"Genevieve","non-dropping-particle":"","parse-names":false,"suffix":""},{"dropping-particle":"","family":"Tudor-Locke","given":"Catrine","non-dropping-particle":"","parse-names":false,"suffix":""}],"container-title":"Medicine and Science in Sports and Exercise","id":"ITEM-1","issue":"5","issued":{"date-parts":[["2015","5","21"]]},"page":"937-943","publisher":"Lippincott Williams and Wilkins","title":"Identifying children's nocturnal sleep using 24-h waist accelerometry","type":"article-journal","volume":"47"},"uris":["http://www.mendeley.com/documents/?uuid=9684089c-1879-3416-9a9e-f2af85969922"]}],"mendeley":{"formattedCitation":"[7]","plainTextFormattedCitation":"[7]","previouslyFormattedCitation":"[7]"},"properties":{"noteIndex":0},"schema":"https://github.com/citation-style-language/schema/raw/master/csl-citation.json"}</w:instrText>
      </w:r>
      <w:r>
        <w:rPr>
          <w:rFonts w:ascii="Times New Roman" w:hAnsi="Times New Roman"/>
          <w:sz w:val="24"/>
          <w:szCs w:val="24"/>
        </w:rPr>
        <w:fldChar w:fldCharType="separate"/>
      </w:r>
      <w:r w:rsidR="003C14BE" w:rsidRPr="003C14BE">
        <w:rPr>
          <w:rFonts w:ascii="Times New Roman" w:hAnsi="Times New Roman"/>
          <w:noProof/>
          <w:sz w:val="24"/>
          <w:szCs w:val="24"/>
        </w:rPr>
        <w:t>[7]</w:t>
      </w:r>
      <w:r>
        <w:rPr>
          <w:rFonts w:ascii="Times New Roman" w:hAnsi="Times New Roman"/>
          <w:sz w:val="24"/>
          <w:szCs w:val="24"/>
        </w:rPr>
        <w:fldChar w:fldCharType="end"/>
      </w:r>
      <w:r>
        <w:rPr>
          <w:rFonts w:ascii="Times New Roman" w:hAnsi="Times New Roman"/>
          <w:sz w:val="24"/>
          <w:szCs w:val="24"/>
        </w:rPr>
        <w:t xml:space="preserve"> and daytime non-wear periods determined as sequences </w:t>
      </w:r>
      <w:r w:rsidRPr="00403763">
        <w:rPr>
          <w:rFonts w:ascii="Times New Roman" w:hAnsi="Times New Roman"/>
          <w:sz w:val="24"/>
          <w:szCs w:val="24"/>
        </w:rPr>
        <w:t xml:space="preserve">of </w:t>
      </w:r>
      <w:r>
        <w:rPr>
          <w:rFonts w:ascii="Times New Roman" w:hAnsi="Times New Roman"/>
          <w:sz w:val="24"/>
          <w:szCs w:val="24"/>
        </w:rPr>
        <w:t xml:space="preserve">20 minutes with no significant raw acceleration. </w:t>
      </w:r>
      <w:r w:rsidRPr="0014411D">
        <w:rPr>
          <w:rFonts w:ascii="Times New Roman" w:hAnsi="Times New Roman"/>
          <w:sz w:val="24"/>
          <w:szCs w:val="24"/>
        </w:rPr>
        <w:t xml:space="preserve">Participants with less than 3 valid days (defined as at least 10h wearing during </w:t>
      </w:r>
      <w:r>
        <w:rPr>
          <w:rFonts w:ascii="Times New Roman" w:hAnsi="Times New Roman"/>
          <w:sz w:val="24"/>
          <w:szCs w:val="24"/>
        </w:rPr>
        <w:t>daytime</w:t>
      </w:r>
      <w:r w:rsidRPr="007E56DC">
        <w:rPr>
          <w:rFonts w:ascii="Times New Roman" w:hAnsi="Times New Roman"/>
          <w:sz w:val="24"/>
          <w:szCs w:val="24"/>
        </w:rPr>
        <w:t>) were excluded from the analysis. Physical activity energy expenditure</w:t>
      </w:r>
      <w:r w:rsidRPr="007434FD">
        <w:rPr>
          <w:rFonts w:ascii="Times New Roman" w:hAnsi="Times New Roman"/>
          <w:sz w:val="24"/>
          <w:szCs w:val="24"/>
        </w:rPr>
        <w:t xml:space="preserve"> (</w:t>
      </w:r>
      <w:r>
        <w:rPr>
          <w:rFonts w:ascii="Times New Roman" w:hAnsi="Times New Roman"/>
          <w:sz w:val="24"/>
          <w:szCs w:val="24"/>
        </w:rPr>
        <w:t>P</w:t>
      </w:r>
      <w:r w:rsidRPr="007434FD">
        <w:rPr>
          <w:rFonts w:ascii="Times New Roman" w:hAnsi="Times New Roman"/>
          <w:sz w:val="24"/>
          <w:szCs w:val="24"/>
        </w:rPr>
        <w:t xml:space="preserve">AEE) and time spent </w:t>
      </w:r>
      <w:r>
        <w:rPr>
          <w:rFonts w:ascii="Times New Roman" w:hAnsi="Times New Roman"/>
          <w:sz w:val="24"/>
          <w:szCs w:val="24"/>
        </w:rPr>
        <w:t xml:space="preserve">during daytime </w:t>
      </w:r>
      <w:r w:rsidRPr="007434FD">
        <w:rPr>
          <w:rFonts w:ascii="Times New Roman" w:hAnsi="Times New Roman"/>
          <w:sz w:val="24"/>
          <w:szCs w:val="24"/>
        </w:rPr>
        <w:t>in activit</w:t>
      </w:r>
      <w:r>
        <w:rPr>
          <w:rFonts w:ascii="Times New Roman" w:hAnsi="Times New Roman"/>
          <w:sz w:val="24"/>
          <w:szCs w:val="24"/>
        </w:rPr>
        <w:t>ies of different</w:t>
      </w:r>
      <w:r w:rsidRPr="007434FD">
        <w:rPr>
          <w:rFonts w:ascii="Times New Roman" w:hAnsi="Times New Roman"/>
          <w:sz w:val="24"/>
          <w:szCs w:val="24"/>
        </w:rPr>
        <w:t xml:space="preserve"> intens</w:t>
      </w:r>
      <w:r w:rsidRPr="00CE5130">
        <w:rPr>
          <w:rFonts w:ascii="Times New Roman" w:hAnsi="Times New Roman"/>
          <w:sz w:val="24"/>
          <w:szCs w:val="24"/>
        </w:rPr>
        <w:t xml:space="preserve">ities were </w:t>
      </w:r>
      <w:r w:rsidRPr="007434FD">
        <w:rPr>
          <w:rFonts w:ascii="Times New Roman" w:hAnsi="Times New Roman"/>
          <w:sz w:val="24"/>
          <w:szCs w:val="24"/>
        </w:rPr>
        <w:t>using a previously validated model that combines an automatic activity-recognition algorithm with an activity-specific count-based model</w:t>
      </w:r>
      <w:r>
        <w:rPr>
          <w:rFonts w:ascii="Times New Roman" w:hAnsi="Times New Roman"/>
          <w:i/>
          <w:sz w:val="24"/>
          <w:szCs w:val="24"/>
        </w:rPr>
        <w:t xml:space="preserve"> </w:t>
      </w:r>
      <w:r>
        <w:rPr>
          <w:rFonts w:ascii="Times New Roman" w:hAnsi="Times New Roman"/>
          <w:i/>
          <w:sz w:val="24"/>
          <w:szCs w:val="24"/>
        </w:rPr>
        <w:fldChar w:fldCharType="begin" w:fldLock="1"/>
      </w:r>
      <w:r w:rsidR="003C14BE">
        <w:rPr>
          <w:rFonts w:ascii="Times New Roman" w:hAnsi="Times New Roman"/>
          <w:i/>
          <w:sz w:val="24"/>
          <w:szCs w:val="24"/>
        </w:rPr>
        <w:instrText>ADDIN CSL_CITATION {"citationItems":[{"id":"ITEM-1","itemData":{"DOI":"10.1152/japplphysiol.00556.2017","ISSN":"8750-7587","PMID":"29191980","abstract":"Accelerometry is increasingly used to quantify physical activity (PA) and related energy expenditure (EE). Linear regression models designed to derive PAEE from accelerometry-counts have shown their limits, mostly due to the lack of consideration of the nature of activities performed. Here we tested whether a model coupling an automatic activity/posture recognition (AAR) algorithm with an activity-specific count-based model, developed in 61 subjects in laboratory conditions, improved PAEE and total EE (TEE) predictions from hip-worn triaxial-accelerometer (ActigraphGT3X+TM) in free-living conditions. Data from two independent subject groups of varying body mass index and age were considered: 20 subjects engaged in a 3h urban-circuit, with activity-by-activity reference PAEE from combined heart-rate and accelerometry monitoring (ActiheartTM); and 56 subjects involved in a 14-day trial, with PAEE and TEE measured using the doubly-labeled-water method. PAEE was estimated from accelerometry using the activity-specific model coupled to the AAR algorithm (AAR-model), a simple linear model (SLM), and equations provided by the activity-devices companion -software of used activity-devices (Freedson and ActiheartTMmodels). AAR-model predictions were in closer agreement with selected references than those from other count-based models both for PAEE during the urban-circuit (RMSE=6.19 vs 7.90 for SLM and 9.62 kJ.min-1for Freedson) and for EE over the 14-day trial, reaching ActiheartTMperformances in the latter (PAEE: RMSE=0.93 vs 1.53 for SLM, 1.43 for Freedson, 0.91 MJ.day-1for Actiheart; TEE: RMSE=1.05 vs 1.57 for SLM, 1.70 for Freedson, 0.95 MJ.day-1for ActiheartTM). Overall, the AAR-model resulted in a 43% increase of daily PAEE variance explained by accelerometry predictions.","author":[{"dropping-particle":"","family":"Garnotel","given":"Maël","non-dropping-particle":"","parse-names":false,"suffix":""},{"dropping-particle":"","family":"Bastian","given":"Thomas","non-dropping-particle":"","parse-names":false,"suffix":""},{"dropping-particle":"","family":"Romero-Ugalde","given":"Hector-Manuel","non-dropping-particle":"","parse-names":false,"suffix":""},{"dropping-particle":"","family":"Maire","given":"Aurélia","non-dropping-particle":"","parse-names":false,"suffix":""},{"dropping-particle":"","family":"Dugas","given":"Julien","non-dropping-particle":"","parse-names":false,"suffix":""},{"dropping-particle":"","family":"Zahariev","given":"Alexandre","non-dropping-particle":"","parse-names":false,"suffix":""},{"dropping-particle":"","family":"Doron","given":"Maeva","non-dropping-particle":"","parse-names":false,"suffix":""},{"dropping-particle":"","family":"Jallon","given":"Pierre","non-dropping-particle":"","parse-names":false,"suffix":""},{"dropping-particle":"","family":"Charpentier","given":"Guillaume","non-dropping-particle":"","parse-names":false,"suffix":""},{"dropping-particle":"","family":"Franc","given":"Sylvia","non-dropping-particle":"","parse-names":false,"suffix":""},{"dropping-particle":"","family":"Blanc","given":"Stéphane","non-dropping-particle":"","parse-names":false,"suffix":""},{"dropping-particle":"","family":"Bonnet","given":"Stéphane","non-dropping-particle":"","parse-names":false,"suffix":""},{"dropping-particle":"","family":"Simon","given":"Chantal","non-dropping-particle":"","parse-names":false,"suffix":""}],"container-title":"Journal of Applied Physiology","id":"ITEM-1","issued":{"date-parts":[["2017","11"]]},"page":"japplphysiol.00556.2017","title":"Prior automatic posture and activity identification improves physical activity energy expenditure prediction from hip-worn triaxial accelerometry.","type":"article-journal"},"uris":["http://www.mendeley.com/documents/?uuid=dac6f9d2-2dfc-425f-8a38-fc783bcf576e"]}],"mendeley":{"formattedCitation":"[8]","plainTextFormattedCitation":"[8]","previouslyFormattedCitation":"[8]"},"properties":{"noteIndex":0},"schema":"https://github.com/citation-style-language/schema/raw/master/csl-citation.json"}</w:instrText>
      </w:r>
      <w:r>
        <w:rPr>
          <w:rFonts w:ascii="Times New Roman" w:hAnsi="Times New Roman"/>
          <w:i/>
          <w:sz w:val="24"/>
          <w:szCs w:val="24"/>
        </w:rPr>
        <w:fldChar w:fldCharType="separate"/>
      </w:r>
      <w:r w:rsidR="003C14BE" w:rsidRPr="003C14BE">
        <w:rPr>
          <w:rFonts w:ascii="Times New Roman" w:hAnsi="Times New Roman"/>
          <w:noProof/>
          <w:sz w:val="24"/>
          <w:szCs w:val="24"/>
        </w:rPr>
        <w:t>[8]</w:t>
      </w:r>
      <w:r>
        <w:rPr>
          <w:rFonts w:ascii="Times New Roman" w:hAnsi="Times New Roman"/>
          <w:i/>
          <w:sz w:val="24"/>
          <w:szCs w:val="24"/>
        </w:rPr>
        <w:fldChar w:fldCharType="end"/>
      </w:r>
      <w:r w:rsidRPr="00D84DB7">
        <w:rPr>
          <w:rFonts w:ascii="Times New Roman" w:hAnsi="Times New Roman"/>
          <w:i/>
          <w:sz w:val="24"/>
          <w:szCs w:val="24"/>
        </w:rPr>
        <w:t>.</w:t>
      </w:r>
      <w:r>
        <w:rPr>
          <w:rFonts w:ascii="Times New Roman" w:hAnsi="Times New Roman"/>
          <w:sz w:val="24"/>
          <w:szCs w:val="24"/>
        </w:rPr>
        <w:t xml:space="preserve"> Activities were classified as inactivity (</w:t>
      </w:r>
      <w:r w:rsidRPr="002820C1">
        <w:rPr>
          <w:rFonts w:ascii="Times New Roman" w:hAnsi="Times New Roman"/>
          <w:sz w:val="24"/>
          <w:szCs w:val="24"/>
        </w:rPr>
        <w:t xml:space="preserve">&lt;1.5 </w:t>
      </w:r>
      <w:r w:rsidRPr="00E52614">
        <w:rPr>
          <w:rFonts w:ascii="Times New Roman" w:hAnsi="Times New Roman"/>
          <w:sz w:val="24"/>
          <w:szCs w:val="24"/>
        </w:rPr>
        <w:t>METs</w:t>
      </w:r>
      <w:r>
        <w:rPr>
          <w:rFonts w:ascii="Times New Roman" w:hAnsi="Times New Roman"/>
          <w:sz w:val="24"/>
          <w:szCs w:val="24"/>
        </w:rPr>
        <w:t>), light intensity activities (between 1.5 and 3 METs) and</w:t>
      </w:r>
      <w:r w:rsidRPr="00E52614">
        <w:rPr>
          <w:rFonts w:ascii="Times New Roman" w:hAnsi="Times New Roman"/>
          <w:sz w:val="24"/>
          <w:szCs w:val="24"/>
        </w:rPr>
        <w:t xml:space="preserve"> moderate-to-very vigorous </w:t>
      </w:r>
      <w:r>
        <w:rPr>
          <w:rFonts w:ascii="Times New Roman" w:hAnsi="Times New Roman"/>
          <w:sz w:val="24"/>
          <w:szCs w:val="24"/>
        </w:rPr>
        <w:t xml:space="preserve">intensity activities (&gt;3 METs). </w:t>
      </w:r>
    </w:p>
    <w:p w14:paraId="39BA8E4D" w14:textId="77777777" w:rsidR="001B3354" w:rsidRDefault="001B3354" w:rsidP="003C14BE">
      <w:pPr>
        <w:spacing w:after="0" w:line="480" w:lineRule="auto"/>
        <w:jc w:val="both"/>
        <w:rPr>
          <w:rFonts w:ascii="Times New Roman" w:hAnsi="Times New Roman" w:cs="Times New Roman"/>
          <w:sz w:val="24"/>
          <w:szCs w:val="24"/>
          <w:lang w:val="en-US"/>
        </w:rPr>
      </w:pPr>
    </w:p>
    <w:p w14:paraId="279C1E41" w14:textId="50B7E033" w:rsidR="00D0002D" w:rsidRPr="00C51C18" w:rsidRDefault="00147B95" w:rsidP="003C14BE">
      <w:pPr>
        <w:spacing w:line="480" w:lineRule="auto"/>
        <w:rPr>
          <w:rFonts w:ascii="Times New Roman" w:hAnsi="Times New Roman" w:cs="Times New Roman"/>
          <w:b/>
          <w:sz w:val="24"/>
          <w:lang w:val="en-US"/>
        </w:rPr>
      </w:pPr>
      <w:r w:rsidRPr="00C51C18">
        <w:rPr>
          <w:rFonts w:ascii="Times New Roman" w:hAnsi="Times New Roman" w:cs="Times New Roman"/>
          <w:b/>
          <w:sz w:val="24"/>
          <w:lang w:val="en-US"/>
        </w:rPr>
        <w:t>References</w:t>
      </w:r>
    </w:p>
    <w:p w14:paraId="77BCF430" w14:textId="62D37C27" w:rsidR="003C14BE" w:rsidRPr="003C2360" w:rsidRDefault="00147B95"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C51C18">
        <w:rPr>
          <w:rFonts w:ascii="Times New Roman" w:hAnsi="Times New Roman" w:cs="Times New Roman"/>
          <w:b/>
          <w:sz w:val="24"/>
          <w:lang w:val="en-US"/>
        </w:rPr>
        <w:fldChar w:fldCharType="begin" w:fldLock="1"/>
      </w:r>
      <w:r w:rsidRPr="00C51C18">
        <w:rPr>
          <w:rFonts w:ascii="Times New Roman" w:hAnsi="Times New Roman" w:cs="Times New Roman"/>
          <w:b/>
          <w:sz w:val="24"/>
          <w:lang w:val="en-US"/>
        </w:rPr>
        <w:instrText xml:space="preserve">ADDIN Mendeley Bibliography CSL_BIBLIOGRAPHY </w:instrText>
      </w:r>
      <w:r w:rsidRPr="00C51C18">
        <w:rPr>
          <w:rFonts w:ascii="Times New Roman" w:hAnsi="Times New Roman" w:cs="Times New Roman"/>
          <w:b/>
          <w:sz w:val="24"/>
          <w:lang w:val="en-US"/>
        </w:rPr>
        <w:fldChar w:fldCharType="separate"/>
      </w:r>
      <w:r w:rsidR="003C14BE" w:rsidRPr="003C2360">
        <w:rPr>
          <w:rFonts w:ascii="Times New Roman" w:hAnsi="Times New Roman" w:cs="Times New Roman"/>
          <w:noProof/>
          <w:sz w:val="24"/>
          <w:szCs w:val="24"/>
          <w:lang w:val="en-GB"/>
        </w:rPr>
        <w:t>1. Marty L, Dubois C, Gaubard MS, Maidon A, Lesturgeon A, Gaigi H, et al. Higher nutritional quality at no additional cost among low-income households: insights from food purchases of “positive deviants.” Am J Clin Nutr [Internet]. 2015 [cited 2016 Oct 6];ajcn104380. Available from: http://ajcn.nutrition.org/content/early/2015/05/27/ajcn.114.104380</w:t>
      </w:r>
    </w:p>
    <w:p w14:paraId="26F0C0A9" w14:textId="77777777" w:rsidR="003C14BE" w:rsidRPr="003C2360" w:rsidRDefault="003C14BE"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3C14BE">
        <w:rPr>
          <w:rFonts w:ascii="Times New Roman" w:hAnsi="Times New Roman" w:cs="Times New Roman"/>
          <w:noProof/>
          <w:sz w:val="24"/>
          <w:szCs w:val="24"/>
        </w:rPr>
        <w:t xml:space="preserve">2. ANSES. Ciqual Table de composition nutritionnelle des aliments [Internet]. </w:t>
      </w:r>
      <w:r w:rsidRPr="003C2360">
        <w:rPr>
          <w:rFonts w:ascii="Times New Roman" w:hAnsi="Times New Roman" w:cs="Times New Roman"/>
          <w:noProof/>
          <w:sz w:val="24"/>
          <w:szCs w:val="24"/>
          <w:lang w:val="en-GB"/>
        </w:rPr>
        <w:t>[cited 2020 Apr 3]. Available from: https://ciqual.anses.fr/#/cms/telechargement/node/20</w:t>
      </w:r>
    </w:p>
    <w:p w14:paraId="7D1BEA88" w14:textId="77777777" w:rsidR="003C14BE" w:rsidRPr="003C2360" w:rsidRDefault="003C14BE"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3C2360">
        <w:rPr>
          <w:rFonts w:ascii="Times New Roman" w:hAnsi="Times New Roman" w:cs="Times New Roman"/>
          <w:noProof/>
          <w:sz w:val="24"/>
          <w:szCs w:val="24"/>
          <w:lang w:val="en-GB"/>
        </w:rPr>
        <w:t xml:space="preserve">3. Maillot M, Darmon N, Vieux F, Drewnowski A. Low energy density and high nutritional quality are each associated with higher diet costs in French adults. Am J Clin Nutr [Internet]. </w:t>
      </w:r>
      <w:r w:rsidRPr="003C2360">
        <w:rPr>
          <w:rFonts w:ascii="Times New Roman" w:hAnsi="Times New Roman" w:cs="Times New Roman"/>
          <w:noProof/>
          <w:sz w:val="24"/>
          <w:szCs w:val="24"/>
          <w:lang w:val="en-GB"/>
        </w:rPr>
        <w:lastRenderedPageBreak/>
        <w:t>2007 [cited 2019 Sep 25];86:690–6. Available from: http://www.ncbi.nlm.nih.gov/pubmed/17823434</w:t>
      </w:r>
    </w:p>
    <w:p w14:paraId="33016D20" w14:textId="77777777" w:rsidR="003C14BE" w:rsidRPr="003C14BE" w:rsidRDefault="003C14BE" w:rsidP="003C14BE">
      <w:pPr>
        <w:widowControl w:val="0"/>
        <w:autoSpaceDE w:val="0"/>
        <w:autoSpaceDN w:val="0"/>
        <w:adjustRightInd w:val="0"/>
        <w:spacing w:line="480" w:lineRule="auto"/>
        <w:rPr>
          <w:rFonts w:ascii="Times New Roman" w:hAnsi="Times New Roman" w:cs="Times New Roman"/>
          <w:noProof/>
          <w:sz w:val="24"/>
          <w:szCs w:val="24"/>
        </w:rPr>
      </w:pPr>
      <w:r w:rsidRPr="003C2360">
        <w:rPr>
          <w:rFonts w:ascii="Times New Roman" w:hAnsi="Times New Roman" w:cs="Times New Roman"/>
          <w:noProof/>
          <w:sz w:val="24"/>
          <w:szCs w:val="24"/>
          <w:lang w:val="en-GB"/>
        </w:rPr>
        <w:t xml:space="preserve">4. Vieux F, Soler L-G, Touazi D, Darmon N. High nutritional quality is not associated with low greenhouse gas emissions in self-selected diets of French adults. </w:t>
      </w:r>
      <w:r w:rsidRPr="003C14BE">
        <w:rPr>
          <w:rFonts w:ascii="Times New Roman" w:hAnsi="Times New Roman" w:cs="Times New Roman"/>
          <w:noProof/>
          <w:sz w:val="24"/>
          <w:szCs w:val="24"/>
        </w:rPr>
        <w:t xml:space="preserve">Am J Clin Nutr. 2013;97:569–83. </w:t>
      </w:r>
    </w:p>
    <w:p w14:paraId="58C43911" w14:textId="77777777" w:rsidR="003C14BE" w:rsidRPr="003C2360" w:rsidRDefault="003C14BE"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3C14BE">
        <w:rPr>
          <w:rFonts w:ascii="Times New Roman" w:hAnsi="Times New Roman" w:cs="Times New Roman"/>
          <w:noProof/>
          <w:sz w:val="24"/>
          <w:szCs w:val="24"/>
        </w:rPr>
        <w:t xml:space="preserve">5. Tharrey M, Dubois C, Maillot M, Vieux F, Méjean C, Perignon M, et al. </w:t>
      </w:r>
      <w:r w:rsidRPr="003C2360">
        <w:rPr>
          <w:rFonts w:ascii="Times New Roman" w:hAnsi="Times New Roman" w:cs="Times New Roman"/>
          <w:noProof/>
          <w:sz w:val="24"/>
          <w:szCs w:val="24"/>
          <w:lang w:val="en-GB"/>
        </w:rPr>
        <w:t>Development of the Healthy Purchase Index (HPI): a scoring system to assess the nutritional quality of household food purchases. Public Health Nutr [Internet]. 2019 [cited 2019 Aug 2];22:765–75. Available from: http://www.ncbi.nlm.nih.gov/pubmed/30472975</w:t>
      </w:r>
    </w:p>
    <w:p w14:paraId="7ACE3636" w14:textId="77777777" w:rsidR="003C14BE" w:rsidRPr="003C2360" w:rsidRDefault="003C14BE"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3C2360">
        <w:rPr>
          <w:rFonts w:ascii="Times New Roman" w:hAnsi="Times New Roman" w:cs="Times New Roman"/>
          <w:noProof/>
          <w:sz w:val="24"/>
          <w:szCs w:val="24"/>
          <w:lang w:val="en-GB"/>
        </w:rPr>
        <w:t xml:space="preserve">6. Bertoluci G, Masset G, Gomy C, Mottet J, Darmon N. How to Build a Standardized Country-Specific Environmental Food Database for Nutritional Epidemiology Studies. Lightfoot DA, editor. PLoS One. Public Library of Science; 2016;11:e0150617. </w:t>
      </w:r>
    </w:p>
    <w:p w14:paraId="5402AB2E" w14:textId="77777777" w:rsidR="003C14BE" w:rsidRPr="003C2360" w:rsidRDefault="003C14BE" w:rsidP="003C14BE">
      <w:pPr>
        <w:widowControl w:val="0"/>
        <w:autoSpaceDE w:val="0"/>
        <w:autoSpaceDN w:val="0"/>
        <w:adjustRightInd w:val="0"/>
        <w:spacing w:line="480" w:lineRule="auto"/>
        <w:rPr>
          <w:rFonts w:ascii="Times New Roman" w:hAnsi="Times New Roman" w:cs="Times New Roman"/>
          <w:noProof/>
          <w:sz w:val="24"/>
          <w:szCs w:val="24"/>
          <w:lang w:val="en-GB"/>
        </w:rPr>
      </w:pPr>
      <w:r w:rsidRPr="003C14BE">
        <w:rPr>
          <w:rFonts w:ascii="Times New Roman" w:hAnsi="Times New Roman" w:cs="Times New Roman"/>
          <w:noProof/>
          <w:sz w:val="24"/>
          <w:szCs w:val="24"/>
        </w:rPr>
        <w:t xml:space="preserve">7. Barreira T V., Schuna JM, Mire EF, Katzmarzyk PT, Chaput JP, Leduc G, et al. </w:t>
      </w:r>
      <w:r w:rsidRPr="003C2360">
        <w:rPr>
          <w:rFonts w:ascii="Times New Roman" w:hAnsi="Times New Roman" w:cs="Times New Roman"/>
          <w:noProof/>
          <w:sz w:val="24"/>
          <w:szCs w:val="24"/>
          <w:lang w:val="en-GB"/>
        </w:rPr>
        <w:t xml:space="preserve">Identifying children’s nocturnal sleep using 24-h waist accelerometry. Med Sci Sports Exerc. Lippincott Williams and Wilkins; 2015;47:937–43. </w:t>
      </w:r>
    </w:p>
    <w:p w14:paraId="056DDD67" w14:textId="77777777" w:rsidR="003C14BE" w:rsidRPr="003C14BE" w:rsidRDefault="003C14BE" w:rsidP="003C14BE">
      <w:pPr>
        <w:widowControl w:val="0"/>
        <w:autoSpaceDE w:val="0"/>
        <w:autoSpaceDN w:val="0"/>
        <w:adjustRightInd w:val="0"/>
        <w:spacing w:line="480" w:lineRule="auto"/>
        <w:rPr>
          <w:rFonts w:ascii="Times New Roman" w:hAnsi="Times New Roman" w:cs="Times New Roman"/>
          <w:noProof/>
          <w:sz w:val="24"/>
        </w:rPr>
      </w:pPr>
      <w:r w:rsidRPr="003C2360">
        <w:rPr>
          <w:rFonts w:ascii="Times New Roman" w:hAnsi="Times New Roman" w:cs="Times New Roman"/>
          <w:noProof/>
          <w:sz w:val="24"/>
          <w:szCs w:val="24"/>
          <w:lang w:val="en-GB"/>
        </w:rPr>
        <w:t xml:space="preserve">8. Garnotel M, Bastian T, Romero-Ugalde H-M, Maire A, Dugas J, Zahariev A, et al. Prior automatic posture and activity identification improves physical activity energy expenditure prediction from hip-worn triaxial accelerometry. </w:t>
      </w:r>
      <w:r w:rsidRPr="003C14BE">
        <w:rPr>
          <w:rFonts w:ascii="Times New Roman" w:hAnsi="Times New Roman" w:cs="Times New Roman"/>
          <w:noProof/>
          <w:sz w:val="24"/>
          <w:szCs w:val="24"/>
        </w:rPr>
        <w:t xml:space="preserve">J Appl Physiol. 2017;japplphysiol.00556.2017. </w:t>
      </w:r>
    </w:p>
    <w:p w14:paraId="3920DFCB" w14:textId="16A4EA7E" w:rsidR="00147B95" w:rsidRPr="00C51C18" w:rsidRDefault="00147B95" w:rsidP="003C14BE">
      <w:pPr>
        <w:spacing w:line="480" w:lineRule="auto"/>
        <w:rPr>
          <w:rFonts w:ascii="Times New Roman" w:hAnsi="Times New Roman" w:cs="Times New Roman"/>
          <w:b/>
          <w:sz w:val="24"/>
          <w:lang w:val="en-US"/>
        </w:rPr>
      </w:pPr>
      <w:r w:rsidRPr="00C51C18">
        <w:rPr>
          <w:rFonts w:ascii="Times New Roman" w:hAnsi="Times New Roman" w:cs="Times New Roman"/>
          <w:b/>
          <w:sz w:val="24"/>
          <w:lang w:val="en-US"/>
        </w:rPr>
        <w:fldChar w:fldCharType="end"/>
      </w:r>
    </w:p>
    <w:sectPr w:rsidR="00147B95" w:rsidRPr="00C51C18" w:rsidSect="003C14BE">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01B7E"/>
    <w:multiLevelType w:val="hybridMultilevel"/>
    <w:tmpl w:val="4CE694FC"/>
    <w:lvl w:ilvl="0" w:tplc="88E2BA00">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3631C0"/>
    <w:multiLevelType w:val="hybridMultilevel"/>
    <w:tmpl w:val="8E66841C"/>
    <w:lvl w:ilvl="0" w:tplc="EA72C72A">
      <w:start w:val="1"/>
      <w:numFmt w:val="upperRoman"/>
      <w:pStyle w:val="Titre1"/>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8222AD"/>
    <w:multiLevelType w:val="hybridMultilevel"/>
    <w:tmpl w:val="571AD384"/>
    <w:lvl w:ilvl="0" w:tplc="E548B1EE">
      <w:start w:val="1"/>
      <w:numFmt w:val="lowerLetter"/>
      <w:pStyle w:val="Titre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358"/>
    <w:rsid w:val="00147B95"/>
    <w:rsid w:val="001B3354"/>
    <w:rsid w:val="003C14BE"/>
    <w:rsid w:val="003C2360"/>
    <w:rsid w:val="00446F7E"/>
    <w:rsid w:val="00472A44"/>
    <w:rsid w:val="00483FB6"/>
    <w:rsid w:val="00625C69"/>
    <w:rsid w:val="00667434"/>
    <w:rsid w:val="006E752B"/>
    <w:rsid w:val="00996B5E"/>
    <w:rsid w:val="009E50E4"/>
    <w:rsid w:val="00B06358"/>
    <w:rsid w:val="00B11B50"/>
    <w:rsid w:val="00B6588A"/>
    <w:rsid w:val="00B75F28"/>
    <w:rsid w:val="00C51C18"/>
    <w:rsid w:val="00D0002D"/>
    <w:rsid w:val="00D862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4F780"/>
  <w15:chartTrackingRefBased/>
  <w15:docId w15:val="{7B3F320F-919F-488D-8E77-051C59533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F7E"/>
  </w:style>
  <w:style w:type="paragraph" w:styleId="Titre1">
    <w:name w:val="heading 1"/>
    <w:basedOn w:val="Normal"/>
    <w:next w:val="Normal"/>
    <w:link w:val="Titre1Car"/>
    <w:uiPriority w:val="9"/>
    <w:qFormat/>
    <w:rsid w:val="00446F7E"/>
    <w:pPr>
      <w:keepNext/>
      <w:keepLines/>
      <w:numPr>
        <w:numId w:val="3"/>
      </w:numPr>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autoRedefine/>
    <w:uiPriority w:val="9"/>
    <w:unhideWhenUsed/>
    <w:qFormat/>
    <w:rsid w:val="00446F7E"/>
    <w:pPr>
      <w:keepNext/>
      <w:keepLines/>
      <w:numPr>
        <w:numId w:val="4"/>
      </w:numPr>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autoRedefine/>
    <w:uiPriority w:val="9"/>
    <w:unhideWhenUsed/>
    <w:qFormat/>
    <w:rsid w:val="00446F7E"/>
    <w:pPr>
      <w:keepNext/>
      <w:keepLines/>
      <w:numPr>
        <w:numId w:val="5"/>
      </w:numPr>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446F7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46F7E"/>
    <w:rPr>
      <w:rFonts w:asciiTheme="majorHAnsi" w:eastAsiaTheme="majorEastAsia" w:hAnsiTheme="majorHAnsi" w:cstheme="majorBidi"/>
      <w:color w:val="1F4D78" w:themeColor="accent1" w:themeShade="7F"/>
      <w:sz w:val="24"/>
      <w:szCs w:val="24"/>
    </w:rPr>
  </w:style>
  <w:style w:type="character" w:customStyle="1" w:styleId="Titre2Car">
    <w:name w:val="Titre 2 Car"/>
    <w:basedOn w:val="Policepardfaut"/>
    <w:link w:val="Titre2"/>
    <w:uiPriority w:val="9"/>
    <w:rsid w:val="00446F7E"/>
    <w:rPr>
      <w:rFonts w:asciiTheme="majorHAnsi" w:eastAsiaTheme="majorEastAsia" w:hAnsiTheme="majorHAnsi" w:cstheme="majorBidi"/>
      <w:color w:val="2E74B5" w:themeColor="accent1" w:themeShade="BF"/>
      <w:sz w:val="26"/>
      <w:szCs w:val="26"/>
    </w:rPr>
  </w:style>
  <w:style w:type="character" w:customStyle="1" w:styleId="highlight">
    <w:name w:val="highlight"/>
    <w:basedOn w:val="Policepardfaut"/>
    <w:rsid w:val="00446F7E"/>
  </w:style>
  <w:style w:type="paragraph" w:customStyle="1" w:styleId="Style1">
    <w:name w:val="Style1"/>
    <w:basedOn w:val="Titre3"/>
    <w:link w:val="Style1Car"/>
    <w:autoRedefine/>
    <w:qFormat/>
    <w:rsid w:val="00446F7E"/>
    <w:pPr>
      <w:numPr>
        <w:numId w:val="0"/>
      </w:numPr>
    </w:pPr>
  </w:style>
  <w:style w:type="character" w:customStyle="1" w:styleId="Style1Car">
    <w:name w:val="Style1 Car"/>
    <w:basedOn w:val="Titre3Car"/>
    <w:link w:val="Style1"/>
    <w:rsid w:val="00446F7E"/>
    <w:rPr>
      <w:rFonts w:asciiTheme="majorHAnsi" w:eastAsiaTheme="majorEastAsia" w:hAnsiTheme="majorHAnsi" w:cstheme="majorBidi"/>
      <w:color w:val="1F4D78" w:themeColor="accent1" w:themeShade="7F"/>
      <w:sz w:val="24"/>
      <w:szCs w:val="24"/>
    </w:rPr>
  </w:style>
  <w:style w:type="character" w:customStyle="1" w:styleId="Titre1Car">
    <w:name w:val="Titre 1 Car"/>
    <w:basedOn w:val="Policepardfaut"/>
    <w:link w:val="Titre1"/>
    <w:uiPriority w:val="9"/>
    <w:rsid w:val="00446F7E"/>
    <w:rPr>
      <w:rFonts w:asciiTheme="majorHAnsi" w:eastAsiaTheme="majorEastAsia" w:hAnsiTheme="majorHAnsi" w:cstheme="majorBidi"/>
      <w:color w:val="2E74B5" w:themeColor="accent1" w:themeShade="BF"/>
      <w:sz w:val="32"/>
      <w:szCs w:val="32"/>
    </w:rPr>
  </w:style>
  <w:style w:type="character" w:customStyle="1" w:styleId="Titre4Car">
    <w:name w:val="Titre 4 Car"/>
    <w:basedOn w:val="Policepardfaut"/>
    <w:link w:val="Titre4"/>
    <w:uiPriority w:val="9"/>
    <w:rsid w:val="00446F7E"/>
    <w:rPr>
      <w:rFonts w:asciiTheme="majorHAnsi" w:eastAsiaTheme="majorEastAsia" w:hAnsiTheme="majorHAnsi" w:cstheme="majorBidi"/>
      <w:i/>
      <w:iCs/>
      <w:color w:val="2E74B5" w:themeColor="accent1" w:themeShade="BF"/>
    </w:rPr>
  </w:style>
  <w:style w:type="paragraph" w:styleId="En-tte">
    <w:name w:val="header"/>
    <w:basedOn w:val="Normal"/>
    <w:link w:val="En-tteCar"/>
    <w:uiPriority w:val="99"/>
    <w:unhideWhenUsed/>
    <w:rsid w:val="00446F7E"/>
    <w:pPr>
      <w:tabs>
        <w:tab w:val="center" w:pos="4536"/>
        <w:tab w:val="right" w:pos="9072"/>
      </w:tabs>
      <w:spacing w:after="0" w:line="240" w:lineRule="auto"/>
    </w:pPr>
  </w:style>
  <w:style w:type="character" w:customStyle="1" w:styleId="En-tteCar">
    <w:name w:val="En-tête Car"/>
    <w:basedOn w:val="Policepardfaut"/>
    <w:link w:val="En-tte"/>
    <w:uiPriority w:val="99"/>
    <w:rsid w:val="00446F7E"/>
  </w:style>
  <w:style w:type="paragraph" w:styleId="Pieddepage">
    <w:name w:val="footer"/>
    <w:basedOn w:val="Normal"/>
    <w:link w:val="PieddepageCar"/>
    <w:uiPriority w:val="99"/>
    <w:unhideWhenUsed/>
    <w:rsid w:val="00446F7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46F7E"/>
  </w:style>
  <w:style w:type="character" w:styleId="Lienhypertexte">
    <w:name w:val="Hyperlink"/>
    <w:basedOn w:val="Policepardfaut"/>
    <w:uiPriority w:val="99"/>
    <w:unhideWhenUsed/>
    <w:rsid w:val="00446F7E"/>
    <w:rPr>
      <w:color w:val="0563C1" w:themeColor="hyperlink"/>
      <w:u w:val="single"/>
    </w:rPr>
  </w:style>
  <w:style w:type="character" w:styleId="Accentuation">
    <w:name w:val="Emphasis"/>
    <w:basedOn w:val="Policepardfaut"/>
    <w:uiPriority w:val="20"/>
    <w:qFormat/>
    <w:rsid w:val="00446F7E"/>
    <w:rPr>
      <w:i/>
      <w:iCs/>
    </w:rPr>
  </w:style>
  <w:style w:type="table" w:styleId="Grilledutableau">
    <w:name w:val="Table Grid"/>
    <w:basedOn w:val="TableauNormal"/>
    <w:uiPriority w:val="39"/>
    <w:rsid w:val="00446F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D0002D"/>
    <w:rPr>
      <w:sz w:val="16"/>
      <w:szCs w:val="16"/>
    </w:rPr>
  </w:style>
  <w:style w:type="paragraph" w:styleId="Commentaire">
    <w:name w:val="annotation text"/>
    <w:basedOn w:val="Normal"/>
    <w:link w:val="CommentaireCar"/>
    <w:uiPriority w:val="99"/>
    <w:unhideWhenUsed/>
    <w:rsid w:val="00D0002D"/>
    <w:pPr>
      <w:spacing w:line="240" w:lineRule="auto"/>
    </w:pPr>
    <w:rPr>
      <w:sz w:val="20"/>
      <w:szCs w:val="20"/>
    </w:rPr>
  </w:style>
  <w:style w:type="character" w:customStyle="1" w:styleId="CommentaireCar">
    <w:name w:val="Commentaire Car"/>
    <w:basedOn w:val="Policepardfaut"/>
    <w:link w:val="Commentaire"/>
    <w:uiPriority w:val="99"/>
    <w:rsid w:val="00D0002D"/>
    <w:rPr>
      <w:sz w:val="20"/>
      <w:szCs w:val="20"/>
    </w:rPr>
  </w:style>
  <w:style w:type="paragraph" w:styleId="Textedebulles">
    <w:name w:val="Balloon Text"/>
    <w:basedOn w:val="Normal"/>
    <w:link w:val="TextedebullesCar"/>
    <w:uiPriority w:val="99"/>
    <w:semiHidden/>
    <w:unhideWhenUsed/>
    <w:rsid w:val="00D0002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0002D"/>
    <w:rPr>
      <w:rFonts w:ascii="Segoe UI" w:hAnsi="Segoe UI" w:cs="Segoe UI"/>
      <w:sz w:val="18"/>
      <w:szCs w:val="18"/>
    </w:rPr>
  </w:style>
  <w:style w:type="paragraph" w:customStyle="1" w:styleId="MDPI32textnoindent">
    <w:name w:val="MDPI_3.2_text_no_indent"/>
    <w:basedOn w:val="Normal"/>
    <w:qFormat/>
    <w:rsid w:val="00147B95"/>
    <w:pPr>
      <w:adjustRightInd w:val="0"/>
      <w:snapToGrid w:val="0"/>
      <w:spacing w:after="0" w:line="260" w:lineRule="atLeast"/>
      <w:jc w:val="both"/>
    </w:pPr>
    <w:rPr>
      <w:rFonts w:ascii="Palatino Linotype" w:eastAsia="Times New Roman" w:hAnsi="Palatino Linotype" w:cs="Times New Roman"/>
      <w:snapToGrid w:val="0"/>
      <w:color w:val="000000"/>
      <w:sz w:val="20"/>
      <w:lang w:val="en-US" w:eastAsia="de-DE" w:bidi="en-US"/>
    </w:rPr>
  </w:style>
  <w:style w:type="character" w:styleId="Numrodeligne">
    <w:name w:val="line number"/>
    <w:basedOn w:val="Policepardfaut"/>
    <w:uiPriority w:val="99"/>
    <w:semiHidden/>
    <w:unhideWhenUsed/>
    <w:rsid w:val="003C1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5E983-096C-440C-90EA-E43B40617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4946</Words>
  <Characters>27205</Characters>
  <Application>Microsoft Office Word</Application>
  <DocSecurity>0</DocSecurity>
  <Lines>226</Lines>
  <Paragraphs>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THARREY</dc:creator>
  <cp:keywords/>
  <dc:description/>
  <cp:lastModifiedBy>Marion THARREY</cp:lastModifiedBy>
  <cp:revision>4</cp:revision>
  <dcterms:created xsi:type="dcterms:W3CDTF">2020-06-04T14:05:00Z</dcterms:created>
  <dcterms:modified xsi:type="dcterms:W3CDTF">2020-06-29T08:07:00Z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http://www.zotero.org/styles/cahiers-de-nutrition-et-de-dietetique</vt:lpwstr>
  </property>
  <property fmtid="{D5CDD505-2E9C-101B-9397-08002B2CF9AE}" pid="7" name="Mendeley Recent Style Name 2_1">
    <vt:lpwstr>Cahiers de Nutrition et de Diététique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http://www.zotero.org/styles/international-journal-of-behavioral-nutrition-and-physical-activity</vt:lpwstr>
  </property>
  <property fmtid="{D5CDD505-2E9C-101B-9397-08002B2CF9AE}" pid="11" name="Mendeley Recent Style Name 4_1">
    <vt:lpwstr>International Journal of Behavioral Nutrition and Physical Activity</vt:lpwstr>
  </property>
  <property fmtid="{D5CDD505-2E9C-101B-9397-08002B2CF9AE}" pid="12" name="Mendeley Recent Style Id 5_1">
    <vt:lpwstr>http://www.zotero.org/styles/journal-of-the-academy-of-nutrition-and-dietetics</vt:lpwstr>
  </property>
  <property fmtid="{D5CDD505-2E9C-101B-9397-08002B2CF9AE}" pid="13" name="Mendeley Recent Style Name 5_1">
    <vt:lpwstr>Journal of the Academy of Nutrition and Dietetics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http://www.zotero.org/styles/nutrition-reviews</vt:lpwstr>
  </property>
  <property fmtid="{D5CDD505-2E9C-101B-9397-08002B2CF9AE}" pid="17" name="Mendeley Recent Style Name 7_1">
    <vt:lpwstr>Nutrition Reviews</vt:lpwstr>
  </property>
  <property fmtid="{D5CDD505-2E9C-101B-9397-08002B2CF9AE}" pid="18" name="Mendeley Recent Style Id 8_1">
    <vt:lpwstr>http://www.zotero.org/styles/plos-one</vt:lpwstr>
  </property>
  <property fmtid="{D5CDD505-2E9C-101B-9397-08002B2CF9AE}" pid="19" name="Mendeley Recent Style Name 8_1">
    <vt:lpwstr>PLOS ONE</vt:lpwstr>
  </property>
  <property fmtid="{D5CDD505-2E9C-101B-9397-08002B2CF9AE}" pid="20" name="Mendeley Recent Style Id 9_1">
    <vt:lpwstr>http://www.zotero.org/styles/sustainability</vt:lpwstr>
  </property>
  <property fmtid="{D5CDD505-2E9C-101B-9397-08002B2CF9AE}" pid="21" name="Mendeley Recent Style Name 9_1">
    <vt:lpwstr>Sustainability</vt:lpwstr>
  </property>
  <property fmtid="{D5CDD505-2E9C-101B-9397-08002B2CF9AE}" pid="22" name="Mendeley Document_1">
    <vt:lpwstr>True</vt:lpwstr>
  </property>
  <property fmtid="{D5CDD505-2E9C-101B-9397-08002B2CF9AE}" pid="23" name="Mendeley Unique User Id_1">
    <vt:lpwstr>598ea036-88af-374b-8017-833b2096e3a7</vt:lpwstr>
  </property>
  <property fmtid="{D5CDD505-2E9C-101B-9397-08002B2CF9AE}" pid="24" name="Mendeley Citation Style_1">
    <vt:lpwstr>http://www.zotero.org/styles/international-journal-of-behavioral-nutrition-and-physical-activity</vt:lpwstr>
  </property>
</Properties>
</file>