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</w:pPr>
      <w:r>
        <w:rPr>
          <w:rFonts w:hint="default" w:ascii="Times New Roman" w:hAnsi="Times New Roman" w:eastAsia="MingLiU-ExtB" w:cs="Times New Roman"/>
          <w:b/>
          <w:bCs/>
          <w:color w:val="242021"/>
          <w:sz w:val="21"/>
          <w:szCs w:val="21"/>
          <w:lang w:val="en-US" w:eastAsia="zh-CN"/>
        </w:rPr>
        <w:t xml:space="preserve">Supplementary table 4.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Univariate and multivariate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instrText xml:space="preserve"> HYPERLINK "javascript:;" </w:instrTex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logistic regression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analyses of factors related to postoperative chemotherapy in the original cohort.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1931"/>
        <w:gridCol w:w="807"/>
        <w:gridCol w:w="193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Multivariate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Age,year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2.099(1.422,3.113)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1.952(1.263,3.030)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0.918(0.616,1.373)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0.984(0.937,1.034)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intestinal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1.349(0.829,2.182)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Preoperative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0.310(0.168,0.542)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0.392(0.203,0.722)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Lymphovascular_invasion</w:t>
            </w:r>
          </w:p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LVI(-)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LVI(+)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1.381(0.935,2.039)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Surgical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Laparoscopy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2.250(1.499,3.386)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1.800(1.164,2.787)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Resection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liver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Number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hepatic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&gt;=3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0.878(0.465,1.372)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1.024(0.587,1.817)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0.457(0.118,1.478)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1.087(0.256,4.045)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0.613(0.383,0.982)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0.877(0.518,1.491)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Left colon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Right colon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1.307(0.785,2.191)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Rectum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1.049(0.642,1.726)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size,cm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&lt;2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2---5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3.605(1.360,12.450)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1.860(0.651,6.721)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&gt;5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5.781(2.012,21.030)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2.628(0.840,10.105)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Moderately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1.849(1.163,2.939)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1.454(0.877,2.402)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Poorly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1.607(0.714,3.550)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1.451(0.613,3.380)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T1/T2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T3/T4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1.500(0.596,4.278)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0.929(0.583,1..482)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1.116(0.684,1.823)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sampled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0.997(0.972,1.022)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of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positive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LNs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1.057(1.009,1.112)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Perineural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PNI(+)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0.899(0.605,1.332)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Tumor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deposits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1.636(1.094,2.446)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1.539(1.189,2.396)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CEA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1.328(0.876,2.034)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CA12-5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1.706(1.049,2.770)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1.232(1.071,2.109)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CA19-9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Elevated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1.238(0.826,1.852)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mU5OTI2NzAxM2EyNWUzMGViNDkzYjVhOGVlOTAifQ=="/>
  </w:docVars>
  <w:rsids>
    <w:rsidRoot w:val="0DF440E5"/>
    <w:rsid w:val="0DF440E5"/>
    <w:rsid w:val="0F664374"/>
    <w:rsid w:val="16D44503"/>
    <w:rsid w:val="4B8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2023-11-18T10:17:00Z</dcterms:created>
  <dc:creator>太阳</dc:creator>
  <cp:lastModifiedBy>太阳</cp:lastModifiedBy>
  <dcterms:modified xsi:type="dcterms:W3CDTF">2023-11-24T06:03:14Z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E99532EC2235480E9A29E1AB74BDD9C0_11</vt:lpwstr>
  </property>
</Properties>
</file>