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20909" w14:textId="77777777" w:rsidR="000B3203" w:rsidRPr="00D27972" w:rsidRDefault="000B3203" w:rsidP="000B320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27972">
        <w:rPr>
          <w:rFonts w:ascii="Times New Roman" w:hAnsi="Times New Roman" w:cs="Times New Roman"/>
          <w:b/>
          <w:sz w:val="24"/>
          <w:szCs w:val="24"/>
        </w:rPr>
        <w:t>Supplemental Figure 1</w:t>
      </w:r>
    </w:p>
    <w:p w14:paraId="524091BC" w14:textId="0A07714A" w:rsidR="003B6054" w:rsidRDefault="000B3203">
      <w:r w:rsidRPr="00116140">
        <w:rPr>
          <w:rFonts w:ascii="Times New Roman" w:hAnsi="Times New Roman" w:cs="Times New Roman"/>
          <w:noProof/>
        </w:rPr>
        <w:drawing>
          <wp:inline distT="0" distB="0" distL="0" distR="0" wp14:anchorId="5A91D2B6" wp14:editId="274D7E1D">
            <wp:extent cx="4328186" cy="3000375"/>
            <wp:effectExtent l="0" t="0" r="0" b="0"/>
            <wp:docPr id="7" name="Picture 7" descr="A graph showing the results of a protein-rich protei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graph showing the results of a protein-rich protein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4478" cy="3004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F2155" w14:textId="77777777" w:rsidR="000B3203" w:rsidRDefault="000B3203"/>
    <w:p w14:paraId="3F4A2F24" w14:textId="77777777" w:rsidR="000B3203" w:rsidRPr="00871D5D" w:rsidRDefault="000B3203" w:rsidP="000B3203">
      <w:pPr>
        <w:spacing w:after="0" w:line="480" w:lineRule="auto"/>
        <w:rPr>
          <w:rFonts w:ascii="Times New Roman" w:hAnsi="Times New Roman" w:cs="Times New Roman"/>
          <w:sz w:val="24"/>
        </w:rPr>
      </w:pPr>
      <w:r w:rsidRPr="00054551">
        <w:rPr>
          <w:rFonts w:ascii="Times New Roman" w:hAnsi="Times New Roman" w:cs="Times New Roman"/>
          <w:b/>
          <w:sz w:val="24"/>
        </w:rPr>
        <w:t>Supplemental Figure 1. Quality control of CRISPR screening results.</w:t>
      </w:r>
      <w:r w:rsidRPr="00054551">
        <w:rPr>
          <w:rFonts w:ascii="Times New Roman" w:hAnsi="Times New Roman" w:cs="Times New Roman"/>
          <w:sz w:val="24"/>
        </w:rPr>
        <w:t xml:space="preserve"> Cumulative percentage of library coverage for UM-SCC-49 </w:t>
      </w:r>
      <w:proofErr w:type="spellStart"/>
      <w:r w:rsidRPr="00054551">
        <w:rPr>
          <w:rFonts w:ascii="Times New Roman" w:hAnsi="Times New Roman" w:cs="Times New Roman"/>
          <w:sz w:val="24"/>
        </w:rPr>
        <w:t>GeCKO</w:t>
      </w:r>
      <w:proofErr w:type="spellEnd"/>
      <w:r w:rsidRPr="00054551">
        <w:rPr>
          <w:rFonts w:ascii="Times New Roman" w:hAnsi="Times New Roman" w:cs="Times New Roman"/>
          <w:sz w:val="24"/>
        </w:rPr>
        <w:t xml:space="preserve"> v2A treated with vehicle or cisplatin. The incline of the curve from 20-80% of cumulative total </w:t>
      </w:r>
      <w:r>
        <w:rPr>
          <w:rFonts w:ascii="Times New Roman" w:hAnsi="Times New Roman" w:cs="Times New Roman"/>
          <w:sz w:val="24"/>
        </w:rPr>
        <w:t>shows</w:t>
      </w:r>
      <w:r w:rsidRPr="00054551">
        <w:rPr>
          <w:rFonts w:ascii="Times New Roman" w:hAnsi="Times New Roman" w:cs="Times New Roman"/>
          <w:sz w:val="24"/>
        </w:rPr>
        <w:t xml:space="preserve"> the bulk of the library has an average of 100 reads representing each gRNA, indicating good depth of sequencing. Few gRNAs either have very few reads (&lt;10) or very high reads (&gt;1000). </w:t>
      </w:r>
    </w:p>
    <w:p w14:paraId="58834711" w14:textId="77777777" w:rsidR="000B3203" w:rsidRDefault="000B3203"/>
    <w:sectPr w:rsidR="000B32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203"/>
    <w:rsid w:val="000B3203"/>
    <w:rsid w:val="003B6054"/>
    <w:rsid w:val="003E4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A2D44"/>
  <w15:chartTrackingRefBased/>
  <w15:docId w15:val="{E0F145E9-5FC8-4DB6-A652-389AE427C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20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Michigan Medicine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Joshua</dc:creator>
  <cp:keywords/>
  <dc:description/>
  <cp:lastModifiedBy>Smith, Joshua</cp:lastModifiedBy>
  <cp:revision>1</cp:revision>
  <dcterms:created xsi:type="dcterms:W3CDTF">2024-02-17T16:44:00Z</dcterms:created>
  <dcterms:modified xsi:type="dcterms:W3CDTF">2024-02-17T16:46:00Z</dcterms:modified>
</cp:coreProperties>
</file>