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D34C5" w14:textId="77777777" w:rsidR="005C5F21" w:rsidRPr="00555362" w:rsidRDefault="005C5F21" w:rsidP="005C5F21">
      <w:pPr>
        <w:spacing w:line="360" w:lineRule="auto"/>
        <w:rPr>
          <w:sz w:val="24"/>
        </w:rPr>
      </w:pPr>
      <w:r w:rsidRPr="00555362">
        <w:rPr>
          <w:b/>
          <w:color w:val="000000"/>
          <w:sz w:val="24"/>
        </w:rPr>
        <w:t xml:space="preserve">Supplementary </w:t>
      </w:r>
      <w:r w:rsidRPr="00555362">
        <w:rPr>
          <w:rFonts w:hint="eastAsia"/>
          <w:b/>
          <w:bCs/>
          <w:iCs/>
          <w:color w:val="131413"/>
          <w:sz w:val="24"/>
        </w:rPr>
        <w:t xml:space="preserve">Table </w:t>
      </w:r>
      <w:r w:rsidRPr="00555362">
        <w:rPr>
          <w:b/>
          <w:bCs/>
          <w:iCs/>
          <w:color w:val="131413"/>
          <w:sz w:val="24"/>
        </w:rPr>
        <w:t>S1</w:t>
      </w:r>
      <w:r w:rsidRPr="00555362">
        <w:rPr>
          <w:rFonts w:hint="eastAsia"/>
          <w:b/>
          <w:bCs/>
          <w:iCs/>
          <w:color w:val="131413"/>
          <w:sz w:val="24"/>
        </w:rPr>
        <w:t xml:space="preserve">: </w:t>
      </w:r>
      <w:r w:rsidRPr="00555362">
        <w:rPr>
          <w:sz w:val="24"/>
        </w:rPr>
        <w:t>Definitions of radiomics features extracted in this study.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3494"/>
        <w:gridCol w:w="4802"/>
      </w:tblGrid>
      <w:tr w:rsidR="005C5F21" w:rsidRPr="00555362" w14:paraId="03395428" w14:textId="77777777" w:rsidTr="001F45FA">
        <w:trPr>
          <w:jc w:val="center"/>
        </w:trPr>
        <w:tc>
          <w:tcPr>
            <w:tcW w:w="3675" w:type="dxa"/>
          </w:tcPr>
          <w:p w14:paraId="22FE419C" w14:textId="77777777" w:rsidR="005C5F21" w:rsidRPr="00555362" w:rsidRDefault="005C5F21" w:rsidP="001F45FA">
            <w:pPr>
              <w:jc w:val="center"/>
              <w:rPr>
                <w:sz w:val="24"/>
              </w:rPr>
            </w:pPr>
            <w:r w:rsidRPr="00555362">
              <w:rPr>
                <w:b/>
                <w:bCs/>
                <w:kern w:val="0"/>
                <w:sz w:val="24"/>
              </w:rPr>
              <w:t>Texture type</w:t>
            </w:r>
          </w:p>
        </w:tc>
        <w:tc>
          <w:tcPr>
            <w:tcW w:w="4841" w:type="dxa"/>
          </w:tcPr>
          <w:p w14:paraId="0F27C18F" w14:textId="77777777" w:rsidR="005C5F21" w:rsidRPr="00555362" w:rsidRDefault="005C5F21" w:rsidP="001F45FA">
            <w:pPr>
              <w:jc w:val="center"/>
              <w:rPr>
                <w:b/>
                <w:sz w:val="24"/>
              </w:rPr>
            </w:pPr>
            <w:r w:rsidRPr="00555362">
              <w:rPr>
                <w:b/>
                <w:sz w:val="24"/>
              </w:rPr>
              <w:t>Texture name</w:t>
            </w:r>
          </w:p>
        </w:tc>
      </w:tr>
      <w:tr w:rsidR="005C5F21" w:rsidRPr="00555362" w14:paraId="158E3702" w14:textId="77777777" w:rsidTr="001F45FA">
        <w:trPr>
          <w:jc w:val="center"/>
        </w:trPr>
        <w:tc>
          <w:tcPr>
            <w:tcW w:w="3675" w:type="dxa"/>
          </w:tcPr>
          <w:p w14:paraId="495E47C4" w14:textId="77777777" w:rsidR="005C5F21" w:rsidRPr="00555362" w:rsidRDefault="005C5F21" w:rsidP="001F45FA">
            <w:pPr>
              <w:jc w:val="center"/>
              <w:rPr>
                <w:sz w:val="24"/>
              </w:rPr>
            </w:pPr>
            <w:r w:rsidRPr="00555362">
              <w:rPr>
                <w:sz w:val="24"/>
              </w:rPr>
              <w:t>Shape features(n=14)</w:t>
            </w:r>
          </w:p>
        </w:tc>
        <w:tc>
          <w:tcPr>
            <w:tcW w:w="4841" w:type="dxa"/>
          </w:tcPr>
          <w:p w14:paraId="40F3FDC0" w14:textId="77777777" w:rsidR="005C5F21" w:rsidRPr="00555362" w:rsidRDefault="005C5F21" w:rsidP="001F45FA">
            <w:pPr>
              <w:jc w:val="left"/>
              <w:rPr>
                <w:sz w:val="24"/>
              </w:rPr>
            </w:pPr>
            <w:r w:rsidRPr="00555362">
              <w:rPr>
                <w:sz w:val="24"/>
              </w:rPr>
              <w:t>Elongation</w:t>
            </w:r>
          </w:p>
          <w:p w14:paraId="6B5A8D88" w14:textId="77777777" w:rsidR="005C5F21" w:rsidRPr="00555362" w:rsidRDefault="005C5F21" w:rsidP="001F45FA">
            <w:pPr>
              <w:jc w:val="left"/>
              <w:rPr>
                <w:sz w:val="24"/>
              </w:rPr>
            </w:pPr>
            <w:r w:rsidRPr="00555362">
              <w:rPr>
                <w:sz w:val="24"/>
              </w:rPr>
              <w:t>Flatness</w:t>
            </w:r>
          </w:p>
          <w:p w14:paraId="0BF491FF" w14:textId="77777777" w:rsidR="005C5F21" w:rsidRPr="00555362" w:rsidRDefault="005C5F21" w:rsidP="001F45FA">
            <w:pPr>
              <w:jc w:val="left"/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LeastAxisLength</w:t>
            </w:r>
            <w:proofErr w:type="spellEnd"/>
          </w:p>
          <w:p w14:paraId="40919337" w14:textId="77777777" w:rsidR="005C5F21" w:rsidRPr="00555362" w:rsidRDefault="005C5F21" w:rsidP="001F45FA">
            <w:pPr>
              <w:jc w:val="left"/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MajorAxisLength</w:t>
            </w:r>
            <w:proofErr w:type="spellEnd"/>
          </w:p>
          <w:p w14:paraId="2BC98BEF" w14:textId="77777777" w:rsidR="005C5F21" w:rsidRPr="00555362" w:rsidRDefault="005C5F21" w:rsidP="001F45FA">
            <w:pPr>
              <w:jc w:val="left"/>
              <w:rPr>
                <w:sz w:val="24"/>
              </w:rPr>
            </w:pPr>
            <w:r w:rsidRPr="00555362">
              <w:rPr>
                <w:sz w:val="24"/>
              </w:rPr>
              <w:t>Maximum2DDiameterColumn Maximum2DDiameterRow</w:t>
            </w:r>
          </w:p>
          <w:p w14:paraId="6E0A1954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Maximum2DDiameterSlice Maximum3DDiameter</w:t>
            </w:r>
          </w:p>
          <w:p w14:paraId="147A8CA0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MeshVolume</w:t>
            </w:r>
            <w:proofErr w:type="spellEnd"/>
          </w:p>
          <w:p w14:paraId="3C719930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MinorAxisLength</w:t>
            </w:r>
            <w:proofErr w:type="spellEnd"/>
          </w:p>
          <w:p w14:paraId="6D0E8FB7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Sphericity</w:t>
            </w:r>
          </w:p>
          <w:p w14:paraId="62AC520B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SurfaceArea</w:t>
            </w:r>
            <w:proofErr w:type="spellEnd"/>
          </w:p>
          <w:p w14:paraId="07D465DD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SurfaceVolumeRatio</w:t>
            </w:r>
            <w:proofErr w:type="spellEnd"/>
          </w:p>
          <w:p w14:paraId="7A54780B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VoxelVolume</w:t>
            </w:r>
            <w:proofErr w:type="spellEnd"/>
          </w:p>
        </w:tc>
      </w:tr>
      <w:tr w:rsidR="005C5F21" w:rsidRPr="00555362" w14:paraId="1335BB20" w14:textId="77777777" w:rsidTr="001F45FA">
        <w:trPr>
          <w:jc w:val="center"/>
        </w:trPr>
        <w:tc>
          <w:tcPr>
            <w:tcW w:w="3675" w:type="dxa"/>
          </w:tcPr>
          <w:p w14:paraId="0BE108B1" w14:textId="77777777" w:rsidR="005C5F21" w:rsidRPr="00555362" w:rsidRDefault="005C5F21" w:rsidP="001F45FA">
            <w:pPr>
              <w:jc w:val="center"/>
              <w:rPr>
                <w:sz w:val="24"/>
              </w:rPr>
            </w:pPr>
            <w:r w:rsidRPr="00555362">
              <w:rPr>
                <w:sz w:val="24"/>
              </w:rPr>
              <w:t>First-order features (n=18)</w:t>
            </w:r>
          </w:p>
        </w:tc>
        <w:tc>
          <w:tcPr>
            <w:tcW w:w="4841" w:type="dxa"/>
          </w:tcPr>
          <w:p w14:paraId="53173448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10Percentile</w:t>
            </w:r>
          </w:p>
          <w:p w14:paraId="3C3DA106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90Percentile</w:t>
            </w:r>
          </w:p>
          <w:p w14:paraId="2357281E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Energy</w:t>
            </w:r>
          </w:p>
          <w:p w14:paraId="61AABE92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Entropy</w:t>
            </w:r>
          </w:p>
          <w:p w14:paraId="6E5DBF4D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InterquartileRange</w:t>
            </w:r>
            <w:proofErr w:type="spellEnd"/>
          </w:p>
          <w:p w14:paraId="1D80EC21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Kurtosis</w:t>
            </w:r>
          </w:p>
          <w:p w14:paraId="75EF6AE7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Maximum</w:t>
            </w:r>
          </w:p>
          <w:p w14:paraId="7CE5139B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MeanAbsoluteDeviation</w:t>
            </w:r>
            <w:proofErr w:type="spellEnd"/>
          </w:p>
          <w:p w14:paraId="7B2E0C87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Mean</w:t>
            </w:r>
          </w:p>
          <w:p w14:paraId="30A3948D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Median</w:t>
            </w:r>
          </w:p>
          <w:p w14:paraId="0E86A24B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Minimum</w:t>
            </w:r>
          </w:p>
          <w:p w14:paraId="5E0CCC25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Range</w:t>
            </w:r>
          </w:p>
          <w:p w14:paraId="2C008A6C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RobustMeanAbsoluteDeviation</w:t>
            </w:r>
            <w:proofErr w:type="spellEnd"/>
          </w:p>
          <w:p w14:paraId="2BCB290D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RootMeanSquared</w:t>
            </w:r>
            <w:proofErr w:type="spellEnd"/>
          </w:p>
          <w:p w14:paraId="2BF2AD11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Skewness</w:t>
            </w:r>
          </w:p>
          <w:p w14:paraId="17E63ABF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TotalEnergy</w:t>
            </w:r>
            <w:proofErr w:type="spellEnd"/>
          </w:p>
          <w:p w14:paraId="7668757E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Uniformity</w:t>
            </w:r>
          </w:p>
          <w:p w14:paraId="20706740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Variance</w:t>
            </w:r>
          </w:p>
        </w:tc>
      </w:tr>
      <w:tr w:rsidR="005C5F21" w:rsidRPr="00555362" w14:paraId="75DAF43D" w14:textId="77777777" w:rsidTr="001F45FA">
        <w:trPr>
          <w:jc w:val="center"/>
        </w:trPr>
        <w:tc>
          <w:tcPr>
            <w:tcW w:w="3675" w:type="dxa"/>
          </w:tcPr>
          <w:p w14:paraId="0F5868EF" w14:textId="77777777" w:rsidR="005C5F21" w:rsidRPr="00555362" w:rsidRDefault="005C5F21" w:rsidP="001F45FA">
            <w:pPr>
              <w:jc w:val="center"/>
              <w:rPr>
                <w:sz w:val="24"/>
              </w:rPr>
            </w:pPr>
            <w:r w:rsidRPr="00555362">
              <w:rPr>
                <w:sz w:val="24"/>
              </w:rPr>
              <w:t>Gray Level Co-occurrence Matrix (GLCM) features (n=22)</w:t>
            </w:r>
          </w:p>
          <w:p w14:paraId="4DBE560A" w14:textId="77777777" w:rsidR="005C5F21" w:rsidRPr="00555362" w:rsidRDefault="005C5F21" w:rsidP="001F45FA">
            <w:pPr>
              <w:rPr>
                <w:sz w:val="24"/>
              </w:rPr>
            </w:pPr>
          </w:p>
          <w:p w14:paraId="19F7A6D6" w14:textId="77777777" w:rsidR="005C5F21" w:rsidRPr="00555362" w:rsidRDefault="005C5F21" w:rsidP="001F45FA">
            <w:pPr>
              <w:rPr>
                <w:sz w:val="24"/>
              </w:rPr>
            </w:pPr>
          </w:p>
          <w:p w14:paraId="4CC8141E" w14:textId="77777777" w:rsidR="005C5F21" w:rsidRPr="00555362" w:rsidRDefault="005C5F21" w:rsidP="001F45FA">
            <w:pPr>
              <w:rPr>
                <w:sz w:val="24"/>
              </w:rPr>
            </w:pPr>
          </w:p>
          <w:p w14:paraId="32B89B77" w14:textId="77777777" w:rsidR="005C5F21" w:rsidRPr="00555362" w:rsidRDefault="005C5F21" w:rsidP="001F45FA">
            <w:pPr>
              <w:rPr>
                <w:sz w:val="24"/>
              </w:rPr>
            </w:pPr>
          </w:p>
          <w:p w14:paraId="6F30F287" w14:textId="77777777" w:rsidR="005C5F21" w:rsidRPr="00555362" w:rsidRDefault="005C5F21" w:rsidP="001F45FA">
            <w:pPr>
              <w:rPr>
                <w:sz w:val="24"/>
              </w:rPr>
            </w:pPr>
          </w:p>
          <w:p w14:paraId="43D51E21" w14:textId="77777777" w:rsidR="005C5F21" w:rsidRPr="00555362" w:rsidRDefault="005C5F21" w:rsidP="001F45FA">
            <w:pPr>
              <w:rPr>
                <w:sz w:val="24"/>
              </w:rPr>
            </w:pPr>
          </w:p>
          <w:p w14:paraId="61F19FD8" w14:textId="77777777" w:rsidR="005C5F21" w:rsidRPr="00555362" w:rsidRDefault="005C5F21" w:rsidP="001F45FA">
            <w:pPr>
              <w:rPr>
                <w:sz w:val="24"/>
              </w:rPr>
            </w:pPr>
          </w:p>
          <w:p w14:paraId="0D8E02BB" w14:textId="77777777" w:rsidR="005C5F21" w:rsidRPr="00555362" w:rsidRDefault="005C5F21" w:rsidP="001F45FA">
            <w:pPr>
              <w:rPr>
                <w:sz w:val="24"/>
              </w:rPr>
            </w:pPr>
          </w:p>
          <w:p w14:paraId="1C0B6A92" w14:textId="77777777" w:rsidR="005C5F21" w:rsidRPr="00555362" w:rsidRDefault="005C5F21" w:rsidP="001F45FA">
            <w:pPr>
              <w:rPr>
                <w:sz w:val="24"/>
              </w:rPr>
            </w:pPr>
          </w:p>
          <w:p w14:paraId="7D042413" w14:textId="77777777" w:rsidR="005C5F21" w:rsidRPr="00555362" w:rsidRDefault="005C5F21" w:rsidP="001F45FA">
            <w:pPr>
              <w:rPr>
                <w:sz w:val="24"/>
              </w:rPr>
            </w:pPr>
          </w:p>
          <w:p w14:paraId="22E8E038" w14:textId="77777777" w:rsidR="005C5F21" w:rsidRPr="00555362" w:rsidRDefault="005C5F21" w:rsidP="001F45FA">
            <w:pPr>
              <w:jc w:val="right"/>
              <w:rPr>
                <w:sz w:val="24"/>
              </w:rPr>
            </w:pPr>
          </w:p>
        </w:tc>
        <w:tc>
          <w:tcPr>
            <w:tcW w:w="4841" w:type="dxa"/>
          </w:tcPr>
          <w:p w14:paraId="5AEE8CCC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lastRenderedPageBreak/>
              <w:t>Autocorrelation</w:t>
            </w:r>
          </w:p>
          <w:p w14:paraId="0C9C60C1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JointAverage</w:t>
            </w:r>
            <w:proofErr w:type="spellEnd"/>
          </w:p>
          <w:p w14:paraId="66387C24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ClusterProminence</w:t>
            </w:r>
            <w:proofErr w:type="spellEnd"/>
          </w:p>
          <w:p w14:paraId="1FFF5B7B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ClusterShade</w:t>
            </w:r>
            <w:proofErr w:type="spellEnd"/>
          </w:p>
          <w:p w14:paraId="22652E77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ClusterTendency</w:t>
            </w:r>
            <w:proofErr w:type="spellEnd"/>
          </w:p>
          <w:p w14:paraId="1EB44839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Contrast</w:t>
            </w:r>
          </w:p>
          <w:p w14:paraId="05438701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Correlation</w:t>
            </w:r>
          </w:p>
          <w:p w14:paraId="0A9EF21B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DifferenceAverage</w:t>
            </w:r>
            <w:proofErr w:type="spellEnd"/>
          </w:p>
          <w:p w14:paraId="0EBAA6E4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DifferenceEntropy</w:t>
            </w:r>
            <w:proofErr w:type="spellEnd"/>
          </w:p>
          <w:p w14:paraId="29A12B55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DifferenceVariance</w:t>
            </w:r>
            <w:proofErr w:type="spellEnd"/>
          </w:p>
          <w:p w14:paraId="27081FB1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lastRenderedPageBreak/>
              <w:t>JointEnergy</w:t>
            </w:r>
            <w:proofErr w:type="spellEnd"/>
          </w:p>
          <w:p w14:paraId="7DB48B89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JointEntropy</w:t>
            </w:r>
            <w:proofErr w:type="spellEnd"/>
          </w:p>
          <w:p w14:paraId="1259F67E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Imc1</w:t>
            </w:r>
          </w:p>
          <w:p w14:paraId="2051ECA8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Imc2</w:t>
            </w:r>
          </w:p>
          <w:p w14:paraId="01F0BB4E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Idm</w:t>
            </w:r>
            <w:proofErr w:type="spellEnd"/>
          </w:p>
          <w:p w14:paraId="0B4E63C0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Idmn</w:t>
            </w:r>
            <w:proofErr w:type="spellEnd"/>
          </w:p>
          <w:p w14:paraId="59556A02" w14:textId="77777777" w:rsidR="005C5F21" w:rsidRPr="00555362" w:rsidRDefault="005C5F21" w:rsidP="001F45FA">
            <w:pPr>
              <w:rPr>
                <w:sz w:val="24"/>
              </w:rPr>
            </w:pPr>
            <w:r w:rsidRPr="00555362">
              <w:rPr>
                <w:sz w:val="24"/>
              </w:rPr>
              <w:t>Id</w:t>
            </w:r>
          </w:p>
          <w:p w14:paraId="3CD0B478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Idn</w:t>
            </w:r>
            <w:proofErr w:type="spellEnd"/>
          </w:p>
          <w:p w14:paraId="2DA843C6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InverseVariance</w:t>
            </w:r>
            <w:proofErr w:type="spellEnd"/>
          </w:p>
          <w:p w14:paraId="2B3CD727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MaximumProbability</w:t>
            </w:r>
            <w:proofErr w:type="spellEnd"/>
          </w:p>
          <w:p w14:paraId="5816ACF0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SumEntropy</w:t>
            </w:r>
            <w:proofErr w:type="spellEnd"/>
          </w:p>
          <w:p w14:paraId="78F54EBF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SumSquares</w:t>
            </w:r>
            <w:proofErr w:type="spellEnd"/>
          </w:p>
        </w:tc>
      </w:tr>
      <w:tr w:rsidR="005C5F21" w:rsidRPr="00555362" w14:paraId="64EA978A" w14:textId="77777777" w:rsidTr="001F45FA">
        <w:trPr>
          <w:jc w:val="center"/>
        </w:trPr>
        <w:tc>
          <w:tcPr>
            <w:tcW w:w="3675" w:type="dxa"/>
          </w:tcPr>
          <w:p w14:paraId="6BD8B5EE" w14:textId="77777777" w:rsidR="005C5F21" w:rsidRPr="00555362" w:rsidRDefault="005C5F21" w:rsidP="001F45FA">
            <w:pPr>
              <w:jc w:val="center"/>
              <w:rPr>
                <w:sz w:val="24"/>
              </w:rPr>
            </w:pPr>
            <w:r w:rsidRPr="00555362">
              <w:rPr>
                <w:sz w:val="24"/>
              </w:rPr>
              <w:lastRenderedPageBreak/>
              <w:t>Gray Level Run Length Matrix (GLRLM) features (n=16)</w:t>
            </w:r>
          </w:p>
        </w:tc>
        <w:tc>
          <w:tcPr>
            <w:tcW w:w="4841" w:type="dxa"/>
          </w:tcPr>
          <w:p w14:paraId="73C84958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GrayLevelNonUniformity</w:t>
            </w:r>
            <w:proofErr w:type="spellEnd"/>
          </w:p>
          <w:p w14:paraId="65B2A5BC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GrayLevelNonUniformityNormalized</w:t>
            </w:r>
            <w:proofErr w:type="spellEnd"/>
          </w:p>
          <w:p w14:paraId="118D0560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GrayLevelVariance</w:t>
            </w:r>
            <w:proofErr w:type="spellEnd"/>
          </w:p>
          <w:p w14:paraId="6A13F2D0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HighGrayLevelRunEmphasis</w:t>
            </w:r>
            <w:proofErr w:type="spellEnd"/>
          </w:p>
          <w:p w14:paraId="1A570595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LongRunEmphasis</w:t>
            </w:r>
            <w:proofErr w:type="spellEnd"/>
          </w:p>
          <w:p w14:paraId="177DEDD0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LongRunHighGrayLevelEmphasis</w:t>
            </w:r>
            <w:proofErr w:type="spellEnd"/>
          </w:p>
          <w:p w14:paraId="5518FF61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LongRunLowGrayLevelEmphasis</w:t>
            </w:r>
            <w:proofErr w:type="spellEnd"/>
          </w:p>
          <w:p w14:paraId="3B0A1CA2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LowGrayLevelRunEmphasis</w:t>
            </w:r>
            <w:proofErr w:type="spellEnd"/>
          </w:p>
          <w:p w14:paraId="0DF93804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RunEntropy</w:t>
            </w:r>
            <w:proofErr w:type="spellEnd"/>
          </w:p>
          <w:p w14:paraId="2CE697AB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RunLengthNonUniformity</w:t>
            </w:r>
            <w:proofErr w:type="spellEnd"/>
          </w:p>
          <w:p w14:paraId="25554707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RunLengthNonUniformityNormalized</w:t>
            </w:r>
            <w:proofErr w:type="spellEnd"/>
          </w:p>
          <w:p w14:paraId="53928B18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RunPercentage</w:t>
            </w:r>
            <w:proofErr w:type="spellEnd"/>
          </w:p>
          <w:p w14:paraId="37EEF05C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RunVariance</w:t>
            </w:r>
            <w:proofErr w:type="spellEnd"/>
          </w:p>
          <w:p w14:paraId="6487CEB0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ShortRunEmphasis</w:t>
            </w:r>
            <w:proofErr w:type="spellEnd"/>
          </w:p>
          <w:p w14:paraId="49112AE6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ShortRunHighGrayLevelEmphasis</w:t>
            </w:r>
            <w:proofErr w:type="spellEnd"/>
          </w:p>
          <w:p w14:paraId="32A7A826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ShortRunLowGrayLevelEmphasis</w:t>
            </w:r>
            <w:proofErr w:type="spellEnd"/>
          </w:p>
        </w:tc>
      </w:tr>
      <w:tr w:rsidR="005C5F21" w:rsidRPr="00555362" w14:paraId="64A82407" w14:textId="77777777" w:rsidTr="001F45FA">
        <w:trPr>
          <w:jc w:val="center"/>
        </w:trPr>
        <w:tc>
          <w:tcPr>
            <w:tcW w:w="3675" w:type="dxa"/>
          </w:tcPr>
          <w:p w14:paraId="16C46BE4" w14:textId="77777777" w:rsidR="005C5F21" w:rsidRPr="00555362" w:rsidRDefault="005C5F21" w:rsidP="001F45FA">
            <w:pPr>
              <w:jc w:val="center"/>
              <w:rPr>
                <w:sz w:val="24"/>
              </w:rPr>
            </w:pPr>
            <w:r w:rsidRPr="00555362">
              <w:rPr>
                <w:sz w:val="24"/>
              </w:rPr>
              <w:t>Gray Level Size Zone Matrix (GLSZM) features (n=16)</w:t>
            </w:r>
          </w:p>
        </w:tc>
        <w:tc>
          <w:tcPr>
            <w:tcW w:w="4841" w:type="dxa"/>
          </w:tcPr>
          <w:p w14:paraId="086BCCBE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GrayLevelNonUniformity</w:t>
            </w:r>
            <w:proofErr w:type="spellEnd"/>
          </w:p>
          <w:p w14:paraId="2A9A505E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GrayLevelNonUniformityNormalized</w:t>
            </w:r>
            <w:proofErr w:type="spellEnd"/>
          </w:p>
          <w:p w14:paraId="7D09FA97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GrayLevelVariance</w:t>
            </w:r>
            <w:proofErr w:type="spellEnd"/>
          </w:p>
          <w:p w14:paraId="02DF67E6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HighGrayLevelZoneEmphasis</w:t>
            </w:r>
            <w:proofErr w:type="spellEnd"/>
          </w:p>
          <w:p w14:paraId="4FA18B8A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LargeAreaEmphasis</w:t>
            </w:r>
            <w:proofErr w:type="spellEnd"/>
          </w:p>
          <w:p w14:paraId="037314B1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LargeAreaHighGrayLevelEmphasis</w:t>
            </w:r>
            <w:proofErr w:type="spellEnd"/>
          </w:p>
          <w:p w14:paraId="70ED6F76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LargeAreaLowGrayLevelEmphasis</w:t>
            </w:r>
            <w:proofErr w:type="spellEnd"/>
          </w:p>
          <w:p w14:paraId="5FDA05AA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LowGrayLevelZoneEmphasis</w:t>
            </w:r>
            <w:proofErr w:type="spellEnd"/>
          </w:p>
          <w:p w14:paraId="4A183814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SizeZoneNonUniformity</w:t>
            </w:r>
            <w:proofErr w:type="spellEnd"/>
          </w:p>
          <w:p w14:paraId="1E2C31A2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SizeZoneNonUniformityNormalized</w:t>
            </w:r>
            <w:proofErr w:type="spellEnd"/>
          </w:p>
          <w:p w14:paraId="2078C994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SmallAreaEmphasis</w:t>
            </w:r>
            <w:proofErr w:type="spellEnd"/>
          </w:p>
          <w:p w14:paraId="54D9EF4F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SmallAreaHighGrayLevelEmphasis</w:t>
            </w:r>
            <w:proofErr w:type="spellEnd"/>
          </w:p>
          <w:p w14:paraId="47BE7A8C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SmallAreaLowGrayLevelEmphasis</w:t>
            </w:r>
            <w:proofErr w:type="spellEnd"/>
          </w:p>
          <w:p w14:paraId="71702652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ZoneEntropy</w:t>
            </w:r>
            <w:proofErr w:type="spellEnd"/>
          </w:p>
          <w:p w14:paraId="767B1358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ZonePercentage</w:t>
            </w:r>
            <w:proofErr w:type="spellEnd"/>
          </w:p>
          <w:p w14:paraId="6AA20509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ZoneVariance</w:t>
            </w:r>
            <w:proofErr w:type="spellEnd"/>
          </w:p>
        </w:tc>
      </w:tr>
      <w:tr w:rsidR="005C5F21" w:rsidRPr="00555362" w14:paraId="3BD04ED5" w14:textId="77777777" w:rsidTr="001F45FA">
        <w:trPr>
          <w:jc w:val="center"/>
        </w:trPr>
        <w:tc>
          <w:tcPr>
            <w:tcW w:w="3675" w:type="dxa"/>
          </w:tcPr>
          <w:p w14:paraId="217B00C1" w14:textId="77777777" w:rsidR="005C5F21" w:rsidRPr="00555362" w:rsidRDefault="005C5F21" w:rsidP="001F45FA">
            <w:pPr>
              <w:jc w:val="center"/>
              <w:rPr>
                <w:bCs/>
                <w:sz w:val="24"/>
              </w:rPr>
            </w:pPr>
            <w:r w:rsidRPr="00555362">
              <w:rPr>
                <w:bCs/>
                <w:sz w:val="24"/>
              </w:rPr>
              <w:lastRenderedPageBreak/>
              <w:t>Gray Level Dependence Matrix (GLDM) Features</w:t>
            </w:r>
          </w:p>
          <w:p w14:paraId="06D8A849" w14:textId="77777777" w:rsidR="005C5F21" w:rsidRPr="00555362" w:rsidRDefault="005C5F21" w:rsidP="001F45FA">
            <w:pPr>
              <w:jc w:val="center"/>
              <w:rPr>
                <w:sz w:val="24"/>
              </w:rPr>
            </w:pPr>
            <w:r w:rsidRPr="00555362">
              <w:rPr>
                <w:sz w:val="24"/>
              </w:rPr>
              <w:t>(n=14)</w:t>
            </w:r>
          </w:p>
        </w:tc>
        <w:tc>
          <w:tcPr>
            <w:tcW w:w="4841" w:type="dxa"/>
          </w:tcPr>
          <w:p w14:paraId="40BCA687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DependenceEntropy</w:t>
            </w:r>
            <w:proofErr w:type="spellEnd"/>
          </w:p>
          <w:p w14:paraId="204D50C0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DependenceNonUniformity</w:t>
            </w:r>
            <w:proofErr w:type="spellEnd"/>
          </w:p>
          <w:p w14:paraId="511FA912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DependenceNonUniformityNormalized</w:t>
            </w:r>
            <w:proofErr w:type="spellEnd"/>
          </w:p>
          <w:p w14:paraId="46A5F0C7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DependenceVariance</w:t>
            </w:r>
            <w:proofErr w:type="spellEnd"/>
            <w:r w:rsidRPr="00555362">
              <w:rPr>
                <w:sz w:val="24"/>
              </w:rPr>
              <w:tab/>
            </w:r>
          </w:p>
          <w:p w14:paraId="6712E8F1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GrayLevelNonUniformity</w:t>
            </w:r>
            <w:proofErr w:type="spellEnd"/>
          </w:p>
          <w:p w14:paraId="5B7F5FE8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GrayLevelVariance</w:t>
            </w:r>
            <w:proofErr w:type="spellEnd"/>
          </w:p>
          <w:p w14:paraId="408F38DF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HighGrayLevelEmphasis</w:t>
            </w:r>
            <w:proofErr w:type="spellEnd"/>
          </w:p>
          <w:p w14:paraId="5185AAF0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LargeDependenceEmphasis</w:t>
            </w:r>
            <w:proofErr w:type="spellEnd"/>
          </w:p>
          <w:p w14:paraId="0FFB908F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LargeDependenceHighGrayLevelEmphasis</w:t>
            </w:r>
            <w:proofErr w:type="spellEnd"/>
          </w:p>
          <w:p w14:paraId="40E5697C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LargeDependenceLowGrayLevelEmphasis</w:t>
            </w:r>
            <w:proofErr w:type="spellEnd"/>
          </w:p>
          <w:p w14:paraId="3C0C81FB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LowGrayLevelEmphasis</w:t>
            </w:r>
            <w:proofErr w:type="spellEnd"/>
          </w:p>
          <w:p w14:paraId="46E33C0C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SmallDependenceEmphasis</w:t>
            </w:r>
            <w:proofErr w:type="spellEnd"/>
          </w:p>
          <w:p w14:paraId="1683653D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SmallDependenceHighGrayLevelEmphasis</w:t>
            </w:r>
            <w:proofErr w:type="spellEnd"/>
          </w:p>
          <w:p w14:paraId="49CF9693" w14:textId="77777777" w:rsidR="005C5F21" w:rsidRPr="00555362" w:rsidRDefault="005C5F21" w:rsidP="001F45FA">
            <w:pPr>
              <w:rPr>
                <w:sz w:val="24"/>
              </w:rPr>
            </w:pPr>
            <w:proofErr w:type="spellStart"/>
            <w:r w:rsidRPr="00555362">
              <w:rPr>
                <w:sz w:val="24"/>
              </w:rPr>
              <w:t>SmallDependenceLowGrayLevelEmphasis</w:t>
            </w:r>
            <w:proofErr w:type="spellEnd"/>
          </w:p>
        </w:tc>
      </w:tr>
    </w:tbl>
    <w:p w14:paraId="416D1B85" w14:textId="77777777" w:rsidR="005C5F21" w:rsidRPr="00555362" w:rsidRDefault="005C5F21" w:rsidP="005C5F21">
      <w:pPr>
        <w:spacing w:line="360" w:lineRule="auto"/>
        <w:ind w:firstLineChars="200" w:firstLine="480"/>
        <w:rPr>
          <w:sz w:val="24"/>
        </w:rPr>
      </w:pPr>
      <w:r w:rsidRPr="00555362">
        <w:rPr>
          <w:sz w:val="24"/>
        </w:rPr>
        <w:t>A pool consisting of 788 radiomics features was developed. The radiomics features can grouped as follows: 1) shape (n= 14), first-order (n= 18), textural feature (n= 68) and wavelet features (n= 688).</w:t>
      </w:r>
    </w:p>
    <w:p w14:paraId="11C58480" w14:textId="77777777" w:rsidR="005C5F21" w:rsidRPr="00555362" w:rsidRDefault="005C5F21" w:rsidP="005C5F21">
      <w:pPr>
        <w:spacing w:line="360" w:lineRule="auto"/>
        <w:rPr>
          <w:sz w:val="24"/>
        </w:rPr>
      </w:pPr>
      <w:r w:rsidRPr="00555362">
        <w:rPr>
          <w:sz w:val="24"/>
        </w:rPr>
        <w:t>Wavelet features:</w:t>
      </w:r>
    </w:p>
    <w:p w14:paraId="6178EB67" w14:textId="77777777" w:rsidR="005C5F21" w:rsidRPr="00555362" w:rsidRDefault="005C5F21" w:rsidP="005C5F21">
      <w:pPr>
        <w:spacing w:line="360" w:lineRule="auto"/>
        <w:ind w:firstLineChars="200" w:firstLine="480"/>
        <w:rPr>
          <w:sz w:val="24"/>
        </w:rPr>
      </w:pPr>
      <w:r w:rsidRPr="00555362">
        <w:rPr>
          <w:sz w:val="24"/>
        </w:rPr>
        <w:t>Textural information was decoupled through discrete undecimated 3D wavelet transformation by separating the initial image, in which high-frequency signals were transformed to low-frequency signals. This is pre-processing before feature extraction. Specifically, with the original image X, and low-pass (L) and high-pass (H) wavelet functions, the wavelet decompositions of X were marked as X_LLL, X_LLH, X_LHL, X_LHH, X_HLL, X_HLH, X_HHL, and X_HHH. In this undecimated decomposition, each decomposed image was of equal size to the initial image, and all decompositions were shift-independent. Therefore, decompositions after wavelet transformation could be processed directly by initial description of the gross tumor volume. First-order feature X and textural features were extracted from each decomposition and resulted in 688 features.</w:t>
      </w:r>
    </w:p>
    <w:p w14:paraId="76EBC480" w14:textId="77777777" w:rsidR="005C5F21" w:rsidRPr="00555362" w:rsidRDefault="005C5F21" w:rsidP="005C5F21">
      <w:pPr>
        <w:spacing w:line="360" w:lineRule="auto"/>
        <w:ind w:firstLineChars="200" w:firstLine="480"/>
        <w:rPr>
          <w:sz w:val="24"/>
        </w:rPr>
      </w:pPr>
      <w:r w:rsidRPr="00555362">
        <w:rPr>
          <w:sz w:val="24"/>
        </w:rPr>
        <w:t xml:space="preserve">The 14 shape features were extracted on original image; the 18 first order features and 68 textural were extracted on both original and the 8 filtered images. Therefore, the total number of radiomics features on each three-dimensional segmentation could be calculated as 14+ (18+68) ×9= 788. </w:t>
      </w:r>
    </w:p>
    <w:p w14:paraId="4DDE6CE4" w14:textId="77777777" w:rsidR="005C5F21" w:rsidRPr="00555362" w:rsidRDefault="005C5F21" w:rsidP="005C5F21">
      <w:pPr>
        <w:spacing w:line="360" w:lineRule="auto"/>
        <w:ind w:firstLineChars="200" w:firstLine="480"/>
        <w:rPr>
          <w:sz w:val="24"/>
        </w:rPr>
      </w:pPr>
      <w:r w:rsidRPr="00555362">
        <w:rPr>
          <w:sz w:val="24"/>
        </w:rPr>
        <w:t xml:space="preserve">Finally, 2364 features (which were extracted from the T1WI, T2WI and ADC map) </w:t>
      </w:r>
      <w:r w:rsidRPr="00555362">
        <w:rPr>
          <w:sz w:val="24"/>
        </w:rPr>
        <w:lastRenderedPageBreak/>
        <w:t>were extracted from each patient</w:t>
      </w:r>
      <w:r w:rsidRPr="00555362">
        <w:rPr>
          <w:rFonts w:hint="eastAsia"/>
          <w:sz w:val="24"/>
        </w:rPr>
        <w:t>.</w:t>
      </w:r>
    </w:p>
    <w:p w14:paraId="5361F190" w14:textId="77777777" w:rsidR="00346542" w:rsidRPr="005C5F21" w:rsidRDefault="00346542"/>
    <w:sectPr w:rsidR="00346542" w:rsidRPr="005C5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73747" w14:textId="77777777" w:rsidR="000B632B" w:rsidRDefault="000B632B" w:rsidP="005C5F21">
      <w:r>
        <w:separator/>
      </w:r>
    </w:p>
  </w:endnote>
  <w:endnote w:type="continuationSeparator" w:id="0">
    <w:p w14:paraId="144A48E5" w14:textId="77777777" w:rsidR="000B632B" w:rsidRDefault="000B632B" w:rsidP="005C5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CED05" w14:textId="77777777" w:rsidR="000B632B" w:rsidRDefault="000B632B" w:rsidP="005C5F21">
      <w:r>
        <w:separator/>
      </w:r>
    </w:p>
  </w:footnote>
  <w:footnote w:type="continuationSeparator" w:id="0">
    <w:p w14:paraId="31D7BF86" w14:textId="77777777" w:rsidR="000B632B" w:rsidRDefault="000B632B" w:rsidP="005C5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CF"/>
    <w:rsid w:val="000B632B"/>
    <w:rsid w:val="00346542"/>
    <w:rsid w:val="005C5F21"/>
    <w:rsid w:val="007C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DE8507F-F6CE-4B09-BC57-C1079728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F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2A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A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AC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AC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AC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AC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AC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AC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A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2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2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2AC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2AC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C2AC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2AC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2AC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2AC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2A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2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2A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2A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2AC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C2A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AC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7C2A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C2A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2AC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C5F2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C5F2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C5F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C5F21"/>
    <w:rPr>
      <w:sz w:val="18"/>
      <w:szCs w:val="18"/>
    </w:rPr>
  </w:style>
  <w:style w:type="table" w:styleId="af2">
    <w:name w:val="Table Grid"/>
    <w:basedOn w:val="a1"/>
    <w:uiPriority w:val="39"/>
    <w:qFormat/>
    <w:rsid w:val="005C5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18649</dc:creator>
  <cp:keywords/>
  <dc:description/>
  <cp:lastModifiedBy>18649</cp:lastModifiedBy>
  <cp:revision>2</cp:revision>
  <dcterms:created xsi:type="dcterms:W3CDTF">2023-12-05T02:30:00Z</dcterms:created>
  <dcterms:modified xsi:type="dcterms:W3CDTF">2023-12-05T02:30:00Z</dcterms:modified>
</cp:coreProperties>
</file>