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7FEB" w14:textId="77777777" w:rsidR="00A255A7" w:rsidRPr="00555362" w:rsidRDefault="00A255A7" w:rsidP="00A255A7">
      <w:pPr>
        <w:spacing w:line="360" w:lineRule="auto"/>
        <w:rPr>
          <w:b/>
          <w:color w:val="000000"/>
          <w:sz w:val="24"/>
        </w:rPr>
      </w:pPr>
      <w:r w:rsidRPr="00555362">
        <w:rPr>
          <w:b/>
          <w:color w:val="000000"/>
          <w:sz w:val="24"/>
        </w:rPr>
        <w:t>Supplementary S1</w:t>
      </w:r>
    </w:p>
    <w:p w14:paraId="6DE4FEAF" w14:textId="2221E3B6" w:rsidR="000C774A" w:rsidRPr="00555362" w:rsidRDefault="000C774A" w:rsidP="000C774A">
      <w:pPr>
        <w:spacing w:line="360" w:lineRule="auto"/>
        <w:rPr>
          <w:b/>
          <w:color w:val="000000"/>
          <w:sz w:val="24"/>
        </w:rPr>
      </w:pPr>
      <w:r w:rsidRPr="00555362">
        <w:rPr>
          <w:b/>
          <w:color w:val="000000"/>
          <w:sz w:val="24"/>
        </w:rPr>
        <w:t xml:space="preserve">The definition of </w:t>
      </w:r>
      <w:r w:rsidR="00E8605B" w:rsidRPr="00555362">
        <w:rPr>
          <w:b/>
          <w:color w:val="000000"/>
          <w:sz w:val="24"/>
        </w:rPr>
        <w:t xml:space="preserve">conventional </w:t>
      </w:r>
      <w:r w:rsidR="00823C3F" w:rsidRPr="00555362">
        <w:rPr>
          <w:b/>
          <w:color w:val="000000"/>
          <w:sz w:val="24"/>
        </w:rPr>
        <w:t>MRI features</w:t>
      </w:r>
    </w:p>
    <w:p w14:paraId="245FF08F" w14:textId="67AAE1D5" w:rsidR="000C774A" w:rsidRPr="00555362" w:rsidRDefault="000C774A" w:rsidP="00501556">
      <w:pPr>
        <w:spacing w:line="360" w:lineRule="auto"/>
        <w:rPr>
          <w:color w:val="000000"/>
          <w:sz w:val="24"/>
        </w:rPr>
      </w:pPr>
      <w:r w:rsidRPr="00555362">
        <w:rPr>
          <w:color w:val="000000"/>
          <w:sz w:val="24"/>
        </w:rPr>
        <w:t>The maximal diameter was measured</w:t>
      </w:r>
      <w:r w:rsidR="0098514B" w:rsidRPr="00555362">
        <w:rPr>
          <w:rFonts w:hint="eastAsia"/>
          <w:color w:val="000000"/>
          <w:sz w:val="24"/>
        </w:rPr>
        <w:t xml:space="preserve"> at the level</w:t>
      </w:r>
      <w:r w:rsidRPr="00555362">
        <w:rPr>
          <w:color w:val="000000"/>
          <w:sz w:val="24"/>
        </w:rPr>
        <w:t xml:space="preserve"> where the tumor </w:t>
      </w:r>
      <w:r w:rsidR="0098514B" w:rsidRPr="00555362">
        <w:rPr>
          <w:color w:val="000000"/>
          <w:sz w:val="24"/>
        </w:rPr>
        <w:t>appeared</w:t>
      </w:r>
      <w:r w:rsidRPr="00555362">
        <w:rPr>
          <w:color w:val="000000"/>
          <w:sz w:val="24"/>
        </w:rPr>
        <w:t xml:space="preserve"> largest</w:t>
      </w:r>
      <w:r w:rsidRPr="00555362">
        <w:rPr>
          <w:rFonts w:hint="eastAsia"/>
          <w:color w:val="000000"/>
          <w:sz w:val="24"/>
        </w:rPr>
        <w:t>.</w:t>
      </w:r>
      <w:r w:rsidR="00FB5265" w:rsidRPr="00555362">
        <w:rPr>
          <w:rFonts w:hint="eastAsia"/>
          <w:color w:val="000000"/>
          <w:sz w:val="24"/>
        </w:rPr>
        <w:t xml:space="preserve"> </w:t>
      </w:r>
      <w:r w:rsidR="00092F88" w:rsidRPr="00555362">
        <w:rPr>
          <w:color w:val="000000"/>
          <w:sz w:val="24"/>
        </w:rPr>
        <w:t>The tumor cystic component was classified as T2WI high signal without enhancement on the post-contrast T1WI sequence for estimating purposes.</w:t>
      </w:r>
      <w:r w:rsidRPr="00555362">
        <w:rPr>
          <w:color w:val="000000"/>
          <w:sz w:val="24"/>
        </w:rPr>
        <w:t xml:space="preserve"> </w:t>
      </w:r>
      <w:r w:rsidR="001F48BE" w:rsidRPr="00555362">
        <w:rPr>
          <w:color w:val="000000"/>
          <w:sz w:val="24"/>
        </w:rPr>
        <w:t xml:space="preserve">The </w:t>
      </w:r>
      <w:r w:rsidR="00E8605B" w:rsidRPr="00555362">
        <w:rPr>
          <w:color w:val="000000"/>
          <w:sz w:val="24"/>
        </w:rPr>
        <w:t>presence</w:t>
      </w:r>
      <w:r w:rsidR="001F48BE" w:rsidRPr="00555362">
        <w:rPr>
          <w:color w:val="000000"/>
          <w:sz w:val="24"/>
        </w:rPr>
        <w:t xml:space="preserve"> of </w:t>
      </w:r>
      <w:r w:rsidR="0095546C" w:rsidRPr="00555362">
        <w:rPr>
          <w:color w:val="000000"/>
          <w:sz w:val="24"/>
        </w:rPr>
        <w:t>i</w:t>
      </w:r>
      <w:r w:rsidR="001F48BE" w:rsidRPr="00555362">
        <w:rPr>
          <w:color w:val="000000"/>
          <w:sz w:val="24"/>
        </w:rPr>
        <w:t>nternal septal</w:t>
      </w:r>
      <w:r w:rsidR="0095546C" w:rsidRPr="00555362">
        <w:rPr>
          <w:color w:val="000000"/>
          <w:sz w:val="24"/>
        </w:rPr>
        <w:t xml:space="preserve"> was defined as</w:t>
      </w:r>
      <w:r w:rsidR="00813A5C" w:rsidRPr="00555362">
        <w:rPr>
          <w:color w:val="000000"/>
          <w:sz w:val="24"/>
        </w:rPr>
        <w:t xml:space="preserve"> a linear or curvilinear structure that connects more than two slices in the tumor. </w:t>
      </w:r>
      <w:r w:rsidR="00823C3F" w:rsidRPr="00555362">
        <w:rPr>
          <w:color w:val="000000"/>
          <w:sz w:val="24"/>
        </w:rPr>
        <w:t xml:space="preserve">Pleural or pericardial was characterized by </w:t>
      </w:r>
      <w:r w:rsidR="00E8605B" w:rsidRPr="00555362">
        <w:rPr>
          <w:color w:val="000000"/>
          <w:sz w:val="24"/>
        </w:rPr>
        <w:t>low-signal intensity on T1W images and high-signal intensity on T2W images in the thoracic cavity or pericardial cavity.</w:t>
      </w:r>
    </w:p>
    <w:p w14:paraId="276AE336" w14:textId="77777777" w:rsidR="00555362" w:rsidRPr="00555362" w:rsidRDefault="00555362" w:rsidP="00501556">
      <w:pPr>
        <w:spacing w:line="360" w:lineRule="auto"/>
        <w:rPr>
          <w:color w:val="000000"/>
          <w:sz w:val="24"/>
        </w:rPr>
      </w:pPr>
    </w:p>
    <w:p w14:paraId="0F9C58D9" w14:textId="3C99FD5E" w:rsidR="00F27FDF" w:rsidRPr="00555362" w:rsidRDefault="00F27FDF" w:rsidP="00F27FDF">
      <w:pPr>
        <w:spacing w:line="360" w:lineRule="auto"/>
        <w:rPr>
          <w:b/>
          <w:color w:val="000000"/>
          <w:sz w:val="24"/>
        </w:rPr>
      </w:pPr>
      <w:r w:rsidRPr="00555362">
        <w:rPr>
          <w:b/>
          <w:color w:val="000000"/>
          <w:sz w:val="24"/>
        </w:rPr>
        <w:t>Supplementary S</w:t>
      </w:r>
      <w:r w:rsidR="004B5692" w:rsidRPr="00555362">
        <w:rPr>
          <w:b/>
          <w:color w:val="000000"/>
          <w:sz w:val="24"/>
        </w:rPr>
        <w:t>2</w:t>
      </w:r>
    </w:p>
    <w:p w14:paraId="7C092777" w14:textId="77777777" w:rsidR="00F27FDF" w:rsidRPr="00555362" w:rsidRDefault="00F27FDF" w:rsidP="00501556">
      <w:pPr>
        <w:spacing w:line="360" w:lineRule="auto"/>
        <w:rPr>
          <w:b/>
          <w:color w:val="000000"/>
          <w:sz w:val="24"/>
        </w:rPr>
      </w:pPr>
      <w:r w:rsidRPr="00555362">
        <w:rPr>
          <w:rFonts w:hint="eastAsia"/>
          <w:b/>
          <w:color w:val="000000"/>
          <w:sz w:val="24"/>
        </w:rPr>
        <w:t xml:space="preserve">The </w:t>
      </w:r>
      <w:r w:rsidRPr="00555362">
        <w:rPr>
          <w:b/>
          <w:color w:val="000000"/>
          <w:sz w:val="24"/>
        </w:rPr>
        <w:t xml:space="preserve">measurement of </w:t>
      </w:r>
      <w:r w:rsidR="00961937" w:rsidRPr="00555362">
        <w:rPr>
          <w:b/>
          <w:color w:val="000000"/>
          <w:sz w:val="24"/>
        </w:rPr>
        <w:t>apparent diffusion coefficient (ADC)</w:t>
      </w:r>
      <w:r w:rsidR="00961937" w:rsidRPr="00555362">
        <w:rPr>
          <w:rFonts w:hint="eastAsia"/>
          <w:b/>
          <w:color w:val="000000"/>
          <w:sz w:val="24"/>
        </w:rPr>
        <w:t xml:space="preserve"> </w:t>
      </w:r>
      <w:r w:rsidR="00961937" w:rsidRPr="00555362">
        <w:rPr>
          <w:b/>
          <w:color w:val="000000"/>
          <w:sz w:val="24"/>
        </w:rPr>
        <w:t>value</w:t>
      </w:r>
    </w:p>
    <w:p w14:paraId="063BE7A3" w14:textId="7770A503" w:rsidR="00F27FDF" w:rsidRPr="00555362" w:rsidRDefault="004B5692" w:rsidP="00F27FDF">
      <w:pPr>
        <w:spacing w:line="360" w:lineRule="auto"/>
        <w:rPr>
          <w:color w:val="000000"/>
          <w:sz w:val="24"/>
        </w:rPr>
      </w:pPr>
      <w:r w:rsidRPr="00555362">
        <w:rPr>
          <w:color w:val="000000"/>
          <w:sz w:val="24"/>
        </w:rPr>
        <w:t>The apparent diffusion coefficient (ADC) measurements were followed as: three circular regions-of-interest (ROIs), approximately measuring about 0.5 cm</w:t>
      </w:r>
      <w:r w:rsidRPr="00555362">
        <w:rPr>
          <w:color w:val="000000"/>
          <w:sz w:val="24"/>
          <w:vertAlign w:val="superscript"/>
        </w:rPr>
        <w:t>2</w:t>
      </w:r>
      <w:r w:rsidRPr="00555362">
        <w:rPr>
          <w:color w:val="000000"/>
          <w:sz w:val="24"/>
        </w:rPr>
        <w:t xml:space="preserve"> each, were delineated on the solid tumor area that predominantly exhibited lower signal intensity on the ADC map. ROIs were carefully placed to exclude large fatty, necrotic, cystic, and hemorrhagic areas. The measured ADCs from these three ROIs were then averaged to obtain a mean ADC for further statistical analyses.</w:t>
      </w:r>
      <w:r w:rsidRPr="00555362">
        <w:rPr>
          <w:rFonts w:hint="eastAsia"/>
          <w:color w:val="000000"/>
          <w:sz w:val="24"/>
        </w:rPr>
        <w:t xml:space="preserve"> </w:t>
      </w:r>
      <w:r w:rsidR="00F27FDF" w:rsidRPr="00555362">
        <w:rPr>
          <w:color w:val="000000"/>
          <w:sz w:val="24"/>
        </w:rPr>
        <w:t>The ADC value was calculated by fitting the b</w:t>
      </w:r>
      <w:r w:rsidR="00F27FDF" w:rsidRPr="00555362">
        <w:rPr>
          <w:color w:val="000000"/>
          <w:sz w:val="24"/>
          <w:vertAlign w:val="subscript"/>
        </w:rPr>
        <w:t>0</w:t>
      </w:r>
      <w:r w:rsidR="00F27FDF" w:rsidRPr="00555362">
        <w:rPr>
          <w:color w:val="000000"/>
          <w:sz w:val="24"/>
        </w:rPr>
        <w:t xml:space="preserve"> image and DW images at 1000 s/mm</w:t>
      </w:r>
      <w:r w:rsidR="00F27FDF" w:rsidRPr="00555362">
        <w:rPr>
          <w:color w:val="000000"/>
          <w:sz w:val="24"/>
          <w:vertAlign w:val="superscript"/>
        </w:rPr>
        <w:t>2</w:t>
      </w:r>
      <w:r w:rsidR="00F27FDF" w:rsidRPr="00555362">
        <w:rPr>
          <w:color w:val="000000"/>
          <w:sz w:val="24"/>
        </w:rPr>
        <w:t xml:space="preserve"> </w:t>
      </w:r>
      <w:r w:rsidR="00F27FDF" w:rsidRPr="00555362">
        <w:rPr>
          <w:i/>
          <w:iCs/>
          <w:color w:val="000000"/>
          <w:sz w:val="24"/>
        </w:rPr>
        <w:t>b</w:t>
      </w:r>
      <w:r w:rsidR="00F27FDF" w:rsidRPr="00555362">
        <w:rPr>
          <w:color w:val="000000"/>
          <w:sz w:val="24"/>
        </w:rPr>
        <w:t xml:space="preserve"> value into the following equation</w:t>
      </w:r>
      <w:r w:rsidR="00F27FDF" w:rsidRPr="00555362">
        <w:rPr>
          <w:rFonts w:hint="eastAsia"/>
          <w:color w:val="000000"/>
          <w:sz w:val="24"/>
        </w:rPr>
        <w:t xml:space="preserve">: </w:t>
      </w:r>
      <m:oMath>
        <m:sSub>
          <m:sSubPr>
            <m:ctrlPr>
              <w:rPr>
                <w:rFonts w:ascii="Cambria Math" w:hAnsi="Cambria Math"/>
                <w:color w:val="000000"/>
                <w:sz w:val="24"/>
              </w:rPr>
            </m:ctrlPr>
          </m:sSubPr>
          <m:e>
            <m:r>
              <w:rPr>
                <w:rFonts w:ascii="Cambria Math" w:hAnsi="Cambria Math"/>
                <w:color w:val="000000"/>
                <w:sz w:val="24"/>
              </w:rPr>
              <m:t>S</m:t>
            </m:r>
          </m:e>
          <m:sub>
            <m:r>
              <w:rPr>
                <w:rFonts w:ascii="Cambria Math" w:hAnsi="Cambria Math"/>
                <w:color w:val="000000"/>
                <w:sz w:val="24"/>
              </w:rPr>
              <m:t>b</m:t>
            </m:r>
          </m:sub>
        </m:sSub>
        <m:r>
          <m:rPr>
            <m:sty m:val="p"/>
          </m:rPr>
          <w:rPr>
            <w:rFonts w:ascii="Cambria Math" w:hAnsi="Cambria Math"/>
            <w:color w:val="000000"/>
            <w:sz w:val="24"/>
          </w:rPr>
          <m:t>/</m:t>
        </m:r>
        <m:sSub>
          <m:sSubPr>
            <m:ctrlPr>
              <w:rPr>
                <w:rFonts w:ascii="Cambria Math" w:hAnsi="Cambria Math"/>
                <w:color w:val="000000"/>
                <w:sz w:val="24"/>
              </w:rPr>
            </m:ctrlPr>
          </m:sSubPr>
          <m:e>
            <m:r>
              <w:rPr>
                <w:rFonts w:ascii="Cambria Math" w:hAnsi="Cambria Math"/>
                <w:color w:val="000000"/>
                <w:sz w:val="24"/>
              </w:rPr>
              <m:t>S</m:t>
            </m:r>
          </m:e>
          <m:sub>
            <m:r>
              <m:rPr>
                <m:sty m:val="p"/>
              </m:rPr>
              <w:rPr>
                <w:rFonts w:ascii="Cambria Math" w:hAnsi="Cambria Math"/>
                <w:color w:val="000000"/>
                <w:sz w:val="24"/>
              </w:rPr>
              <m:t>0</m:t>
            </m:r>
          </m:sub>
        </m:sSub>
        <m:r>
          <m:rPr>
            <m:sty m:val="p"/>
          </m:rPr>
          <w:rPr>
            <w:rFonts w:ascii="Cambria Math" w:hAnsi="Cambria Math"/>
            <w:color w:val="000000"/>
            <w:sz w:val="24"/>
          </w:rPr>
          <m:t>=</m:t>
        </m:r>
        <m:r>
          <w:rPr>
            <w:rFonts w:ascii="Cambria Math" w:hAnsi="Cambria Math"/>
            <w:color w:val="000000"/>
            <w:sz w:val="24"/>
          </w:rPr>
          <m:t>exp</m:t>
        </m:r>
        <m:d>
          <m:dPr>
            <m:ctrlPr>
              <w:rPr>
                <w:rFonts w:ascii="Cambria Math" w:hAnsi="Cambria Math"/>
                <w:color w:val="000000"/>
                <w:sz w:val="24"/>
              </w:rPr>
            </m:ctrlPr>
          </m:dPr>
          <m:e>
            <m:r>
              <m:rPr>
                <m:sty m:val="p"/>
              </m:rPr>
              <w:rPr>
                <w:rFonts w:ascii="Cambria Math" w:hAnsi="Cambria Math"/>
                <w:color w:val="000000"/>
                <w:sz w:val="24"/>
              </w:rPr>
              <m:t>-</m:t>
            </m:r>
            <m:r>
              <w:rPr>
                <w:rFonts w:ascii="Cambria Math" w:hAnsi="Cambria Math"/>
                <w:color w:val="000000"/>
                <w:sz w:val="24"/>
              </w:rPr>
              <m:t>b</m:t>
            </m:r>
            <m:r>
              <m:rPr>
                <m:sty m:val="p"/>
              </m:rPr>
              <w:rPr>
                <w:rFonts w:ascii="Cambria Math" w:hAnsi="Cambria Math"/>
                <w:color w:val="000000"/>
                <w:sz w:val="24"/>
              </w:rPr>
              <m:t xml:space="preserve"> </m:t>
            </m:r>
            <m:r>
              <w:rPr>
                <w:rFonts w:ascii="Cambria Math" w:hAnsi="Cambria Math"/>
                <w:color w:val="000000"/>
                <w:sz w:val="24"/>
              </w:rPr>
              <m:t>ADC</m:t>
            </m:r>
          </m:e>
        </m:d>
      </m:oMath>
      <w:r w:rsidR="00F27FDF" w:rsidRPr="00555362">
        <w:rPr>
          <w:color w:val="000000"/>
          <w:sz w:val="24"/>
        </w:rPr>
        <w:t>. The final ADC value was the average of the ADC values of three ROIs.</w:t>
      </w:r>
    </w:p>
    <w:p w14:paraId="4331FECE" w14:textId="77777777" w:rsidR="00501556" w:rsidRPr="00555362" w:rsidRDefault="00501556" w:rsidP="00501556">
      <w:pPr>
        <w:spacing w:line="360" w:lineRule="auto"/>
        <w:rPr>
          <w:color w:val="000000"/>
          <w:sz w:val="24"/>
        </w:rPr>
      </w:pPr>
    </w:p>
    <w:p w14:paraId="4B5005DE" w14:textId="357A05D0" w:rsidR="00D016FC" w:rsidRPr="00555362" w:rsidRDefault="00D016FC" w:rsidP="00D016FC">
      <w:pPr>
        <w:spacing w:line="360" w:lineRule="auto"/>
        <w:rPr>
          <w:b/>
          <w:color w:val="000000"/>
          <w:sz w:val="24"/>
        </w:rPr>
      </w:pPr>
      <w:r w:rsidRPr="00555362">
        <w:rPr>
          <w:b/>
          <w:color w:val="000000"/>
          <w:sz w:val="24"/>
        </w:rPr>
        <w:t>Supplementary S</w:t>
      </w:r>
      <w:r>
        <w:rPr>
          <w:b/>
          <w:color w:val="000000"/>
          <w:sz w:val="24"/>
        </w:rPr>
        <w:t>3</w:t>
      </w:r>
    </w:p>
    <w:p w14:paraId="57FDF7CE" w14:textId="77777777" w:rsidR="00D016FC" w:rsidRPr="00555362" w:rsidRDefault="00D016FC" w:rsidP="00D016FC">
      <w:pPr>
        <w:spacing w:line="360" w:lineRule="auto"/>
        <w:rPr>
          <w:b/>
          <w:color w:val="000000"/>
          <w:sz w:val="24"/>
        </w:rPr>
      </w:pPr>
      <w:r w:rsidRPr="00555362">
        <w:rPr>
          <w:b/>
          <w:color w:val="000000"/>
          <w:sz w:val="24"/>
        </w:rPr>
        <w:t>Calibration curve</w:t>
      </w:r>
      <w:r w:rsidRPr="00555362">
        <w:rPr>
          <w:rFonts w:hint="eastAsia"/>
          <w:b/>
          <w:color w:val="000000"/>
          <w:sz w:val="24"/>
        </w:rPr>
        <w:t xml:space="preserve"> and </w:t>
      </w:r>
      <w:r w:rsidRPr="00555362">
        <w:rPr>
          <w:b/>
          <w:color w:val="000000"/>
          <w:sz w:val="24"/>
        </w:rPr>
        <w:t>decision curve analysis (DCA)</w:t>
      </w:r>
    </w:p>
    <w:p w14:paraId="33D3C67C" w14:textId="4B9D0860" w:rsidR="00797D1D" w:rsidRPr="00797D1D" w:rsidRDefault="00797D1D" w:rsidP="00D016FC">
      <w:pPr>
        <w:spacing w:line="360" w:lineRule="auto"/>
        <w:rPr>
          <w:color w:val="000000"/>
          <w:sz w:val="24"/>
        </w:rPr>
      </w:pPr>
      <w:r w:rsidRPr="00797D1D">
        <w:rPr>
          <w:color w:val="000000"/>
          <w:sz w:val="24"/>
        </w:rPr>
        <w:t xml:space="preserve">The predictive performance of the combined radiomics nomogram was evaluated using calibration curves. These curves plot the nomogram-predicted probability of positive </w:t>
      </w:r>
      <w:r w:rsidR="0084091C">
        <w:rPr>
          <w:sz w:val="24"/>
        </w:rPr>
        <w:t>programmed death receptor ligand 1 (</w:t>
      </w:r>
      <w:r w:rsidRPr="00797D1D">
        <w:rPr>
          <w:color w:val="000000"/>
          <w:sz w:val="24"/>
        </w:rPr>
        <w:t>PD-L1</w:t>
      </w:r>
      <w:r w:rsidR="0084091C">
        <w:rPr>
          <w:color w:val="000000"/>
          <w:sz w:val="24"/>
        </w:rPr>
        <w:t>)</w:t>
      </w:r>
      <w:r w:rsidRPr="00797D1D">
        <w:rPr>
          <w:color w:val="000000"/>
          <w:sz w:val="24"/>
        </w:rPr>
        <w:t xml:space="preserve"> expression on the X-axis and the actual rate obtained through bootstrapping on the Y-axis. The agreement between the depicted calibration curve and a 45° straight line reflects the accuracy of prediction achieved by the combined radiomics nomogram.</w:t>
      </w:r>
    </w:p>
    <w:p w14:paraId="0E03B8F9" w14:textId="7CA19F04" w:rsidR="00501556" w:rsidRDefault="00D016FC" w:rsidP="00501556">
      <w:pPr>
        <w:spacing w:line="360" w:lineRule="auto"/>
        <w:rPr>
          <w:color w:val="000000"/>
          <w:sz w:val="24"/>
        </w:rPr>
      </w:pPr>
      <w:r w:rsidRPr="00555362">
        <w:rPr>
          <w:color w:val="000000"/>
          <w:sz w:val="24"/>
        </w:rPr>
        <w:lastRenderedPageBreak/>
        <w:t xml:space="preserve">  </w:t>
      </w:r>
      <w:r w:rsidR="0084091C" w:rsidRPr="0084091C">
        <w:rPr>
          <w:color w:val="000000"/>
          <w:sz w:val="24"/>
        </w:rPr>
        <w:t xml:space="preserve">To assess the clinical utility of the combined radiomics nomogram for individual prediction of PD-L1 status in TET, we applied </w:t>
      </w:r>
      <w:r w:rsidR="0084091C">
        <w:rPr>
          <w:color w:val="000000"/>
          <w:sz w:val="24"/>
        </w:rPr>
        <w:t>DCA</w:t>
      </w:r>
      <w:r w:rsidR="0084091C" w:rsidRPr="0084091C">
        <w:rPr>
          <w:color w:val="000000"/>
          <w:sz w:val="24"/>
        </w:rPr>
        <w:t xml:space="preserve"> to the combined training</w:t>
      </w:r>
      <w:r w:rsidR="00870760">
        <w:rPr>
          <w:color w:val="000000"/>
          <w:sz w:val="24"/>
        </w:rPr>
        <w:t xml:space="preserve"> and test</w:t>
      </w:r>
      <w:r w:rsidR="0084091C" w:rsidRPr="0084091C">
        <w:rPr>
          <w:color w:val="000000"/>
          <w:sz w:val="24"/>
        </w:rPr>
        <w:t xml:space="preserve"> cohort. The net benefit was plotted against the threshold probability. We constructed four decision curves based on pericardial effusion, ADC models, radiomics model, and combined radiomics nomogram respectively, demonstrating their clinical usefulness by calculating net benefits across a range of threshold probabilities.</w:t>
      </w:r>
    </w:p>
    <w:p w14:paraId="4260276A" w14:textId="77777777" w:rsidR="009F237F" w:rsidRPr="009C65E5" w:rsidRDefault="009F237F" w:rsidP="00501556">
      <w:pPr>
        <w:spacing w:line="360" w:lineRule="auto"/>
        <w:rPr>
          <w:color w:val="000000"/>
          <w:sz w:val="24"/>
        </w:rPr>
      </w:pPr>
    </w:p>
    <w:sectPr w:rsidR="009F237F" w:rsidRPr="009C65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4A1C" w14:textId="77777777" w:rsidR="00D71011" w:rsidRDefault="00D71011" w:rsidP="00501556">
      <w:r>
        <w:separator/>
      </w:r>
    </w:p>
  </w:endnote>
  <w:endnote w:type="continuationSeparator" w:id="0">
    <w:p w14:paraId="1AD9B48E" w14:textId="77777777" w:rsidR="00D71011" w:rsidRDefault="00D71011" w:rsidP="0050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NewRomanPS">
    <w:altName w:val="Times New Roman"/>
    <w:panose1 w:val="00000000000000000000"/>
    <w:charset w:val="00"/>
    <w:family w:val="roman"/>
    <w:notTrueType/>
    <w:pitch w:val="default"/>
  </w:font>
  <w:font w:name="TimesNewRomanPS-Italic">
    <w:altName w:val="Times New Roman"/>
    <w:panose1 w:val="00000000000000000000"/>
    <w:charset w:val="00"/>
    <w:family w:val="roman"/>
    <w:notTrueType/>
    <w:pitch w:val="default"/>
  </w:font>
  <w:font w:name="BpxhhbAdvTT3713a231">
    <w:altName w:val="Times New Roman"/>
    <w:panose1 w:val="00000000000000000000"/>
    <w:charset w:val="00"/>
    <w:family w:val="roman"/>
    <w:notTrueType/>
    <w:pitch w:val="default"/>
  </w:font>
  <w:font w:name="HrfvtgAdvP4C4E74">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B801" w14:textId="77777777" w:rsidR="00D71011" w:rsidRDefault="00D71011" w:rsidP="00501556">
      <w:r>
        <w:separator/>
      </w:r>
    </w:p>
  </w:footnote>
  <w:footnote w:type="continuationSeparator" w:id="0">
    <w:p w14:paraId="6F786FB8" w14:textId="77777777" w:rsidR="00D71011" w:rsidRDefault="00D71011" w:rsidP="00501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17639"/>
    <w:multiLevelType w:val="multilevel"/>
    <w:tmpl w:val="14927F92"/>
    <w:lvl w:ilvl="0">
      <w:start w:val="1"/>
      <w:numFmt w:val="decimal"/>
      <w:lvlText w:val="%1."/>
      <w:lvlJc w:val="left"/>
      <w:pPr>
        <w:ind w:left="360" w:hanging="360"/>
      </w:pPr>
      <w:rPr>
        <w:rFonts w:hint="default"/>
        <w:b/>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96D52AE"/>
    <w:multiLevelType w:val="multilevel"/>
    <w:tmpl w:val="4CA82C5A"/>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31711014">
    <w:abstractNumId w:val="0"/>
  </w:num>
  <w:num w:numId="2" w16cid:durableId="19342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2pews2bpxvx1e9w9uxpt9owf5dzrw0eda9&quot;&gt;My EndNote Library&lt;record-ids&gt;&lt;item&gt;2042&lt;/item&gt;&lt;item&gt;2051&lt;/item&gt;&lt;/record-ids&gt;&lt;/item&gt;&lt;/Libraries&gt;"/>
  </w:docVars>
  <w:rsids>
    <w:rsidRoot w:val="00C0422C"/>
    <w:rsid w:val="00061904"/>
    <w:rsid w:val="00071107"/>
    <w:rsid w:val="00092F88"/>
    <w:rsid w:val="000C3755"/>
    <w:rsid w:val="000C774A"/>
    <w:rsid w:val="000C7C5A"/>
    <w:rsid w:val="00113C81"/>
    <w:rsid w:val="0012560E"/>
    <w:rsid w:val="00164FDA"/>
    <w:rsid w:val="001769EC"/>
    <w:rsid w:val="0019496C"/>
    <w:rsid w:val="001C439D"/>
    <w:rsid w:val="001C4426"/>
    <w:rsid w:val="001F48BE"/>
    <w:rsid w:val="002142F8"/>
    <w:rsid w:val="00224BBE"/>
    <w:rsid w:val="00287726"/>
    <w:rsid w:val="002A5216"/>
    <w:rsid w:val="002F1793"/>
    <w:rsid w:val="00375761"/>
    <w:rsid w:val="003B03C8"/>
    <w:rsid w:val="00437530"/>
    <w:rsid w:val="00472D01"/>
    <w:rsid w:val="004B5692"/>
    <w:rsid w:val="004D57A2"/>
    <w:rsid w:val="00501556"/>
    <w:rsid w:val="0055394C"/>
    <w:rsid w:val="00555362"/>
    <w:rsid w:val="005849E4"/>
    <w:rsid w:val="00601B00"/>
    <w:rsid w:val="006C281B"/>
    <w:rsid w:val="00727BE0"/>
    <w:rsid w:val="00743272"/>
    <w:rsid w:val="0077767A"/>
    <w:rsid w:val="00781C6C"/>
    <w:rsid w:val="00797D1D"/>
    <w:rsid w:val="007C0E77"/>
    <w:rsid w:val="00813A5C"/>
    <w:rsid w:val="00823122"/>
    <w:rsid w:val="00823C3F"/>
    <w:rsid w:val="00832F81"/>
    <w:rsid w:val="0084091C"/>
    <w:rsid w:val="00870760"/>
    <w:rsid w:val="0088756F"/>
    <w:rsid w:val="008D0FA2"/>
    <w:rsid w:val="008E1232"/>
    <w:rsid w:val="008F7BC9"/>
    <w:rsid w:val="009172CA"/>
    <w:rsid w:val="0095546C"/>
    <w:rsid w:val="00961937"/>
    <w:rsid w:val="00965638"/>
    <w:rsid w:val="00965A46"/>
    <w:rsid w:val="0098514B"/>
    <w:rsid w:val="009C65E5"/>
    <w:rsid w:val="009F237F"/>
    <w:rsid w:val="00A255A7"/>
    <w:rsid w:val="00A33472"/>
    <w:rsid w:val="00A44EB1"/>
    <w:rsid w:val="00AB34DB"/>
    <w:rsid w:val="00AD2BE8"/>
    <w:rsid w:val="00B626D1"/>
    <w:rsid w:val="00BC19D1"/>
    <w:rsid w:val="00C0422C"/>
    <w:rsid w:val="00C51A7D"/>
    <w:rsid w:val="00C634AD"/>
    <w:rsid w:val="00D016FC"/>
    <w:rsid w:val="00D071FE"/>
    <w:rsid w:val="00D25112"/>
    <w:rsid w:val="00D71011"/>
    <w:rsid w:val="00DB56AB"/>
    <w:rsid w:val="00E344C4"/>
    <w:rsid w:val="00E61B40"/>
    <w:rsid w:val="00E8605B"/>
    <w:rsid w:val="00E9502D"/>
    <w:rsid w:val="00ED7D9D"/>
    <w:rsid w:val="00EE223C"/>
    <w:rsid w:val="00F178FD"/>
    <w:rsid w:val="00F27FDF"/>
    <w:rsid w:val="00F50F4B"/>
    <w:rsid w:val="00F66409"/>
    <w:rsid w:val="00FA7608"/>
    <w:rsid w:val="00FB5265"/>
    <w:rsid w:val="00FC7DEE"/>
    <w:rsid w:val="00FF1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6830"/>
  <w15:docId w15:val="{25680BD8-FEFF-4F0B-944C-C257576C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55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15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1556"/>
    <w:rPr>
      <w:sz w:val="18"/>
      <w:szCs w:val="18"/>
    </w:rPr>
  </w:style>
  <w:style w:type="paragraph" w:styleId="a5">
    <w:name w:val="footer"/>
    <w:basedOn w:val="a"/>
    <w:link w:val="a6"/>
    <w:uiPriority w:val="99"/>
    <w:unhideWhenUsed/>
    <w:rsid w:val="00501556"/>
    <w:pPr>
      <w:tabs>
        <w:tab w:val="center" w:pos="4153"/>
        <w:tab w:val="right" w:pos="8306"/>
      </w:tabs>
      <w:snapToGrid w:val="0"/>
      <w:jc w:val="left"/>
    </w:pPr>
    <w:rPr>
      <w:sz w:val="18"/>
      <w:szCs w:val="18"/>
    </w:rPr>
  </w:style>
  <w:style w:type="character" w:customStyle="1" w:styleId="a6">
    <w:name w:val="页脚 字符"/>
    <w:basedOn w:val="a0"/>
    <w:link w:val="a5"/>
    <w:uiPriority w:val="99"/>
    <w:rsid w:val="00501556"/>
    <w:rPr>
      <w:sz w:val="18"/>
      <w:szCs w:val="18"/>
    </w:rPr>
  </w:style>
  <w:style w:type="character" w:customStyle="1" w:styleId="fontstyle01">
    <w:name w:val="fontstyle01"/>
    <w:basedOn w:val="a0"/>
    <w:qFormat/>
    <w:rsid w:val="00501556"/>
    <w:rPr>
      <w:rFonts w:ascii="TimesNewRomanPS" w:hAnsi="TimesNewRomanPS" w:hint="default"/>
      <w:b w:val="0"/>
      <w:bCs w:val="0"/>
      <w:i w:val="0"/>
      <w:iCs w:val="0"/>
      <w:color w:val="231F20"/>
      <w:sz w:val="20"/>
      <w:szCs w:val="20"/>
    </w:rPr>
  </w:style>
  <w:style w:type="character" w:customStyle="1" w:styleId="fontstyle21">
    <w:name w:val="fontstyle21"/>
    <w:basedOn w:val="a0"/>
    <w:rsid w:val="00501556"/>
    <w:rPr>
      <w:rFonts w:ascii="TimesNewRomanPS-Italic" w:hAnsi="TimesNewRomanPS-Italic" w:hint="default"/>
      <w:b w:val="0"/>
      <w:bCs w:val="0"/>
      <w:i/>
      <w:iCs/>
      <w:color w:val="231F20"/>
      <w:sz w:val="20"/>
      <w:szCs w:val="20"/>
    </w:rPr>
  </w:style>
  <w:style w:type="character" w:styleId="a7">
    <w:name w:val="Placeholder Text"/>
    <w:basedOn w:val="a0"/>
    <w:uiPriority w:val="99"/>
    <w:semiHidden/>
    <w:rsid w:val="00501556"/>
    <w:rPr>
      <w:color w:val="808080"/>
    </w:rPr>
  </w:style>
  <w:style w:type="paragraph" w:styleId="a8">
    <w:name w:val="Balloon Text"/>
    <w:basedOn w:val="a"/>
    <w:link w:val="a9"/>
    <w:uiPriority w:val="99"/>
    <w:semiHidden/>
    <w:unhideWhenUsed/>
    <w:rsid w:val="00501556"/>
    <w:rPr>
      <w:sz w:val="18"/>
      <w:szCs w:val="18"/>
    </w:rPr>
  </w:style>
  <w:style w:type="character" w:customStyle="1" w:styleId="a9">
    <w:name w:val="批注框文本 字符"/>
    <w:basedOn w:val="a0"/>
    <w:link w:val="a8"/>
    <w:uiPriority w:val="99"/>
    <w:semiHidden/>
    <w:rsid w:val="00501556"/>
    <w:rPr>
      <w:rFonts w:ascii="Times New Roman" w:eastAsia="宋体" w:hAnsi="Times New Roman" w:cs="Times New Roman"/>
      <w:sz w:val="18"/>
      <w:szCs w:val="18"/>
    </w:rPr>
  </w:style>
  <w:style w:type="character" w:customStyle="1" w:styleId="fontstyle11">
    <w:name w:val="fontstyle11"/>
    <w:basedOn w:val="a0"/>
    <w:rsid w:val="00501556"/>
    <w:rPr>
      <w:rFonts w:ascii="BpxhhbAdvTT3713a231" w:hAnsi="BpxhhbAdvTT3713a231" w:hint="default"/>
      <w:b w:val="0"/>
      <w:bCs w:val="0"/>
      <w:i w:val="0"/>
      <w:iCs w:val="0"/>
      <w:color w:val="131413"/>
      <w:sz w:val="14"/>
      <w:szCs w:val="14"/>
    </w:rPr>
  </w:style>
  <w:style w:type="character" w:customStyle="1" w:styleId="fontstyle41">
    <w:name w:val="fontstyle41"/>
    <w:basedOn w:val="a0"/>
    <w:rsid w:val="00501556"/>
    <w:rPr>
      <w:rFonts w:ascii="HrfvtgAdvP4C4E74" w:hAnsi="HrfvtgAdvP4C4E74" w:hint="default"/>
      <w:b w:val="0"/>
      <w:bCs w:val="0"/>
      <w:i w:val="0"/>
      <w:iCs w:val="0"/>
      <w:color w:val="131413"/>
      <w:sz w:val="20"/>
      <w:szCs w:val="20"/>
    </w:rPr>
  </w:style>
  <w:style w:type="character" w:styleId="aa">
    <w:name w:val="Hyperlink"/>
    <w:basedOn w:val="a0"/>
    <w:uiPriority w:val="99"/>
    <w:unhideWhenUsed/>
    <w:rsid w:val="00501556"/>
    <w:rPr>
      <w:color w:val="0563C1" w:themeColor="hyperlink"/>
      <w:u w:val="single"/>
    </w:rPr>
  </w:style>
  <w:style w:type="table" w:styleId="ab">
    <w:name w:val="Table Grid"/>
    <w:basedOn w:val="a1"/>
    <w:uiPriority w:val="39"/>
    <w:qFormat/>
    <w:rsid w:val="00501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01556"/>
    <w:pPr>
      <w:jc w:val="center"/>
    </w:pPr>
    <w:rPr>
      <w:noProof/>
      <w:sz w:val="20"/>
    </w:rPr>
  </w:style>
  <w:style w:type="character" w:customStyle="1" w:styleId="EndNoteBibliographyTitleChar">
    <w:name w:val="EndNote Bibliography Title Char"/>
    <w:basedOn w:val="a0"/>
    <w:link w:val="EndNoteBibliographyTitle"/>
    <w:rsid w:val="00501556"/>
    <w:rPr>
      <w:rFonts w:ascii="Times New Roman" w:eastAsia="宋体" w:hAnsi="Times New Roman" w:cs="Times New Roman"/>
      <w:noProof/>
      <w:sz w:val="20"/>
      <w:szCs w:val="24"/>
    </w:rPr>
  </w:style>
  <w:style w:type="paragraph" w:customStyle="1" w:styleId="EndNoteBibliography">
    <w:name w:val="EndNote Bibliography"/>
    <w:basedOn w:val="a"/>
    <w:link w:val="EndNoteBibliographyChar"/>
    <w:rsid w:val="00501556"/>
    <w:rPr>
      <w:noProof/>
      <w:sz w:val="20"/>
    </w:rPr>
  </w:style>
  <w:style w:type="character" w:customStyle="1" w:styleId="EndNoteBibliographyChar">
    <w:name w:val="EndNote Bibliography Char"/>
    <w:basedOn w:val="a0"/>
    <w:link w:val="EndNoteBibliography"/>
    <w:rsid w:val="00501556"/>
    <w:rPr>
      <w:rFonts w:ascii="Times New Roman" w:eastAsia="宋体" w:hAnsi="Times New Roman" w:cs="Times New Roman"/>
      <w:noProof/>
      <w:sz w:val="20"/>
      <w:szCs w:val="24"/>
    </w:rPr>
  </w:style>
  <w:style w:type="character" w:customStyle="1" w:styleId="apple-converted-space">
    <w:name w:val="apple-converted-space"/>
    <w:basedOn w:val="a0"/>
    <w:rsid w:val="00501556"/>
  </w:style>
  <w:style w:type="paragraph" w:styleId="ac">
    <w:name w:val="footnote text"/>
    <w:basedOn w:val="a"/>
    <w:link w:val="ad"/>
    <w:uiPriority w:val="99"/>
    <w:semiHidden/>
    <w:unhideWhenUsed/>
    <w:rsid w:val="00501556"/>
    <w:pPr>
      <w:snapToGrid w:val="0"/>
      <w:jc w:val="left"/>
    </w:pPr>
    <w:rPr>
      <w:sz w:val="18"/>
      <w:szCs w:val="18"/>
    </w:rPr>
  </w:style>
  <w:style w:type="character" w:customStyle="1" w:styleId="ad">
    <w:name w:val="脚注文本 字符"/>
    <w:basedOn w:val="a0"/>
    <w:link w:val="ac"/>
    <w:uiPriority w:val="99"/>
    <w:semiHidden/>
    <w:rsid w:val="00501556"/>
    <w:rPr>
      <w:rFonts w:ascii="Times New Roman" w:eastAsia="宋体" w:hAnsi="Times New Roman" w:cs="Times New Roman"/>
      <w:sz w:val="18"/>
      <w:szCs w:val="18"/>
    </w:rPr>
  </w:style>
  <w:style w:type="character" w:styleId="ae">
    <w:name w:val="footnote reference"/>
    <w:basedOn w:val="a0"/>
    <w:uiPriority w:val="99"/>
    <w:semiHidden/>
    <w:unhideWhenUsed/>
    <w:rsid w:val="00501556"/>
    <w:rPr>
      <w:vertAlign w:val="superscript"/>
    </w:rPr>
  </w:style>
  <w:style w:type="paragraph" w:styleId="af">
    <w:name w:val="List Paragraph"/>
    <w:basedOn w:val="a"/>
    <w:uiPriority w:val="34"/>
    <w:qFormat/>
    <w:rsid w:val="0050155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39EE8-1229-496E-B94C-462BDCEEF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2</Pages>
  <Words>354</Words>
  <Characters>2021</Characters>
  <Application>Microsoft Office Word</Application>
  <DocSecurity>0</DocSecurity>
  <Lines>16</Lines>
  <Paragraphs>4</Paragraphs>
  <ScaleCrop>false</ScaleCrop>
  <Company>Microsoft</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xiaogang</dc:creator>
  <cp:keywords/>
  <dc:description/>
  <cp:lastModifiedBy>18649</cp:lastModifiedBy>
  <cp:revision>10</cp:revision>
  <dcterms:created xsi:type="dcterms:W3CDTF">2020-07-13T14:26:00Z</dcterms:created>
  <dcterms:modified xsi:type="dcterms:W3CDTF">2023-12-05T02:58:00Z</dcterms:modified>
</cp:coreProperties>
</file>