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D54B" w14:textId="77777777" w:rsidR="00ED4732" w:rsidRPr="00FB012D" w:rsidRDefault="00ED4732" w:rsidP="00ED473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FB012D">
        <w:rPr>
          <w:rFonts w:ascii="Times New Roman" w:hAnsi="Times New Roman" w:cs="Times New Roman"/>
          <w:b/>
          <w:bCs/>
          <w:sz w:val="20"/>
          <w:szCs w:val="20"/>
        </w:rPr>
        <w:t xml:space="preserve">Table 3. Risk of bias and quality assessment using the modified Newcastle-Ottawa Scale by Murad et al. (questions 4, 5, and 6 from the original assessment tool were excluded as they are more relevant to cases of adverse drug events). </w:t>
      </w:r>
    </w:p>
    <w:p w14:paraId="7DDA63ED" w14:textId="77777777" w:rsidR="00ED4732" w:rsidRPr="00FB012D" w:rsidRDefault="00ED4732" w:rsidP="00ED47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012D">
        <w:rPr>
          <w:rFonts w:ascii="Times New Roman" w:hAnsi="Times New Roman" w:cs="Times New Roman"/>
          <w:sz w:val="20"/>
          <w:szCs w:val="20"/>
        </w:rPr>
        <w:t xml:space="preserve">Y: Yes, N: No. </w:t>
      </w:r>
      <w:r w:rsidRPr="00FB012D">
        <w:rPr>
          <w:rFonts w:ascii="Times New Roman" w:eastAsia="MS Gothic" w:hAnsi="Times New Roman" w:cs="Times New Roman"/>
          <w:sz w:val="20"/>
          <w:szCs w:val="20"/>
          <w:vertAlign w:val="superscript"/>
        </w:rPr>
        <w:t>┼</w:t>
      </w:r>
      <w:r w:rsidRPr="00FB012D">
        <w:rPr>
          <w:rFonts w:ascii="Times New Roman" w:hAnsi="Times New Roman" w:cs="Times New Roman"/>
          <w:sz w:val="20"/>
          <w:szCs w:val="20"/>
        </w:rPr>
        <w:t>we considered a cutoff follow-up time of 6 months.</w:t>
      </w:r>
      <w:r w:rsidRPr="00FB01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B012D">
        <w:rPr>
          <w:rFonts w:ascii="Times New Roman" w:hAnsi="Times New Roman" w:cs="Times New Roman"/>
          <w:sz w:val="20"/>
          <w:szCs w:val="20"/>
        </w:rPr>
        <w:t>NA: not applicable.</w:t>
      </w:r>
    </w:p>
    <w:p w14:paraId="3E387874" w14:textId="77777777" w:rsidR="00ED4732" w:rsidRPr="00FB012D" w:rsidRDefault="00ED4732" w:rsidP="00ED4732">
      <w:pPr>
        <w:spacing w:after="0"/>
        <w:ind w:left="-993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PlainTable2"/>
        <w:tblpPr w:leftFromText="180" w:rightFromText="180" w:vertAnchor="text" w:horzAnchor="margin" w:tblpXSpec="center" w:tblpY="344"/>
        <w:tblW w:w="14390" w:type="dxa"/>
        <w:tblLook w:val="04A0" w:firstRow="1" w:lastRow="0" w:firstColumn="1" w:lastColumn="0" w:noHBand="0" w:noVBand="1"/>
      </w:tblPr>
      <w:tblGrid>
        <w:gridCol w:w="2692"/>
        <w:gridCol w:w="2692"/>
        <w:gridCol w:w="1843"/>
        <w:gridCol w:w="1417"/>
        <w:gridCol w:w="2104"/>
        <w:gridCol w:w="2577"/>
        <w:gridCol w:w="1065"/>
      </w:tblGrid>
      <w:tr w:rsidR="00ED4732" w:rsidRPr="00FB012D" w14:paraId="34E302AC" w14:textId="77777777" w:rsidTr="00A16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1771CFA3" w14:textId="77777777" w:rsidR="00ED4732" w:rsidRPr="00FB012D" w:rsidRDefault="00ED4732" w:rsidP="00A16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2692" w:type="dxa"/>
          </w:tcPr>
          <w:p w14:paraId="04375D5C" w14:textId="77777777" w:rsidR="00ED4732" w:rsidRPr="00FB012D" w:rsidRDefault="00ED4732" w:rsidP="00A16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3260" w:type="dxa"/>
            <w:gridSpan w:val="2"/>
          </w:tcPr>
          <w:p w14:paraId="5B054E4A" w14:textId="77777777" w:rsidR="00ED4732" w:rsidRPr="00FB012D" w:rsidRDefault="00ED4732" w:rsidP="00A16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Ascertainment</w:t>
            </w:r>
          </w:p>
        </w:tc>
        <w:tc>
          <w:tcPr>
            <w:tcW w:w="2104" w:type="dxa"/>
          </w:tcPr>
          <w:p w14:paraId="75994BBD" w14:textId="77777777" w:rsidR="00ED4732" w:rsidRPr="00FB012D" w:rsidRDefault="00ED4732" w:rsidP="00A16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Causality</w:t>
            </w:r>
          </w:p>
        </w:tc>
        <w:tc>
          <w:tcPr>
            <w:tcW w:w="2577" w:type="dxa"/>
          </w:tcPr>
          <w:p w14:paraId="14FB9038" w14:textId="77777777" w:rsidR="00ED4732" w:rsidRPr="00FB012D" w:rsidRDefault="00ED4732" w:rsidP="00A16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Reporting</w:t>
            </w:r>
          </w:p>
        </w:tc>
        <w:tc>
          <w:tcPr>
            <w:tcW w:w="1065" w:type="dxa"/>
          </w:tcPr>
          <w:p w14:paraId="11D85FE1" w14:textId="77777777" w:rsidR="00ED4732" w:rsidRPr="00FB012D" w:rsidRDefault="00ED4732" w:rsidP="00A16E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</w:tr>
      <w:tr w:rsidR="00ED4732" w:rsidRPr="00FB012D" w14:paraId="1EF10BD3" w14:textId="77777777" w:rsidTr="00A16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03EA425A" w14:textId="77777777" w:rsidR="00ED4732" w:rsidRPr="00FB012D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Author, year</w:t>
            </w:r>
          </w:p>
        </w:tc>
        <w:tc>
          <w:tcPr>
            <w:tcW w:w="2692" w:type="dxa"/>
          </w:tcPr>
          <w:p w14:paraId="4D001D35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Does the patient(s) represent(s) the whole experience of the investigator (</w:t>
            </w:r>
            <w:proofErr w:type="spellStart"/>
            <w:r w:rsidRPr="00FB01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centre</w:t>
            </w:r>
            <w:proofErr w:type="spellEnd"/>
            <w:r w:rsidRPr="00FB01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or is the selection method unclear to the extent that other patients with similar presentation may not have been reported?</w:t>
            </w:r>
          </w:p>
        </w:tc>
        <w:tc>
          <w:tcPr>
            <w:tcW w:w="1843" w:type="dxa"/>
          </w:tcPr>
          <w:p w14:paraId="186D6208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Was the exposure adequately ascertained?</w:t>
            </w:r>
          </w:p>
        </w:tc>
        <w:tc>
          <w:tcPr>
            <w:tcW w:w="1417" w:type="dxa"/>
          </w:tcPr>
          <w:p w14:paraId="37569656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Was the outcome adequately ascertained?</w:t>
            </w:r>
          </w:p>
        </w:tc>
        <w:tc>
          <w:tcPr>
            <w:tcW w:w="2104" w:type="dxa"/>
          </w:tcPr>
          <w:p w14:paraId="0FD23B62" w14:textId="77777777" w:rsidR="00ED4732" w:rsidRPr="00FB012D" w:rsidRDefault="00ED4732" w:rsidP="00A16EB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B012D"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  <w:t xml:space="preserve">7. Was follow-up long enough for outcomes to </w:t>
            </w:r>
            <w:proofErr w:type="gramStart"/>
            <w:r w:rsidRPr="00FB012D"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  <w:t>occur?</w:t>
            </w:r>
            <w:r w:rsidRPr="00FB012D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14:ligatures w14:val="standardContextual"/>
              </w:rPr>
              <w:t>┼</w:t>
            </w:r>
            <w:proofErr w:type="gramEnd"/>
          </w:p>
        </w:tc>
        <w:tc>
          <w:tcPr>
            <w:tcW w:w="2577" w:type="dxa"/>
          </w:tcPr>
          <w:p w14:paraId="0F3CE5C9" w14:textId="77777777" w:rsidR="00ED4732" w:rsidRPr="00FB012D" w:rsidRDefault="00ED4732" w:rsidP="00A16EB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B012D"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  <w:t>8. Is the case(s) described with sufficient details to allow other investigators to replicate the research or to allow practitioners make inferences related to their own practice?</w:t>
            </w:r>
          </w:p>
        </w:tc>
        <w:tc>
          <w:tcPr>
            <w:tcW w:w="1065" w:type="dxa"/>
          </w:tcPr>
          <w:p w14:paraId="2E4818ED" w14:textId="77777777" w:rsidR="00ED4732" w:rsidRPr="00FB012D" w:rsidRDefault="00ED4732" w:rsidP="00A16EB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B012D">
              <w:rPr>
                <w:rFonts w:eastAsiaTheme="minorHAnsi"/>
                <w:color w:val="000000"/>
                <w:kern w:val="2"/>
                <w:sz w:val="20"/>
                <w:szCs w:val="20"/>
                <w14:ligatures w14:val="standardContextual"/>
              </w:rPr>
              <w:t>Points (out of 5)</w:t>
            </w:r>
          </w:p>
        </w:tc>
      </w:tr>
      <w:tr w:rsidR="00ED4732" w:rsidRPr="00FB012D" w14:paraId="259EE1A8" w14:textId="77777777" w:rsidTr="00A16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205F5B52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Gonzalez-Romo, 2023 [8]</w:t>
            </w:r>
          </w:p>
        </w:tc>
        <w:tc>
          <w:tcPr>
            <w:tcW w:w="2692" w:type="dxa"/>
          </w:tcPr>
          <w:p w14:paraId="053F1F13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43" w:type="dxa"/>
          </w:tcPr>
          <w:p w14:paraId="6197DDEA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A2934D3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04" w:type="dxa"/>
          </w:tcPr>
          <w:p w14:paraId="39DC3BD3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77" w:type="dxa"/>
          </w:tcPr>
          <w:p w14:paraId="50EFD7D5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5" w:type="dxa"/>
          </w:tcPr>
          <w:p w14:paraId="1C37D97A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D4732" w:rsidRPr="00FB012D" w14:paraId="4BAA2D3B" w14:textId="77777777" w:rsidTr="00A16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5B43B6AE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Liu, 2022 [1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]</w:t>
            </w:r>
          </w:p>
        </w:tc>
        <w:tc>
          <w:tcPr>
            <w:tcW w:w="2692" w:type="dxa"/>
          </w:tcPr>
          <w:p w14:paraId="4FC42A72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43" w:type="dxa"/>
          </w:tcPr>
          <w:p w14:paraId="339D2D35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FDC2345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04" w:type="dxa"/>
          </w:tcPr>
          <w:p w14:paraId="2B41DFD1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77" w:type="dxa"/>
          </w:tcPr>
          <w:p w14:paraId="19340EEC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5" w:type="dxa"/>
          </w:tcPr>
          <w:p w14:paraId="7D2D3DD6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D4732" w:rsidRPr="00FB012D" w14:paraId="078FC19F" w14:textId="77777777" w:rsidTr="00A16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5A961F40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Hassan, 2022 [1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</w:t>
            </w: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]</w:t>
            </w:r>
          </w:p>
        </w:tc>
        <w:tc>
          <w:tcPr>
            <w:tcW w:w="2692" w:type="dxa"/>
          </w:tcPr>
          <w:p w14:paraId="4C39CCE4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14:paraId="60761D38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14:paraId="2E4BD7BE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104" w:type="dxa"/>
          </w:tcPr>
          <w:p w14:paraId="2EA06B2B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577" w:type="dxa"/>
          </w:tcPr>
          <w:p w14:paraId="5B3C0D9D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65" w:type="dxa"/>
          </w:tcPr>
          <w:p w14:paraId="29E31455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D4732" w:rsidRPr="00FB012D" w14:paraId="78A96D54" w14:textId="77777777" w:rsidTr="00A16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3103A1D7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Cofano</w:t>
            </w:r>
            <w:proofErr w:type="spellEnd"/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2021 [10]</w:t>
            </w:r>
          </w:p>
        </w:tc>
        <w:tc>
          <w:tcPr>
            <w:tcW w:w="2692" w:type="dxa"/>
          </w:tcPr>
          <w:p w14:paraId="73648DF8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843" w:type="dxa"/>
          </w:tcPr>
          <w:p w14:paraId="73A74D44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14:paraId="744C1260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104" w:type="dxa"/>
          </w:tcPr>
          <w:p w14:paraId="2569E3A3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577" w:type="dxa"/>
          </w:tcPr>
          <w:p w14:paraId="6A4EBA4E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65" w:type="dxa"/>
          </w:tcPr>
          <w:p w14:paraId="694E3739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4732" w:rsidRPr="00FB012D" w14:paraId="67A20624" w14:textId="77777777" w:rsidTr="00A16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16D437BD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Salmimaa, 2018 [16]</w:t>
            </w:r>
          </w:p>
        </w:tc>
        <w:tc>
          <w:tcPr>
            <w:tcW w:w="2692" w:type="dxa"/>
          </w:tcPr>
          <w:p w14:paraId="666B09AD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43" w:type="dxa"/>
          </w:tcPr>
          <w:p w14:paraId="335F1EA5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3276FE3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04" w:type="dxa"/>
          </w:tcPr>
          <w:p w14:paraId="7AFC5065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77" w:type="dxa"/>
          </w:tcPr>
          <w:p w14:paraId="3CA53957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5" w:type="dxa"/>
          </w:tcPr>
          <w:p w14:paraId="299581D1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D4732" w:rsidRPr="00FB012D" w14:paraId="45C83CC4" w14:textId="77777777" w:rsidTr="00A16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4DD27D67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Davis, 2016 [11]</w:t>
            </w:r>
          </w:p>
        </w:tc>
        <w:tc>
          <w:tcPr>
            <w:tcW w:w="2692" w:type="dxa"/>
          </w:tcPr>
          <w:p w14:paraId="1F21A898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843" w:type="dxa"/>
          </w:tcPr>
          <w:p w14:paraId="694D9054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14:paraId="5FA6E0CC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104" w:type="dxa"/>
          </w:tcPr>
          <w:p w14:paraId="200ADCBC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577" w:type="dxa"/>
          </w:tcPr>
          <w:p w14:paraId="5BC2DDFB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65" w:type="dxa"/>
          </w:tcPr>
          <w:p w14:paraId="5DCABD2D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4732" w:rsidRPr="00FB012D" w14:paraId="24434D9E" w14:textId="77777777" w:rsidTr="00A16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2DD007BE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Ponce, 2016 [9]</w:t>
            </w:r>
          </w:p>
        </w:tc>
        <w:tc>
          <w:tcPr>
            <w:tcW w:w="2692" w:type="dxa"/>
          </w:tcPr>
          <w:p w14:paraId="20C5C404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843" w:type="dxa"/>
          </w:tcPr>
          <w:p w14:paraId="5DFD8593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417" w:type="dxa"/>
          </w:tcPr>
          <w:p w14:paraId="61FA341D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104" w:type="dxa"/>
          </w:tcPr>
          <w:p w14:paraId="56AE22F6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577" w:type="dxa"/>
          </w:tcPr>
          <w:p w14:paraId="71801CD1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65" w:type="dxa"/>
          </w:tcPr>
          <w:p w14:paraId="5ADE7BE1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4732" w:rsidRPr="00FB012D" w14:paraId="6CB7CDFD" w14:textId="77777777" w:rsidTr="00A16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450568EF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Shenai, 2014 [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]</w:t>
            </w:r>
          </w:p>
        </w:tc>
        <w:tc>
          <w:tcPr>
            <w:tcW w:w="2692" w:type="dxa"/>
          </w:tcPr>
          <w:p w14:paraId="7B977E0D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43" w:type="dxa"/>
          </w:tcPr>
          <w:p w14:paraId="7DCBA1C5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809F5BC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04" w:type="dxa"/>
          </w:tcPr>
          <w:p w14:paraId="0124E7D2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77" w:type="dxa"/>
          </w:tcPr>
          <w:p w14:paraId="7FDE1171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5" w:type="dxa"/>
          </w:tcPr>
          <w:p w14:paraId="05501810" w14:textId="77777777" w:rsidR="00ED4732" w:rsidRPr="00FB012D" w:rsidRDefault="00ED4732" w:rsidP="00A16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D4732" w:rsidRPr="00FB012D" w14:paraId="60910EF3" w14:textId="77777777" w:rsidTr="00A16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14:paraId="62665B3E" w14:textId="77777777" w:rsidR="00ED4732" w:rsidRPr="00E050D9" w:rsidRDefault="00ED4732" w:rsidP="00A16EB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Shenai, 2011 [1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  <w:r w:rsidRPr="00E050D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]</w:t>
            </w:r>
          </w:p>
        </w:tc>
        <w:tc>
          <w:tcPr>
            <w:tcW w:w="2692" w:type="dxa"/>
          </w:tcPr>
          <w:p w14:paraId="0BC74ECA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43" w:type="dxa"/>
          </w:tcPr>
          <w:p w14:paraId="7826591F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235EDE0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04" w:type="dxa"/>
          </w:tcPr>
          <w:p w14:paraId="19F38EB5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77" w:type="dxa"/>
          </w:tcPr>
          <w:p w14:paraId="2FB6719F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5" w:type="dxa"/>
          </w:tcPr>
          <w:p w14:paraId="0531BFA0" w14:textId="77777777" w:rsidR="00ED4732" w:rsidRPr="00FB012D" w:rsidRDefault="00ED4732" w:rsidP="00A1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01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7F77877" w14:textId="77777777" w:rsidR="00ED4732" w:rsidRPr="00FB012D" w:rsidRDefault="00ED4732" w:rsidP="00ED4732">
      <w:pPr>
        <w:rPr>
          <w:sz w:val="20"/>
          <w:szCs w:val="20"/>
        </w:rPr>
      </w:pPr>
    </w:p>
    <w:p w14:paraId="2BD52E32" w14:textId="77777777" w:rsidR="00ED4732" w:rsidRPr="00FB012D" w:rsidRDefault="00ED4732" w:rsidP="00ED4732">
      <w:pPr>
        <w:ind w:left="-1134"/>
        <w:rPr>
          <w:rFonts w:ascii="Times New Roman" w:hAnsi="Times New Roman" w:cs="Times New Roman"/>
          <w:sz w:val="20"/>
          <w:szCs w:val="20"/>
        </w:rPr>
      </w:pPr>
    </w:p>
    <w:p w14:paraId="2C59FA26" w14:textId="77777777" w:rsidR="00ED4732" w:rsidRPr="00A313A5" w:rsidRDefault="00ED4732" w:rsidP="00ED4732">
      <w:pPr>
        <w:rPr>
          <w:rFonts w:ascii="Times New Roman" w:hAnsi="Times New Roman" w:cs="Times New Roman"/>
          <w:sz w:val="14"/>
          <w:szCs w:val="14"/>
        </w:rPr>
      </w:pPr>
    </w:p>
    <w:p w14:paraId="08A26B6A" w14:textId="3BB443E3" w:rsidR="00ED4732" w:rsidRPr="00ED4732" w:rsidRDefault="00ED473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D4732" w:rsidRPr="00ED4732" w:rsidSect="00371A4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32"/>
    <w:rsid w:val="00371A4E"/>
    <w:rsid w:val="00ED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8C4FC6"/>
  <w15:chartTrackingRefBased/>
  <w15:docId w15:val="{261E6D15-DD58-2042-A4DC-A7893485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32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ED4732"/>
    <w:rPr>
      <w:rFonts w:ascii="Calibri" w:eastAsia="Calibri" w:hAnsi="Calibri" w:cs="Calibr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1</cp:revision>
  <dcterms:created xsi:type="dcterms:W3CDTF">2024-02-01T02:58:00Z</dcterms:created>
  <dcterms:modified xsi:type="dcterms:W3CDTF">2024-02-01T02:58:00Z</dcterms:modified>
</cp:coreProperties>
</file>