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12165" w14:textId="77777777" w:rsidR="009E28C5" w:rsidRPr="00A520EA" w:rsidRDefault="009E28C5" w:rsidP="009E28C5">
      <w:pPr>
        <w:widowControl/>
        <w:jc w:val="left"/>
        <w:rPr>
          <w:rFonts w:ascii="Times New Roman" w:eastAsia="SimSun" w:hAnsi="Times New Roman" w:cs="Times New Roman"/>
          <w:b/>
          <w:bCs/>
          <w:color w:val="000000"/>
          <w:kern w:val="0"/>
          <w:sz w:val="30"/>
          <w:szCs w:val="30"/>
        </w:rPr>
      </w:pPr>
      <w:r w:rsidRPr="00A520EA">
        <w:rPr>
          <w:rFonts w:ascii="Times New Roman" w:eastAsia="SimSun" w:hAnsi="Times New Roman" w:cs="Times New Roman"/>
          <w:b/>
          <w:bCs/>
          <w:color w:val="000000"/>
          <w:kern w:val="0"/>
          <w:sz w:val="30"/>
          <w:szCs w:val="30"/>
        </w:rPr>
        <w:t>Supplemental Material</w:t>
      </w:r>
    </w:p>
    <w:p w14:paraId="731AF8A1" w14:textId="77777777" w:rsidR="009E28C5" w:rsidRPr="002522AA" w:rsidRDefault="009E28C5" w:rsidP="009E28C5">
      <w:pPr>
        <w:rPr>
          <w:rFonts w:ascii="Times New Roman" w:hAnsi="Times New Roman" w:cs="Times New Roman"/>
          <w:b/>
          <w:bCs/>
        </w:rPr>
      </w:pPr>
      <w:r w:rsidRPr="002522AA">
        <w:rPr>
          <w:rFonts w:ascii="Times New Roman" w:hAnsi="Times New Roman" w:cs="Times New Roman"/>
          <w:b/>
          <w:bCs/>
        </w:rPr>
        <w:t>Table S1</w:t>
      </w:r>
      <w:r>
        <w:rPr>
          <w:rFonts w:ascii="Times New Roman" w:hAnsi="Times New Roman" w:cs="Times New Roman"/>
          <w:b/>
          <w:bCs/>
        </w:rPr>
        <w:t>:</w:t>
      </w:r>
      <w:r w:rsidRPr="008D166A">
        <w:rPr>
          <w:rFonts w:ascii="Times New Roman" w:hAnsi="Times New Roman" w:cs="Times New Roman"/>
          <w:b/>
          <w:bCs/>
          <w:szCs w:val="21"/>
        </w:rPr>
        <w:t xml:space="preserve"> </w:t>
      </w:r>
      <w:r w:rsidRPr="008D166A">
        <w:rPr>
          <w:rFonts w:ascii="Times New Roman" w:eastAsia="DengXian" w:hAnsi="Times New Roman" w:cs="Times New Roman"/>
          <w:szCs w:val="21"/>
        </w:rPr>
        <w:t>FDR values and log2FC for the DEMs.</w:t>
      </w:r>
    </w:p>
    <w:tbl>
      <w:tblPr>
        <w:tblStyle w:val="1"/>
        <w:tblW w:w="594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559"/>
        <w:gridCol w:w="1184"/>
        <w:gridCol w:w="1179"/>
      </w:tblGrid>
      <w:tr w:rsidR="009E28C5" w:rsidRPr="00A520EA" w14:paraId="6F18BF54" w14:textId="77777777" w:rsidTr="00C31C3C">
        <w:trPr>
          <w:trHeight w:val="276"/>
          <w:jc w:val="center"/>
        </w:trPr>
        <w:tc>
          <w:tcPr>
            <w:tcW w:w="2122" w:type="dxa"/>
            <w:tcBorders>
              <w:top w:val="single" w:sz="18" w:space="0" w:color="auto"/>
              <w:bottom w:val="single" w:sz="12" w:space="0" w:color="auto"/>
            </w:tcBorders>
            <w:noWrap/>
          </w:tcPr>
          <w:p w14:paraId="6CC129A1"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ID</w:t>
            </w:r>
          </w:p>
        </w:tc>
        <w:tc>
          <w:tcPr>
            <w:tcW w:w="1559" w:type="dxa"/>
            <w:tcBorders>
              <w:top w:val="single" w:sz="18" w:space="0" w:color="auto"/>
              <w:bottom w:val="single" w:sz="12" w:space="0" w:color="auto"/>
            </w:tcBorders>
            <w:noWrap/>
          </w:tcPr>
          <w:p w14:paraId="4966EA1E"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FDR</w:t>
            </w:r>
          </w:p>
        </w:tc>
        <w:tc>
          <w:tcPr>
            <w:tcW w:w="1134" w:type="dxa"/>
            <w:tcBorders>
              <w:top w:val="single" w:sz="18" w:space="0" w:color="auto"/>
              <w:bottom w:val="single" w:sz="12" w:space="0" w:color="auto"/>
            </w:tcBorders>
            <w:noWrap/>
          </w:tcPr>
          <w:p w14:paraId="0C3058A5"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log2FC</w:t>
            </w:r>
          </w:p>
        </w:tc>
        <w:tc>
          <w:tcPr>
            <w:tcW w:w="1134" w:type="dxa"/>
            <w:tcBorders>
              <w:top w:val="single" w:sz="18" w:space="0" w:color="auto"/>
              <w:bottom w:val="single" w:sz="12" w:space="0" w:color="auto"/>
            </w:tcBorders>
            <w:noWrap/>
          </w:tcPr>
          <w:p w14:paraId="35C559F4"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regulated</w:t>
            </w:r>
          </w:p>
        </w:tc>
      </w:tr>
      <w:tr w:rsidR="009E28C5" w:rsidRPr="00A520EA" w14:paraId="33B10810" w14:textId="77777777" w:rsidTr="00C31C3C">
        <w:trPr>
          <w:trHeight w:val="276"/>
          <w:jc w:val="center"/>
        </w:trPr>
        <w:tc>
          <w:tcPr>
            <w:tcW w:w="2122" w:type="dxa"/>
            <w:tcBorders>
              <w:top w:val="single" w:sz="12" w:space="0" w:color="auto"/>
            </w:tcBorders>
            <w:noWrap/>
          </w:tcPr>
          <w:p w14:paraId="2370E39E"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mmu-miR-106a-5p</w:t>
            </w:r>
          </w:p>
        </w:tc>
        <w:tc>
          <w:tcPr>
            <w:tcW w:w="1559" w:type="dxa"/>
            <w:tcBorders>
              <w:top w:val="single" w:sz="12" w:space="0" w:color="auto"/>
            </w:tcBorders>
            <w:noWrap/>
          </w:tcPr>
          <w:p w14:paraId="3CD8DFAB"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0.002037</w:t>
            </w:r>
          </w:p>
        </w:tc>
        <w:tc>
          <w:tcPr>
            <w:tcW w:w="1134" w:type="dxa"/>
            <w:tcBorders>
              <w:top w:val="single" w:sz="12" w:space="0" w:color="auto"/>
            </w:tcBorders>
            <w:noWrap/>
          </w:tcPr>
          <w:p w14:paraId="67097098"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1.877923</w:t>
            </w:r>
          </w:p>
        </w:tc>
        <w:tc>
          <w:tcPr>
            <w:tcW w:w="1134" w:type="dxa"/>
            <w:tcBorders>
              <w:top w:val="single" w:sz="12" w:space="0" w:color="auto"/>
            </w:tcBorders>
            <w:noWrap/>
          </w:tcPr>
          <w:p w14:paraId="70317060"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up</w:t>
            </w:r>
          </w:p>
        </w:tc>
      </w:tr>
      <w:tr w:rsidR="009E28C5" w:rsidRPr="00A520EA" w14:paraId="3B2FC338" w14:textId="77777777" w:rsidTr="00C31C3C">
        <w:trPr>
          <w:trHeight w:val="276"/>
          <w:jc w:val="center"/>
        </w:trPr>
        <w:tc>
          <w:tcPr>
            <w:tcW w:w="2122" w:type="dxa"/>
            <w:noWrap/>
          </w:tcPr>
          <w:p w14:paraId="298F2AF3"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mmu-miR-146a-5p</w:t>
            </w:r>
          </w:p>
        </w:tc>
        <w:tc>
          <w:tcPr>
            <w:tcW w:w="1559" w:type="dxa"/>
            <w:noWrap/>
          </w:tcPr>
          <w:p w14:paraId="746F7DA6"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6.24E-27</w:t>
            </w:r>
          </w:p>
        </w:tc>
        <w:tc>
          <w:tcPr>
            <w:tcW w:w="1134" w:type="dxa"/>
            <w:noWrap/>
          </w:tcPr>
          <w:p w14:paraId="74342D2E"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3.113799</w:t>
            </w:r>
          </w:p>
        </w:tc>
        <w:tc>
          <w:tcPr>
            <w:tcW w:w="1134" w:type="dxa"/>
            <w:noWrap/>
          </w:tcPr>
          <w:p w14:paraId="10B642DD"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063F0147" w14:textId="77777777" w:rsidTr="00C31C3C">
        <w:trPr>
          <w:trHeight w:val="276"/>
          <w:jc w:val="center"/>
        </w:trPr>
        <w:tc>
          <w:tcPr>
            <w:tcW w:w="2122" w:type="dxa"/>
            <w:noWrap/>
          </w:tcPr>
          <w:p w14:paraId="32611842"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mmu-miR-152-3p</w:t>
            </w:r>
          </w:p>
        </w:tc>
        <w:tc>
          <w:tcPr>
            <w:tcW w:w="1559" w:type="dxa"/>
            <w:noWrap/>
          </w:tcPr>
          <w:p w14:paraId="51EC5871"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8.71E-08</w:t>
            </w:r>
          </w:p>
        </w:tc>
        <w:tc>
          <w:tcPr>
            <w:tcW w:w="1134" w:type="dxa"/>
            <w:noWrap/>
          </w:tcPr>
          <w:p w14:paraId="7309D74A"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1.225486</w:t>
            </w:r>
          </w:p>
        </w:tc>
        <w:tc>
          <w:tcPr>
            <w:tcW w:w="1134" w:type="dxa"/>
            <w:noWrap/>
          </w:tcPr>
          <w:p w14:paraId="5B9535D5"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35F89706" w14:textId="77777777" w:rsidTr="00C31C3C">
        <w:trPr>
          <w:trHeight w:val="276"/>
          <w:jc w:val="center"/>
        </w:trPr>
        <w:tc>
          <w:tcPr>
            <w:tcW w:w="2122" w:type="dxa"/>
            <w:noWrap/>
          </w:tcPr>
          <w:p w14:paraId="3A20AC8D"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mmu-miR-155-5p</w:t>
            </w:r>
          </w:p>
        </w:tc>
        <w:tc>
          <w:tcPr>
            <w:tcW w:w="1559" w:type="dxa"/>
            <w:noWrap/>
          </w:tcPr>
          <w:p w14:paraId="12887A10"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8.63E-17</w:t>
            </w:r>
          </w:p>
        </w:tc>
        <w:tc>
          <w:tcPr>
            <w:tcW w:w="1134" w:type="dxa"/>
            <w:noWrap/>
          </w:tcPr>
          <w:p w14:paraId="18BF6D50"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2.080863</w:t>
            </w:r>
          </w:p>
        </w:tc>
        <w:tc>
          <w:tcPr>
            <w:tcW w:w="1134" w:type="dxa"/>
            <w:noWrap/>
          </w:tcPr>
          <w:p w14:paraId="02D16411"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51EB3BA6" w14:textId="77777777" w:rsidTr="00C31C3C">
        <w:trPr>
          <w:trHeight w:val="276"/>
          <w:jc w:val="center"/>
        </w:trPr>
        <w:tc>
          <w:tcPr>
            <w:tcW w:w="2122" w:type="dxa"/>
            <w:noWrap/>
          </w:tcPr>
          <w:p w14:paraId="1CC69986"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mmu-miR-199a-3p</w:t>
            </w:r>
          </w:p>
        </w:tc>
        <w:tc>
          <w:tcPr>
            <w:tcW w:w="1559" w:type="dxa"/>
            <w:noWrap/>
          </w:tcPr>
          <w:p w14:paraId="09FC7A15"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1.62E-07</w:t>
            </w:r>
          </w:p>
        </w:tc>
        <w:tc>
          <w:tcPr>
            <w:tcW w:w="1134" w:type="dxa"/>
            <w:noWrap/>
          </w:tcPr>
          <w:p w14:paraId="35E42749"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1.687147</w:t>
            </w:r>
          </w:p>
        </w:tc>
        <w:tc>
          <w:tcPr>
            <w:tcW w:w="1134" w:type="dxa"/>
            <w:noWrap/>
          </w:tcPr>
          <w:p w14:paraId="0CC3E314"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1B55988C" w14:textId="77777777" w:rsidTr="00C31C3C">
        <w:trPr>
          <w:trHeight w:val="276"/>
          <w:jc w:val="center"/>
        </w:trPr>
        <w:tc>
          <w:tcPr>
            <w:tcW w:w="2122" w:type="dxa"/>
            <w:noWrap/>
          </w:tcPr>
          <w:p w14:paraId="485C30C9"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mmu-miR-200a-3p</w:t>
            </w:r>
          </w:p>
        </w:tc>
        <w:tc>
          <w:tcPr>
            <w:tcW w:w="1559" w:type="dxa"/>
            <w:noWrap/>
          </w:tcPr>
          <w:p w14:paraId="13C874ED"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0.002049</w:t>
            </w:r>
          </w:p>
        </w:tc>
        <w:tc>
          <w:tcPr>
            <w:tcW w:w="1134" w:type="dxa"/>
            <w:noWrap/>
          </w:tcPr>
          <w:p w14:paraId="0C3A5CC7"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1.587455</w:t>
            </w:r>
          </w:p>
        </w:tc>
        <w:tc>
          <w:tcPr>
            <w:tcW w:w="1134" w:type="dxa"/>
            <w:noWrap/>
          </w:tcPr>
          <w:p w14:paraId="3605E602"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6276DC3B" w14:textId="77777777" w:rsidTr="00C31C3C">
        <w:trPr>
          <w:trHeight w:val="276"/>
          <w:jc w:val="center"/>
        </w:trPr>
        <w:tc>
          <w:tcPr>
            <w:tcW w:w="2122" w:type="dxa"/>
            <w:noWrap/>
          </w:tcPr>
          <w:p w14:paraId="3DC9E0B7"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mmu-miR-200b-3p</w:t>
            </w:r>
          </w:p>
        </w:tc>
        <w:tc>
          <w:tcPr>
            <w:tcW w:w="1559" w:type="dxa"/>
            <w:noWrap/>
          </w:tcPr>
          <w:p w14:paraId="04BEAC9E"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6.97E-05</w:t>
            </w:r>
          </w:p>
        </w:tc>
        <w:tc>
          <w:tcPr>
            <w:tcW w:w="1134" w:type="dxa"/>
            <w:noWrap/>
          </w:tcPr>
          <w:p w14:paraId="21F0DE9A"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1.988226</w:t>
            </w:r>
          </w:p>
        </w:tc>
        <w:tc>
          <w:tcPr>
            <w:tcW w:w="1134" w:type="dxa"/>
            <w:noWrap/>
          </w:tcPr>
          <w:p w14:paraId="30986C13"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0543F504" w14:textId="77777777" w:rsidTr="00C31C3C">
        <w:trPr>
          <w:trHeight w:val="276"/>
          <w:jc w:val="center"/>
        </w:trPr>
        <w:tc>
          <w:tcPr>
            <w:tcW w:w="2122" w:type="dxa"/>
            <w:noWrap/>
          </w:tcPr>
          <w:p w14:paraId="04EBC0A5"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mmu-miR-203-3p</w:t>
            </w:r>
          </w:p>
        </w:tc>
        <w:tc>
          <w:tcPr>
            <w:tcW w:w="1559" w:type="dxa"/>
            <w:noWrap/>
          </w:tcPr>
          <w:p w14:paraId="634A1B0F"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3.33E-10</w:t>
            </w:r>
          </w:p>
        </w:tc>
        <w:tc>
          <w:tcPr>
            <w:tcW w:w="1134" w:type="dxa"/>
            <w:noWrap/>
          </w:tcPr>
          <w:p w14:paraId="2CFCF33B"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1.406258</w:t>
            </w:r>
          </w:p>
        </w:tc>
        <w:tc>
          <w:tcPr>
            <w:tcW w:w="1134" w:type="dxa"/>
            <w:noWrap/>
          </w:tcPr>
          <w:p w14:paraId="7F0BDDAB"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6AEF9E9E" w14:textId="77777777" w:rsidTr="00C31C3C">
        <w:trPr>
          <w:trHeight w:val="276"/>
          <w:jc w:val="center"/>
        </w:trPr>
        <w:tc>
          <w:tcPr>
            <w:tcW w:w="2122" w:type="dxa"/>
            <w:noWrap/>
          </w:tcPr>
          <w:p w14:paraId="1B1B52BA"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mmu-miR-206-3p</w:t>
            </w:r>
          </w:p>
        </w:tc>
        <w:tc>
          <w:tcPr>
            <w:tcW w:w="1559" w:type="dxa"/>
            <w:noWrap/>
          </w:tcPr>
          <w:p w14:paraId="02416CDC"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5.04E-10</w:t>
            </w:r>
          </w:p>
        </w:tc>
        <w:tc>
          <w:tcPr>
            <w:tcW w:w="1134" w:type="dxa"/>
            <w:noWrap/>
          </w:tcPr>
          <w:p w14:paraId="22F9EBBF"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1.918767</w:t>
            </w:r>
          </w:p>
        </w:tc>
        <w:tc>
          <w:tcPr>
            <w:tcW w:w="1134" w:type="dxa"/>
            <w:noWrap/>
          </w:tcPr>
          <w:p w14:paraId="68D5BE3A"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37545CCB" w14:textId="77777777" w:rsidTr="00C31C3C">
        <w:trPr>
          <w:trHeight w:val="276"/>
          <w:jc w:val="center"/>
        </w:trPr>
        <w:tc>
          <w:tcPr>
            <w:tcW w:w="2122" w:type="dxa"/>
            <w:noWrap/>
          </w:tcPr>
          <w:p w14:paraId="05A514A7"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mmu-miR-21a-5p</w:t>
            </w:r>
          </w:p>
        </w:tc>
        <w:tc>
          <w:tcPr>
            <w:tcW w:w="1559" w:type="dxa"/>
            <w:noWrap/>
          </w:tcPr>
          <w:p w14:paraId="29160AE2"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1.11E-14</w:t>
            </w:r>
          </w:p>
        </w:tc>
        <w:tc>
          <w:tcPr>
            <w:tcW w:w="1134" w:type="dxa"/>
            <w:noWrap/>
          </w:tcPr>
          <w:p w14:paraId="4DAC4D21"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2.23577</w:t>
            </w:r>
          </w:p>
        </w:tc>
        <w:tc>
          <w:tcPr>
            <w:tcW w:w="1134" w:type="dxa"/>
            <w:noWrap/>
          </w:tcPr>
          <w:p w14:paraId="6617BA56"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56DC6B53" w14:textId="77777777" w:rsidTr="00C31C3C">
        <w:trPr>
          <w:trHeight w:val="276"/>
          <w:jc w:val="center"/>
        </w:trPr>
        <w:tc>
          <w:tcPr>
            <w:tcW w:w="2122" w:type="dxa"/>
            <w:noWrap/>
          </w:tcPr>
          <w:p w14:paraId="3A78B2A3"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mmu-miR-221-3p</w:t>
            </w:r>
          </w:p>
        </w:tc>
        <w:tc>
          <w:tcPr>
            <w:tcW w:w="1559" w:type="dxa"/>
            <w:noWrap/>
          </w:tcPr>
          <w:p w14:paraId="4369D75B"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1.62E-07</w:t>
            </w:r>
          </w:p>
        </w:tc>
        <w:tc>
          <w:tcPr>
            <w:tcW w:w="1134" w:type="dxa"/>
            <w:noWrap/>
          </w:tcPr>
          <w:p w14:paraId="4E77841E"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1.172681</w:t>
            </w:r>
          </w:p>
        </w:tc>
        <w:tc>
          <w:tcPr>
            <w:tcW w:w="1134" w:type="dxa"/>
            <w:noWrap/>
          </w:tcPr>
          <w:p w14:paraId="5A14465E"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127B0951" w14:textId="77777777" w:rsidTr="00C31C3C">
        <w:trPr>
          <w:trHeight w:val="276"/>
          <w:jc w:val="center"/>
        </w:trPr>
        <w:tc>
          <w:tcPr>
            <w:tcW w:w="2122" w:type="dxa"/>
            <w:noWrap/>
          </w:tcPr>
          <w:p w14:paraId="610E2D8F"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mmu-miR-223-3p</w:t>
            </w:r>
          </w:p>
        </w:tc>
        <w:tc>
          <w:tcPr>
            <w:tcW w:w="1559" w:type="dxa"/>
            <w:noWrap/>
          </w:tcPr>
          <w:p w14:paraId="77F6C20E"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0.000348</w:t>
            </w:r>
          </w:p>
        </w:tc>
        <w:tc>
          <w:tcPr>
            <w:tcW w:w="1134" w:type="dxa"/>
            <w:noWrap/>
          </w:tcPr>
          <w:p w14:paraId="507F7DA2"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1.534074</w:t>
            </w:r>
          </w:p>
        </w:tc>
        <w:tc>
          <w:tcPr>
            <w:tcW w:w="1134" w:type="dxa"/>
            <w:noWrap/>
          </w:tcPr>
          <w:p w14:paraId="46039514" w14:textId="77777777" w:rsidR="009E28C5" w:rsidRPr="00A520EA" w:rsidRDefault="009E28C5" w:rsidP="00C31C3C">
            <w:pPr>
              <w:widowControl/>
              <w:ind w:firstLineChars="163" w:firstLine="293"/>
              <w:jc w:val="center"/>
              <w:rPr>
                <w:rFonts w:ascii="Times New Roman" w:eastAsia="DengXian" w:hAnsi="Times New Roman" w:cs="Times New Roman"/>
                <w:sz w:val="18"/>
                <w:szCs w:val="18"/>
              </w:rPr>
            </w:pPr>
            <w:r w:rsidRPr="00A520EA">
              <w:rPr>
                <w:rFonts w:ascii="Times New Roman" w:eastAsia="DengXian" w:hAnsi="Times New Roman" w:cs="Times New Roman"/>
                <w:sz w:val="18"/>
                <w:szCs w:val="18"/>
              </w:rPr>
              <w:t>up</w:t>
            </w:r>
          </w:p>
        </w:tc>
      </w:tr>
      <w:tr w:rsidR="009E28C5" w:rsidRPr="00A520EA" w14:paraId="0B526203" w14:textId="77777777" w:rsidTr="00C31C3C">
        <w:trPr>
          <w:trHeight w:val="276"/>
          <w:jc w:val="center"/>
        </w:trPr>
        <w:tc>
          <w:tcPr>
            <w:tcW w:w="2122" w:type="dxa"/>
            <w:noWrap/>
          </w:tcPr>
          <w:p w14:paraId="1521353B"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mmu-miR-23a-3p</w:t>
            </w:r>
          </w:p>
        </w:tc>
        <w:tc>
          <w:tcPr>
            <w:tcW w:w="1559" w:type="dxa"/>
            <w:noWrap/>
          </w:tcPr>
          <w:p w14:paraId="3603D2E1"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1.64E-10</w:t>
            </w:r>
          </w:p>
        </w:tc>
        <w:tc>
          <w:tcPr>
            <w:tcW w:w="1134" w:type="dxa"/>
            <w:noWrap/>
          </w:tcPr>
          <w:p w14:paraId="4BBDCF4A"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1.09652</w:t>
            </w:r>
          </w:p>
        </w:tc>
        <w:tc>
          <w:tcPr>
            <w:tcW w:w="1134" w:type="dxa"/>
            <w:noWrap/>
          </w:tcPr>
          <w:p w14:paraId="4BC623A6"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7D817F0B" w14:textId="77777777" w:rsidTr="00C31C3C">
        <w:trPr>
          <w:trHeight w:val="276"/>
          <w:jc w:val="center"/>
        </w:trPr>
        <w:tc>
          <w:tcPr>
            <w:tcW w:w="2122" w:type="dxa"/>
            <w:noWrap/>
          </w:tcPr>
          <w:p w14:paraId="7286C43C"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mmu-miR-27a-3p</w:t>
            </w:r>
          </w:p>
        </w:tc>
        <w:tc>
          <w:tcPr>
            <w:tcW w:w="1559" w:type="dxa"/>
            <w:noWrap/>
          </w:tcPr>
          <w:p w14:paraId="37232603"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6.12E-09</w:t>
            </w:r>
          </w:p>
        </w:tc>
        <w:tc>
          <w:tcPr>
            <w:tcW w:w="1134" w:type="dxa"/>
            <w:noWrap/>
          </w:tcPr>
          <w:p w14:paraId="5A761070"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1.290429</w:t>
            </w:r>
          </w:p>
        </w:tc>
        <w:tc>
          <w:tcPr>
            <w:tcW w:w="1134" w:type="dxa"/>
            <w:noWrap/>
          </w:tcPr>
          <w:p w14:paraId="7E61803C"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r w:rsidR="009E28C5" w:rsidRPr="00A520EA" w14:paraId="3890D528" w14:textId="77777777" w:rsidTr="00C31C3C">
        <w:trPr>
          <w:trHeight w:val="54"/>
          <w:jc w:val="center"/>
        </w:trPr>
        <w:tc>
          <w:tcPr>
            <w:tcW w:w="2122" w:type="dxa"/>
            <w:tcBorders>
              <w:bottom w:val="single" w:sz="18" w:space="0" w:color="auto"/>
            </w:tcBorders>
            <w:noWrap/>
          </w:tcPr>
          <w:p w14:paraId="6BF3D5EF"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mmu-miR-31-5p</w:t>
            </w:r>
          </w:p>
        </w:tc>
        <w:tc>
          <w:tcPr>
            <w:tcW w:w="1559" w:type="dxa"/>
            <w:tcBorders>
              <w:bottom w:val="single" w:sz="18" w:space="0" w:color="auto"/>
            </w:tcBorders>
            <w:noWrap/>
          </w:tcPr>
          <w:p w14:paraId="0463254B"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1.64E-05</w:t>
            </w:r>
          </w:p>
        </w:tc>
        <w:tc>
          <w:tcPr>
            <w:tcW w:w="1134" w:type="dxa"/>
            <w:tcBorders>
              <w:bottom w:val="single" w:sz="18" w:space="0" w:color="auto"/>
            </w:tcBorders>
            <w:noWrap/>
          </w:tcPr>
          <w:p w14:paraId="6A9A5E46"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1.256153</w:t>
            </w:r>
          </w:p>
        </w:tc>
        <w:tc>
          <w:tcPr>
            <w:tcW w:w="1134" w:type="dxa"/>
            <w:tcBorders>
              <w:bottom w:val="single" w:sz="18" w:space="0" w:color="auto"/>
            </w:tcBorders>
            <w:noWrap/>
          </w:tcPr>
          <w:p w14:paraId="3F1F8DD4" w14:textId="77777777" w:rsidR="009E28C5" w:rsidRPr="00A520EA" w:rsidRDefault="009E28C5" w:rsidP="00C31C3C">
            <w:pPr>
              <w:widowControl/>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up</w:t>
            </w:r>
          </w:p>
        </w:tc>
      </w:tr>
    </w:tbl>
    <w:p w14:paraId="274E42E3" w14:textId="77777777" w:rsidR="009E28C5" w:rsidRPr="00A520EA" w:rsidRDefault="009E28C5" w:rsidP="009E28C5">
      <w:pPr>
        <w:ind w:firstLineChars="163" w:firstLine="342"/>
        <w:rPr>
          <w:rFonts w:ascii="Times New Roman" w:hAnsi="Times New Roman" w:cs="Times New Roman"/>
        </w:rPr>
      </w:pPr>
    </w:p>
    <w:p w14:paraId="0068D2C3" w14:textId="77777777" w:rsidR="009E28C5" w:rsidRPr="00A520EA" w:rsidRDefault="009E28C5" w:rsidP="009E28C5">
      <w:pPr>
        <w:widowControl/>
        <w:ind w:firstLineChars="163" w:firstLine="342"/>
        <w:jc w:val="left"/>
        <w:rPr>
          <w:rFonts w:ascii="Times New Roman" w:hAnsi="Times New Roman" w:cs="Times New Roman"/>
        </w:rPr>
      </w:pPr>
      <w:r w:rsidRPr="00A520EA">
        <w:rPr>
          <w:rFonts w:ascii="Times New Roman" w:hAnsi="Times New Roman" w:cs="Times New Roman"/>
        </w:rPr>
        <w:br w:type="page"/>
      </w:r>
    </w:p>
    <w:p w14:paraId="506A4394" w14:textId="77777777" w:rsidR="009E28C5" w:rsidRPr="002522AA" w:rsidRDefault="009E28C5" w:rsidP="009E28C5">
      <w:pPr>
        <w:rPr>
          <w:rFonts w:ascii="Times New Roman" w:hAnsi="Times New Roman" w:cs="Times New Roman"/>
          <w:b/>
          <w:bCs/>
        </w:rPr>
      </w:pPr>
      <w:r w:rsidRPr="002522AA">
        <w:rPr>
          <w:rFonts w:ascii="Times New Roman" w:hAnsi="Times New Roman" w:cs="Times New Roman"/>
          <w:b/>
          <w:bCs/>
        </w:rPr>
        <w:lastRenderedPageBreak/>
        <w:t>Table S2</w:t>
      </w:r>
      <w:r>
        <w:rPr>
          <w:rFonts w:ascii="Times New Roman" w:hAnsi="Times New Roman" w:cs="Times New Roman"/>
          <w:b/>
          <w:bCs/>
        </w:rPr>
        <w:t xml:space="preserve">: </w:t>
      </w:r>
      <w:r>
        <w:rPr>
          <w:rFonts w:ascii="Times New Roman" w:eastAsia="DengXian" w:hAnsi="Times New Roman" w:cs="Times New Roman"/>
          <w:sz w:val="24"/>
          <w:szCs w:val="24"/>
        </w:rPr>
        <w:t>I</w:t>
      </w:r>
      <w:r w:rsidRPr="00A520EA">
        <w:rPr>
          <w:rFonts w:ascii="Times New Roman" w:eastAsia="DengXian" w:hAnsi="Times New Roman" w:cs="Times New Roman"/>
          <w:sz w:val="24"/>
          <w:szCs w:val="24"/>
        </w:rPr>
        <w:t xml:space="preserve">ntersecting genes and </w:t>
      </w:r>
      <w:r>
        <w:rPr>
          <w:rFonts w:ascii="Times New Roman" w:eastAsia="DengXian" w:hAnsi="Times New Roman" w:cs="Times New Roman"/>
          <w:sz w:val="24"/>
          <w:szCs w:val="24"/>
        </w:rPr>
        <w:t xml:space="preserve">their </w:t>
      </w:r>
      <w:r w:rsidRPr="00A520EA">
        <w:rPr>
          <w:rFonts w:ascii="Times New Roman" w:eastAsia="DengXian" w:hAnsi="Times New Roman" w:cs="Times New Roman"/>
          <w:sz w:val="24"/>
          <w:szCs w:val="24"/>
        </w:rPr>
        <w:t>descriptions</w:t>
      </w:r>
      <w:r>
        <w:rPr>
          <w:rFonts w:ascii="Times New Roman" w:eastAsia="DengXian" w:hAnsi="Times New Roman" w:cs="Times New Roman"/>
          <w:sz w:val="24"/>
          <w:szCs w:val="24"/>
        </w:rPr>
        <w:t>.</w:t>
      </w:r>
    </w:p>
    <w:tbl>
      <w:tblPr>
        <w:tblStyle w:val="TableGrid"/>
        <w:tblW w:w="5000"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1983"/>
        <w:gridCol w:w="4904"/>
      </w:tblGrid>
      <w:tr w:rsidR="009E28C5" w:rsidRPr="00A520EA" w14:paraId="57899125" w14:textId="77777777" w:rsidTr="00C31C3C">
        <w:trPr>
          <w:trHeight w:val="312"/>
        </w:trPr>
        <w:tc>
          <w:tcPr>
            <w:tcW w:w="854" w:type="pct"/>
            <w:tcBorders>
              <w:top w:val="single" w:sz="18" w:space="0" w:color="auto"/>
              <w:bottom w:val="single" w:sz="12" w:space="0" w:color="auto"/>
            </w:tcBorders>
          </w:tcPr>
          <w:p w14:paraId="17AF5C36"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sz w:val="18"/>
                <w:szCs w:val="18"/>
              </w:rPr>
            </w:pPr>
            <w:r w:rsidRPr="00A520EA">
              <w:rPr>
                <w:rFonts w:ascii="Times New Roman" w:eastAsia="DengXian" w:hAnsi="Times New Roman" w:cs="Times New Roman"/>
                <w:sz w:val="18"/>
                <w:szCs w:val="18"/>
              </w:rPr>
              <w:t>Gene symbol</w:t>
            </w:r>
          </w:p>
        </w:tc>
        <w:tc>
          <w:tcPr>
            <w:tcW w:w="1194" w:type="pct"/>
            <w:tcBorders>
              <w:top w:val="single" w:sz="18" w:space="0" w:color="auto"/>
              <w:bottom w:val="single" w:sz="12" w:space="0" w:color="auto"/>
            </w:tcBorders>
          </w:tcPr>
          <w:p w14:paraId="3D714481"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sz w:val="18"/>
                <w:szCs w:val="18"/>
              </w:rPr>
            </w:pPr>
            <w:r w:rsidRPr="00A520EA">
              <w:rPr>
                <w:rFonts w:ascii="Times New Roman" w:eastAsia="DengXian" w:hAnsi="Times New Roman" w:cs="Times New Roman"/>
                <w:sz w:val="18"/>
                <w:szCs w:val="18"/>
              </w:rPr>
              <w:t>Full name</w:t>
            </w:r>
          </w:p>
        </w:tc>
        <w:tc>
          <w:tcPr>
            <w:tcW w:w="2952" w:type="pct"/>
            <w:tcBorders>
              <w:top w:val="single" w:sz="18" w:space="0" w:color="auto"/>
              <w:bottom w:val="single" w:sz="12" w:space="0" w:color="auto"/>
            </w:tcBorders>
          </w:tcPr>
          <w:p w14:paraId="3D5DEE3E"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sz w:val="18"/>
                <w:szCs w:val="18"/>
              </w:rPr>
            </w:pPr>
            <w:r w:rsidRPr="00A520EA">
              <w:rPr>
                <w:rFonts w:ascii="Times New Roman" w:eastAsia="DengXian" w:hAnsi="Times New Roman" w:cs="Times New Roman"/>
                <w:sz w:val="18"/>
                <w:szCs w:val="18"/>
              </w:rPr>
              <w:t>Description</w:t>
            </w:r>
          </w:p>
        </w:tc>
      </w:tr>
      <w:tr w:rsidR="009E28C5" w:rsidRPr="00A520EA" w14:paraId="3430039C" w14:textId="77777777" w:rsidTr="00C31C3C">
        <w:trPr>
          <w:trHeight w:val="288"/>
        </w:trPr>
        <w:tc>
          <w:tcPr>
            <w:tcW w:w="854" w:type="pct"/>
            <w:tcBorders>
              <w:top w:val="single" w:sz="12" w:space="0" w:color="auto"/>
            </w:tcBorders>
            <w:noWrap/>
          </w:tcPr>
          <w:p w14:paraId="5392235D"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Pgr</w:t>
            </w:r>
          </w:p>
        </w:tc>
        <w:tc>
          <w:tcPr>
            <w:tcW w:w="1194" w:type="pct"/>
            <w:tcBorders>
              <w:top w:val="single" w:sz="12" w:space="0" w:color="auto"/>
            </w:tcBorders>
            <w:noWrap/>
          </w:tcPr>
          <w:p w14:paraId="28638858"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progesterone receptor</w:t>
            </w:r>
          </w:p>
        </w:tc>
        <w:tc>
          <w:tcPr>
            <w:tcW w:w="2952" w:type="pct"/>
            <w:tcBorders>
              <w:top w:val="single" w:sz="12" w:space="0" w:color="auto"/>
            </w:tcBorders>
            <w:noWrap/>
          </w:tcPr>
          <w:p w14:paraId="0D725E7B"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This gene encodes a member of the steroid receptor superfamily. The encoded protein mediates the physiological effects of progesterone, which plays a central role in reproductive events associated with the establishment and maintenance of pregnancy.</w:t>
            </w:r>
          </w:p>
          <w:p w14:paraId="779F453C"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34C70C99" w14:textId="77777777" w:rsidTr="00C31C3C">
        <w:trPr>
          <w:trHeight w:val="288"/>
        </w:trPr>
        <w:tc>
          <w:tcPr>
            <w:tcW w:w="854" w:type="pct"/>
            <w:noWrap/>
          </w:tcPr>
          <w:p w14:paraId="31075868"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Syn3</w:t>
            </w:r>
          </w:p>
        </w:tc>
        <w:tc>
          <w:tcPr>
            <w:tcW w:w="1194" w:type="pct"/>
            <w:noWrap/>
          </w:tcPr>
          <w:p w14:paraId="01D7545E"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synapsin III</w:t>
            </w:r>
          </w:p>
        </w:tc>
        <w:tc>
          <w:tcPr>
            <w:tcW w:w="2952" w:type="pct"/>
            <w:noWrap/>
          </w:tcPr>
          <w:p w14:paraId="3CCC51AC"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Predicted to enable ATP binding activity. Involved in synaptic vesicle clustering.</w:t>
            </w:r>
          </w:p>
          <w:p w14:paraId="0565FDD2"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7A97A1A7" w14:textId="77777777" w:rsidTr="00C31C3C">
        <w:trPr>
          <w:trHeight w:val="288"/>
        </w:trPr>
        <w:tc>
          <w:tcPr>
            <w:tcW w:w="854" w:type="pct"/>
            <w:noWrap/>
          </w:tcPr>
          <w:p w14:paraId="533B22F8"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Grin2b</w:t>
            </w:r>
          </w:p>
        </w:tc>
        <w:tc>
          <w:tcPr>
            <w:tcW w:w="1194" w:type="pct"/>
            <w:noWrap/>
          </w:tcPr>
          <w:p w14:paraId="1EB978AF"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glutamate receptor, ionotropic, NMDA2B (epsilon 2)</w:t>
            </w:r>
          </w:p>
        </w:tc>
        <w:tc>
          <w:tcPr>
            <w:tcW w:w="2952" w:type="pct"/>
            <w:noWrap/>
          </w:tcPr>
          <w:p w14:paraId="4C579D54"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Enables NMDA glutamate receptor activity, calcium channel activity, and neurotransmitter receptor activity involved in the regulation of postsynaptic membrane potential. Involved in negative regulation of dendritic spine maintenance and positive regulation of neuron death.</w:t>
            </w:r>
          </w:p>
          <w:p w14:paraId="583B6B7E"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3A89B54D" w14:textId="77777777" w:rsidTr="00C31C3C">
        <w:trPr>
          <w:trHeight w:val="288"/>
        </w:trPr>
        <w:tc>
          <w:tcPr>
            <w:tcW w:w="854" w:type="pct"/>
            <w:noWrap/>
          </w:tcPr>
          <w:p w14:paraId="26217E8D"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Ldlr</w:t>
            </w:r>
          </w:p>
        </w:tc>
        <w:tc>
          <w:tcPr>
            <w:tcW w:w="1194" w:type="pct"/>
            <w:noWrap/>
          </w:tcPr>
          <w:p w14:paraId="6E00BCDD"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low density lipoprotein receptor</w:t>
            </w:r>
          </w:p>
        </w:tc>
        <w:tc>
          <w:tcPr>
            <w:tcW w:w="2952" w:type="pct"/>
            <w:noWrap/>
          </w:tcPr>
          <w:p w14:paraId="2D5A5BBA"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Enables several functions, including amyloid-beta binding activity, low-density lipoprotein particle binding activity, and low-density lipoprotein particle receptor activity. Involved in several processes, including lipid transport, regulation of inflammatory response, and regulation of lipid metabolic process. Acts upstream of or within several processes, including cholesterol homeostasis, lipoprotein catabolic process, and low-density lipoprotein particle clearance.</w:t>
            </w:r>
          </w:p>
          <w:p w14:paraId="7E7DC8B5"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7D1299DA" w14:textId="77777777" w:rsidTr="00C31C3C">
        <w:trPr>
          <w:trHeight w:val="288"/>
        </w:trPr>
        <w:tc>
          <w:tcPr>
            <w:tcW w:w="854" w:type="pct"/>
            <w:noWrap/>
          </w:tcPr>
          <w:p w14:paraId="4FFD1407"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Gnpda1</w:t>
            </w:r>
          </w:p>
        </w:tc>
        <w:tc>
          <w:tcPr>
            <w:tcW w:w="1194" w:type="pct"/>
            <w:noWrap/>
          </w:tcPr>
          <w:p w14:paraId="3AF62E34"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glucosamine-6-phosphate deaminase 1</w:t>
            </w:r>
          </w:p>
        </w:tc>
        <w:tc>
          <w:tcPr>
            <w:tcW w:w="2952" w:type="pct"/>
            <w:noWrap/>
          </w:tcPr>
          <w:p w14:paraId="11575CAE"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Predicted to enable glucosamine-6-phosphate deaminase activity and identical protein binding activity. Predicted to be involved in UDP-N-acetylglucosamine biosynthetic process, amino sugar catabolic process, and generation of precursor metabolites and energy. Predicted to act upstream of or within fructose 6-phosphate metabolic process, fructose biosynthetic process, and glucosamine metabolic process.</w:t>
            </w:r>
          </w:p>
          <w:p w14:paraId="5F8B463E"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31CA8427" w14:textId="77777777" w:rsidTr="00C31C3C">
        <w:trPr>
          <w:trHeight w:val="288"/>
        </w:trPr>
        <w:tc>
          <w:tcPr>
            <w:tcW w:w="854" w:type="pct"/>
            <w:noWrap/>
          </w:tcPr>
          <w:p w14:paraId="4DA53E86"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Dnm3</w:t>
            </w:r>
          </w:p>
        </w:tc>
        <w:tc>
          <w:tcPr>
            <w:tcW w:w="1194" w:type="pct"/>
            <w:noWrap/>
          </w:tcPr>
          <w:p w14:paraId="575C7E1C"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dynamin 3</w:t>
            </w:r>
          </w:p>
        </w:tc>
        <w:tc>
          <w:tcPr>
            <w:tcW w:w="2952" w:type="pct"/>
            <w:noWrap/>
          </w:tcPr>
          <w:p w14:paraId="125ED370"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Predicted to enable several functions, including G protein-coupled glutamate receptor binding activity, GTPase activity, and nitric-oxide synthase binding activity. Predicted to be a structural constituent of postsynapse. Involved in synaptic vesicle budding from presynaptic endocytic zone membrane.</w:t>
            </w:r>
          </w:p>
          <w:p w14:paraId="5AE22C4E"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2D302A31" w14:textId="77777777" w:rsidTr="00C31C3C">
        <w:trPr>
          <w:trHeight w:val="288"/>
        </w:trPr>
        <w:tc>
          <w:tcPr>
            <w:tcW w:w="854" w:type="pct"/>
            <w:noWrap/>
          </w:tcPr>
          <w:p w14:paraId="413CA183"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Ksr2</w:t>
            </w:r>
          </w:p>
        </w:tc>
        <w:tc>
          <w:tcPr>
            <w:tcW w:w="1194" w:type="pct"/>
            <w:noWrap/>
          </w:tcPr>
          <w:p w14:paraId="4E0CF428"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kinase suppressor of ras 2</w:t>
            </w:r>
          </w:p>
        </w:tc>
        <w:tc>
          <w:tcPr>
            <w:tcW w:w="2952" w:type="pct"/>
            <w:noWrap/>
          </w:tcPr>
          <w:p w14:paraId="61FF8D01"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Enables MAP-kinase scaffold activity and mitogen-activated protein kinase kinase binding activity. Involved in positive regulation of cold-induced thermogenesis. Acts upstream of or within calcium-mediated signaling and positive regulation of MAPK cascade.</w:t>
            </w:r>
          </w:p>
          <w:p w14:paraId="23D13D7A" w14:textId="77777777" w:rsidR="009E28C5" w:rsidRPr="00A520EA" w:rsidRDefault="009E28C5" w:rsidP="00C31C3C">
            <w:pPr>
              <w:widowControl/>
              <w:snapToGrid w:val="0"/>
              <w:jc w:val="left"/>
              <w:rPr>
                <w:rFonts w:ascii="Times New Roman" w:eastAsia="DengXian" w:hAnsi="Times New Roman" w:cs="Times New Roman"/>
                <w:color w:val="000000"/>
                <w:sz w:val="18"/>
                <w:szCs w:val="18"/>
              </w:rPr>
            </w:pPr>
          </w:p>
        </w:tc>
      </w:tr>
      <w:tr w:rsidR="009E28C5" w:rsidRPr="00A520EA" w14:paraId="602CFFD0" w14:textId="77777777" w:rsidTr="00C31C3C">
        <w:trPr>
          <w:trHeight w:val="288"/>
        </w:trPr>
        <w:tc>
          <w:tcPr>
            <w:tcW w:w="854" w:type="pct"/>
            <w:noWrap/>
          </w:tcPr>
          <w:p w14:paraId="2BCF6E79" w14:textId="77777777" w:rsidR="009E28C5" w:rsidRPr="00A520EA" w:rsidRDefault="009E28C5" w:rsidP="00C31C3C">
            <w:pPr>
              <w:widowControl/>
              <w:snapToGrid w:val="0"/>
              <w:ind w:firstLineChars="163" w:firstLine="293"/>
              <w:jc w:val="center"/>
              <w:rPr>
                <w:rFonts w:ascii="Times New Roman" w:eastAsia="DengXian" w:hAnsi="Times New Roman" w:cs="Times New Roman"/>
                <w:b/>
                <w:bCs/>
                <w:i/>
                <w:iCs/>
                <w:color w:val="000000"/>
                <w:sz w:val="18"/>
                <w:szCs w:val="18"/>
              </w:rPr>
            </w:pPr>
            <w:r w:rsidRPr="00A520EA">
              <w:rPr>
                <w:rFonts w:ascii="Times New Roman" w:eastAsia="DengXian" w:hAnsi="Times New Roman" w:cs="Times New Roman"/>
                <w:b/>
                <w:bCs/>
                <w:i/>
                <w:iCs/>
                <w:color w:val="000000"/>
                <w:sz w:val="18"/>
                <w:szCs w:val="18"/>
              </w:rPr>
              <w:t>Abca1</w:t>
            </w:r>
          </w:p>
        </w:tc>
        <w:tc>
          <w:tcPr>
            <w:tcW w:w="1194" w:type="pct"/>
            <w:noWrap/>
          </w:tcPr>
          <w:p w14:paraId="4FCDD52C" w14:textId="77777777" w:rsidR="009E28C5" w:rsidRPr="00A520EA" w:rsidRDefault="009E28C5" w:rsidP="00C31C3C">
            <w:pPr>
              <w:widowControl/>
              <w:snapToGrid w:val="0"/>
              <w:ind w:firstLineChars="163" w:firstLine="293"/>
              <w:jc w:val="center"/>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ATP-binding cassette, sub-family A member 1</w:t>
            </w:r>
          </w:p>
        </w:tc>
        <w:tc>
          <w:tcPr>
            <w:tcW w:w="2952" w:type="pct"/>
            <w:noWrap/>
          </w:tcPr>
          <w:p w14:paraId="2677E230" w14:textId="77777777" w:rsidR="009E28C5" w:rsidRPr="00A520EA" w:rsidRDefault="009E28C5" w:rsidP="00C31C3C">
            <w:pPr>
              <w:widowControl/>
              <w:snapToGrid w:val="0"/>
              <w:ind w:firstLineChars="163" w:firstLine="293"/>
              <w:jc w:val="left"/>
              <w:rPr>
                <w:rFonts w:ascii="Times New Roman" w:eastAsia="DengXian" w:hAnsi="Times New Roman" w:cs="Times New Roman"/>
                <w:color w:val="000000"/>
                <w:sz w:val="18"/>
                <w:szCs w:val="18"/>
              </w:rPr>
            </w:pPr>
            <w:r w:rsidRPr="00A520EA">
              <w:rPr>
                <w:rFonts w:ascii="Times New Roman" w:eastAsia="DengXian" w:hAnsi="Times New Roman" w:cs="Times New Roman"/>
                <w:color w:val="000000"/>
                <w:sz w:val="18"/>
                <w:szCs w:val="18"/>
              </w:rPr>
              <w:t>The membrane-associated protein encoded by this gene is a member of the superfamily of ATP-binding cassette (ABC) transporters. ABC proteins transport various molecules across extra- and intracellular membranes. In humans, this protein functions as a cholesterol efflux pump in the cellular lipid removal pathway. Mutations in the human gene have been associated with Tangier's disease and familial HDL deficiency.</w:t>
            </w:r>
          </w:p>
        </w:tc>
      </w:tr>
    </w:tbl>
    <w:p w14:paraId="395EA721" w14:textId="77777777" w:rsidR="009E28C5" w:rsidRPr="00A520EA" w:rsidRDefault="009E28C5" w:rsidP="009E28C5">
      <w:pPr>
        <w:ind w:firstLineChars="163" w:firstLine="342"/>
        <w:rPr>
          <w:rFonts w:ascii="Times New Roman" w:hAnsi="Times New Roman" w:cs="Times New Roman"/>
        </w:rPr>
      </w:pPr>
    </w:p>
    <w:p w14:paraId="7F3E6B49" w14:textId="77777777" w:rsidR="009E28C5" w:rsidRPr="00A520EA" w:rsidRDefault="009E28C5" w:rsidP="009E28C5">
      <w:pPr>
        <w:widowControl/>
        <w:jc w:val="left"/>
        <w:rPr>
          <w:rFonts w:ascii="Times New Roman" w:hAnsi="Times New Roman" w:cs="Times New Roman"/>
        </w:rPr>
      </w:pPr>
      <w:r w:rsidRPr="00A520EA">
        <w:rPr>
          <w:rFonts w:ascii="Times New Roman" w:hAnsi="Times New Roman" w:cs="Times New Roman"/>
        </w:rPr>
        <w:br w:type="page"/>
      </w:r>
    </w:p>
    <w:p w14:paraId="18A6C89B" w14:textId="77777777" w:rsidR="009E28C5" w:rsidRPr="00A520EA" w:rsidRDefault="009E28C5" w:rsidP="009E28C5">
      <w:pPr>
        <w:rPr>
          <w:rFonts w:ascii="Times New Roman" w:hAnsi="Times New Roman" w:cs="Times New Roman"/>
        </w:rPr>
      </w:pPr>
      <w:r w:rsidRPr="002522AA">
        <w:rPr>
          <w:rFonts w:ascii="Times New Roman" w:hAnsi="Times New Roman" w:cs="Times New Roman"/>
          <w:b/>
          <w:bCs/>
        </w:rPr>
        <w:lastRenderedPageBreak/>
        <w:t>Figure S1</w:t>
      </w:r>
      <w:r w:rsidRPr="002522AA">
        <w:rPr>
          <w:rFonts w:ascii="Times New Roman" w:hAnsi="Times New Roman" w:cs="Times New Roman" w:hint="eastAsia"/>
          <w:b/>
          <w:bCs/>
        </w:rPr>
        <w:t>:</w:t>
      </w:r>
      <w:r w:rsidRPr="00A520EA">
        <w:rPr>
          <w:rFonts w:ascii="Times New Roman" w:hAnsi="Times New Roman" w:cs="Times New Roman"/>
        </w:rPr>
        <w:t xml:space="preserve"> </w:t>
      </w:r>
      <w:r w:rsidRPr="00A520EA">
        <w:rPr>
          <w:rFonts w:ascii="Times New Roman" w:hAnsi="Times New Roman" w:cs="Times New Roman"/>
          <w:sz w:val="20"/>
          <w:szCs w:val="21"/>
        </w:rPr>
        <w:t>Quality control and identification of mRNA sequencing.</w:t>
      </w:r>
    </w:p>
    <w:p w14:paraId="516AAA2A" w14:textId="77777777" w:rsidR="009E28C5" w:rsidRPr="00A520EA" w:rsidRDefault="009E28C5" w:rsidP="009E28C5">
      <w:pPr>
        <w:ind w:firstLineChars="163" w:firstLine="342"/>
        <w:rPr>
          <w:rFonts w:ascii="Times New Roman" w:hAnsi="Times New Roman" w:cs="Times New Roman"/>
        </w:rPr>
      </w:pPr>
      <w:r w:rsidRPr="00A520EA">
        <w:rPr>
          <w:rFonts w:ascii="Times New Roman" w:hAnsi="Times New Roman" w:cs="Times New Roman"/>
          <w:noProof/>
        </w:rPr>
        <w:drawing>
          <wp:inline distT="0" distB="0" distL="0" distR="0" wp14:anchorId="54D3E66B" wp14:editId="603B88EA">
            <wp:extent cx="5274310" cy="1603375"/>
            <wp:effectExtent l="0" t="0" r="2540" b="0"/>
            <wp:docPr id="219124027"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24027" name="图片 1" descr="图表&#10;&#10;描述已自动生成"/>
                    <pic:cNvPicPr>
                      <a:picLocks noChangeAspect="1"/>
                    </pic:cNvPicPr>
                  </pic:nvPicPr>
                  <pic:blipFill>
                    <a:blip r:embed="rId4"/>
                    <a:stretch>
                      <a:fillRect/>
                    </a:stretch>
                  </pic:blipFill>
                  <pic:spPr>
                    <a:xfrm>
                      <a:off x="0" y="0"/>
                      <a:ext cx="5274310" cy="1603375"/>
                    </a:xfrm>
                    <a:prstGeom prst="rect">
                      <a:avLst/>
                    </a:prstGeom>
                  </pic:spPr>
                </pic:pic>
              </a:graphicData>
            </a:graphic>
          </wp:inline>
        </w:drawing>
      </w:r>
    </w:p>
    <w:p w14:paraId="040EEE85" w14:textId="77777777" w:rsidR="009E28C5" w:rsidRPr="00A520EA" w:rsidRDefault="009E28C5" w:rsidP="009E28C5">
      <w:pPr>
        <w:ind w:firstLineChars="163" w:firstLine="327"/>
        <w:rPr>
          <w:rFonts w:ascii="Times New Roman" w:hAnsi="Times New Roman" w:cs="Times New Roman"/>
        </w:rPr>
      </w:pPr>
      <w:r w:rsidRPr="00A520EA">
        <w:rPr>
          <w:rFonts w:ascii="Times New Roman" w:hAnsi="Times New Roman" w:cs="Times New Roman"/>
          <w:b/>
          <w:bCs/>
          <w:sz w:val="20"/>
          <w:szCs w:val="21"/>
        </w:rPr>
        <w:t>A.</w:t>
      </w:r>
      <w:r w:rsidRPr="00A520EA">
        <w:rPr>
          <w:rFonts w:ascii="Times New Roman" w:hAnsi="Times New Roman" w:cs="Times New Roman"/>
          <w:sz w:val="20"/>
          <w:szCs w:val="21"/>
        </w:rPr>
        <w:t xml:space="preserve"> The processed data boxplot. </w:t>
      </w:r>
      <w:r w:rsidRPr="00A520EA">
        <w:rPr>
          <w:rFonts w:ascii="Times New Roman" w:hAnsi="Times New Roman" w:cs="Times New Roman"/>
          <w:b/>
          <w:bCs/>
          <w:sz w:val="20"/>
          <w:szCs w:val="21"/>
        </w:rPr>
        <w:t>B.</w:t>
      </w:r>
      <w:r w:rsidRPr="00A520EA">
        <w:rPr>
          <w:rFonts w:ascii="Times New Roman" w:hAnsi="Times New Roman" w:cs="Times New Roman"/>
          <w:sz w:val="20"/>
          <w:szCs w:val="21"/>
        </w:rPr>
        <w:t xml:space="preserve"> The PCA plot. </w:t>
      </w:r>
      <w:r w:rsidRPr="00A520EA">
        <w:rPr>
          <w:rFonts w:ascii="Times New Roman" w:hAnsi="Times New Roman" w:cs="Times New Roman"/>
          <w:b/>
          <w:bCs/>
          <w:sz w:val="20"/>
          <w:szCs w:val="21"/>
        </w:rPr>
        <w:t>C.</w:t>
      </w:r>
      <w:r w:rsidRPr="00A520EA">
        <w:rPr>
          <w:rFonts w:ascii="Times New Roman" w:hAnsi="Times New Roman" w:cs="Times New Roman"/>
          <w:sz w:val="20"/>
          <w:szCs w:val="21"/>
        </w:rPr>
        <w:t xml:space="preserve"> The statistical bar chart of DEGs.</w:t>
      </w:r>
    </w:p>
    <w:p w14:paraId="4BE10EF3" w14:textId="77777777" w:rsidR="009E28C5" w:rsidRPr="00A520EA" w:rsidRDefault="009E28C5" w:rsidP="009E28C5">
      <w:pPr>
        <w:widowControl/>
        <w:ind w:firstLineChars="163" w:firstLine="342"/>
        <w:jc w:val="left"/>
        <w:rPr>
          <w:rFonts w:ascii="Times New Roman" w:hAnsi="Times New Roman" w:cs="Times New Roman"/>
        </w:rPr>
      </w:pPr>
      <w:r w:rsidRPr="00A520EA">
        <w:rPr>
          <w:rFonts w:ascii="Times New Roman" w:hAnsi="Times New Roman" w:cs="Times New Roman"/>
        </w:rPr>
        <w:br w:type="page"/>
      </w:r>
    </w:p>
    <w:p w14:paraId="140767AE" w14:textId="77777777" w:rsidR="009E28C5" w:rsidRPr="00A520EA" w:rsidRDefault="009E28C5" w:rsidP="009E28C5">
      <w:pPr>
        <w:rPr>
          <w:rFonts w:ascii="Times New Roman" w:hAnsi="Times New Roman" w:cs="Times New Roman"/>
        </w:rPr>
      </w:pPr>
      <w:r w:rsidRPr="002522AA">
        <w:rPr>
          <w:rFonts w:ascii="Times New Roman" w:hAnsi="Times New Roman" w:cs="Times New Roman"/>
          <w:b/>
          <w:bCs/>
        </w:rPr>
        <w:lastRenderedPageBreak/>
        <w:t>Figure S2:</w:t>
      </w:r>
      <w:r w:rsidRPr="00A520EA">
        <w:rPr>
          <w:rFonts w:ascii="Times New Roman" w:hAnsi="Times New Roman" w:cs="Times New Roman"/>
        </w:rPr>
        <w:t xml:space="preserve"> </w:t>
      </w:r>
      <w:r w:rsidRPr="00A520EA">
        <w:rPr>
          <w:rFonts w:ascii="Times New Roman" w:hAnsi="Times New Roman" w:cs="Times New Roman"/>
          <w:sz w:val="20"/>
          <w:szCs w:val="21"/>
        </w:rPr>
        <w:t>GO chord of lipid-relative pathways.</w:t>
      </w:r>
    </w:p>
    <w:p w14:paraId="7B214B29" w14:textId="77777777" w:rsidR="009E28C5" w:rsidRPr="00A520EA" w:rsidRDefault="009E28C5" w:rsidP="009E28C5">
      <w:pPr>
        <w:ind w:firstLineChars="163" w:firstLine="342"/>
        <w:rPr>
          <w:rFonts w:ascii="Times New Roman" w:hAnsi="Times New Roman" w:cs="Times New Roman"/>
        </w:rPr>
      </w:pPr>
      <w:r w:rsidRPr="00A520EA">
        <w:rPr>
          <w:rFonts w:ascii="Times New Roman" w:hAnsi="Times New Roman" w:cs="Times New Roman"/>
          <w:noProof/>
        </w:rPr>
        <w:drawing>
          <wp:inline distT="0" distB="0" distL="0" distR="0" wp14:anchorId="67005505" wp14:editId="12CA7CC2">
            <wp:extent cx="5274310" cy="6502400"/>
            <wp:effectExtent l="0" t="0" r="2540" b="0"/>
            <wp:docPr id="1057447088"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47088" name="图片 1" descr="图示&#10;&#10;描述已自动生成"/>
                    <pic:cNvPicPr>
                      <a:picLocks noChangeAspect="1"/>
                    </pic:cNvPicPr>
                  </pic:nvPicPr>
                  <pic:blipFill>
                    <a:blip r:embed="rId5"/>
                    <a:stretch>
                      <a:fillRect/>
                    </a:stretch>
                  </pic:blipFill>
                  <pic:spPr>
                    <a:xfrm>
                      <a:off x="0" y="0"/>
                      <a:ext cx="5274310" cy="6502400"/>
                    </a:xfrm>
                    <a:prstGeom prst="rect">
                      <a:avLst/>
                    </a:prstGeom>
                  </pic:spPr>
                </pic:pic>
              </a:graphicData>
            </a:graphic>
          </wp:inline>
        </w:drawing>
      </w:r>
    </w:p>
    <w:p w14:paraId="474D52A3" w14:textId="77777777" w:rsidR="009E28C5" w:rsidRPr="00A520EA" w:rsidRDefault="009E28C5" w:rsidP="009E28C5">
      <w:pPr>
        <w:widowControl/>
        <w:ind w:firstLineChars="163" w:firstLine="342"/>
        <w:jc w:val="left"/>
        <w:rPr>
          <w:rFonts w:ascii="Times New Roman" w:hAnsi="Times New Roman" w:cs="Times New Roman"/>
        </w:rPr>
      </w:pPr>
      <w:r w:rsidRPr="00A520EA">
        <w:rPr>
          <w:rFonts w:ascii="Times New Roman" w:hAnsi="Times New Roman" w:cs="Times New Roman"/>
        </w:rPr>
        <w:br w:type="page"/>
      </w:r>
    </w:p>
    <w:p w14:paraId="7C682309" w14:textId="77777777" w:rsidR="009E28C5" w:rsidRPr="00A520EA" w:rsidRDefault="009E28C5" w:rsidP="009E28C5">
      <w:pPr>
        <w:rPr>
          <w:rFonts w:ascii="Times New Roman" w:hAnsi="Times New Roman" w:cs="Times New Roman"/>
        </w:rPr>
      </w:pPr>
      <w:r w:rsidRPr="002522AA">
        <w:rPr>
          <w:rFonts w:ascii="Times New Roman" w:hAnsi="Times New Roman" w:cs="Times New Roman"/>
          <w:b/>
          <w:bCs/>
        </w:rPr>
        <w:lastRenderedPageBreak/>
        <w:t>Figure S3:</w:t>
      </w:r>
      <w:r w:rsidRPr="00A520EA">
        <w:rPr>
          <w:rFonts w:ascii="Times New Roman" w:hAnsi="Times New Roman" w:cs="Times New Roman"/>
        </w:rPr>
        <w:t xml:space="preserve"> </w:t>
      </w:r>
      <w:r w:rsidRPr="00A520EA">
        <w:rPr>
          <w:rFonts w:ascii="Times New Roman" w:eastAsia="DengXian" w:hAnsi="Times New Roman" w:cs="Times New Roman"/>
        </w:rPr>
        <w:t>GO and KEGG pathway analyses for DEMs target genes.</w:t>
      </w:r>
    </w:p>
    <w:p w14:paraId="4214F8B8" w14:textId="77777777" w:rsidR="009E28C5" w:rsidRPr="00A520EA" w:rsidRDefault="009E28C5" w:rsidP="009E28C5">
      <w:pPr>
        <w:ind w:firstLineChars="163" w:firstLine="342"/>
        <w:rPr>
          <w:rFonts w:ascii="Times New Roman" w:hAnsi="Times New Roman" w:cs="Times New Roman"/>
        </w:rPr>
      </w:pPr>
      <w:r w:rsidRPr="00A520EA">
        <w:rPr>
          <w:rFonts w:ascii="Times New Roman" w:hAnsi="Times New Roman" w:cs="Times New Roman"/>
          <w:noProof/>
        </w:rPr>
        <w:drawing>
          <wp:inline distT="0" distB="0" distL="0" distR="0" wp14:anchorId="7D20CD14" wp14:editId="6E6877B7">
            <wp:extent cx="5274310" cy="7468870"/>
            <wp:effectExtent l="0" t="0" r="2540" b="0"/>
            <wp:docPr id="30789580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95801" name="图片 1" descr="图片包含 文本&#10;&#10;描述已自动生成"/>
                    <pic:cNvPicPr>
                      <a:picLocks noChangeAspect="1"/>
                    </pic:cNvPicPr>
                  </pic:nvPicPr>
                  <pic:blipFill>
                    <a:blip r:embed="rId6"/>
                    <a:stretch>
                      <a:fillRect/>
                    </a:stretch>
                  </pic:blipFill>
                  <pic:spPr>
                    <a:xfrm>
                      <a:off x="0" y="0"/>
                      <a:ext cx="5274310" cy="7468870"/>
                    </a:xfrm>
                    <a:prstGeom prst="rect">
                      <a:avLst/>
                    </a:prstGeom>
                  </pic:spPr>
                </pic:pic>
              </a:graphicData>
            </a:graphic>
          </wp:inline>
        </w:drawing>
      </w:r>
    </w:p>
    <w:p w14:paraId="39968CC7" w14:textId="77777777" w:rsidR="009E28C5" w:rsidRPr="00A520EA" w:rsidRDefault="009E28C5" w:rsidP="009E28C5">
      <w:pPr>
        <w:widowControl/>
        <w:ind w:firstLineChars="163" w:firstLine="342"/>
        <w:jc w:val="left"/>
        <w:rPr>
          <w:rFonts w:ascii="Times New Roman" w:hAnsi="Times New Roman" w:cs="Times New Roman"/>
        </w:rPr>
      </w:pPr>
      <w:r w:rsidRPr="00A520EA">
        <w:rPr>
          <w:rFonts w:ascii="Times New Roman" w:hAnsi="Times New Roman" w:cs="Times New Roman"/>
        </w:rPr>
        <w:br w:type="page"/>
      </w:r>
    </w:p>
    <w:p w14:paraId="5FA37147" w14:textId="77777777" w:rsidR="009E28C5" w:rsidRPr="00A520EA" w:rsidRDefault="009E28C5" w:rsidP="009E28C5">
      <w:pPr>
        <w:rPr>
          <w:rFonts w:ascii="Times New Roman" w:hAnsi="Times New Roman" w:cs="Times New Roman"/>
        </w:rPr>
      </w:pPr>
      <w:r w:rsidRPr="002522AA">
        <w:rPr>
          <w:rFonts w:ascii="Times New Roman" w:hAnsi="Times New Roman" w:cs="Times New Roman"/>
          <w:b/>
          <w:bCs/>
        </w:rPr>
        <w:lastRenderedPageBreak/>
        <w:t>Figure S4:</w:t>
      </w:r>
      <w:r w:rsidRPr="00A520EA">
        <w:rPr>
          <w:rFonts w:ascii="Times New Roman" w:hAnsi="Times New Roman" w:cs="Times New Roman"/>
        </w:rPr>
        <w:t xml:space="preserve"> </w:t>
      </w:r>
      <w:r w:rsidRPr="00A520EA">
        <w:rPr>
          <w:rFonts w:ascii="Times New Roman" w:eastAsia="DengXian" w:hAnsi="Times New Roman" w:cs="Times New Roman"/>
        </w:rPr>
        <w:t>miRNA-mRNA regulatory network encompassing 85 mRNAs and 15 miRNAs.</w:t>
      </w:r>
    </w:p>
    <w:p w14:paraId="1C3D9978" w14:textId="77777777" w:rsidR="009E28C5" w:rsidRPr="00A520EA" w:rsidRDefault="009E28C5" w:rsidP="009E28C5">
      <w:pPr>
        <w:autoSpaceDE w:val="0"/>
        <w:autoSpaceDN w:val="0"/>
        <w:adjustRightInd w:val="0"/>
        <w:jc w:val="left"/>
        <w:rPr>
          <w:rFonts w:ascii="Times New Roman" w:hAnsi="Times New Roman" w:cs="Times New Roman"/>
        </w:rPr>
      </w:pPr>
      <w:r w:rsidRPr="00A520EA">
        <w:rPr>
          <w:rFonts w:ascii="Times New Roman" w:hAnsi="Times New Roman" w:cs="Times New Roman"/>
          <w:noProof/>
        </w:rPr>
        <w:drawing>
          <wp:inline distT="0" distB="0" distL="0" distR="0" wp14:anchorId="38C5A6A2" wp14:editId="11967822">
            <wp:extent cx="5274310" cy="3910330"/>
            <wp:effectExtent l="0" t="0" r="2540" b="0"/>
            <wp:docPr id="705033882" name="图片 1"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33882" name="图片 1" descr="图示&#10;&#10;中度可信度描述已自动生成"/>
                    <pic:cNvPicPr>
                      <a:picLocks noChangeAspect="1"/>
                    </pic:cNvPicPr>
                  </pic:nvPicPr>
                  <pic:blipFill>
                    <a:blip r:embed="rId7"/>
                    <a:stretch>
                      <a:fillRect/>
                    </a:stretch>
                  </pic:blipFill>
                  <pic:spPr>
                    <a:xfrm>
                      <a:off x="0" y="0"/>
                      <a:ext cx="5274310" cy="3910330"/>
                    </a:xfrm>
                    <a:prstGeom prst="rect">
                      <a:avLst/>
                    </a:prstGeom>
                  </pic:spPr>
                </pic:pic>
              </a:graphicData>
            </a:graphic>
          </wp:inline>
        </w:drawing>
      </w:r>
    </w:p>
    <w:p w14:paraId="023560EC" w14:textId="77777777" w:rsidR="009E28C5" w:rsidRPr="00A520EA" w:rsidRDefault="009E28C5" w:rsidP="009E28C5">
      <w:pPr>
        <w:ind w:firstLineChars="163" w:firstLine="342"/>
        <w:rPr>
          <w:rFonts w:ascii="Times New Roman" w:hAnsi="Times New Roman" w:cs="Times New Roman"/>
        </w:rPr>
      </w:pPr>
    </w:p>
    <w:p w14:paraId="51228E0E" w14:textId="77777777" w:rsidR="00F553FF" w:rsidRDefault="00F553FF"/>
    <w:sectPr w:rsidR="00F553FF" w:rsidSect="008C3F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C5"/>
    <w:rsid w:val="003C2EF4"/>
    <w:rsid w:val="008C3F9E"/>
    <w:rsid w:val="009E28C5"/>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F1C4"/>
  <w15:chartTrackingRefBased/>
  <w15:docId w15:val="{046EBE17-77FE-414A-BF64-5783570A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8C5"/>
    <w:pPr>
      <w:widowControl w:val="0"/>
      <w:spacing w:after="0" w:line="240" w:lineRule="auto"/>
      <w:jc w:val="both"/>
    </w:pPr>
    <w:rPr>
      <w:rFonts w:eastAsiaTheme="minorEastAsia"/>
      <w:sz w:val="21"/>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autoRedefine/>
    <w:uiPriority w:val="39"/>
    <w:qFormat/>
    <w:rsid w:val="009E28C5"/>
    <w:pPr>
      <w:spacing w:after="0" w:line="240" w:lineRule="auto"/>
    </w:pPr>
    <w:rPr>
      <w:rFonts w:eastAsiaTheme="minorEastAsia"/>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浅色1"/>
    <w:basedOn w:val="TableNormal"/>
    <w:autoRedefine/>
    <w:uiPriority w:val="40"/>
    <w:qFormat/>
    <w:rsid w:val="009E28C5"/>
    <w:pPr>
      <w:spacing w:after="0" w:line="240" w:lineRule="auto"/>
    </w:pPr>
    <w:rPr>
      <w:rFonts w:eastAsiaTheme="minorEastAsia"/>
      <w:kern w:val="0"/>
      <w:sz w:val="20"/>
      <w:szCs w:val="20"/>
      <w:lang w:eastAsia="zh-C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575</Words>
  <Characters>3279</Characters>
  <Application>Microsoft Office Word</Application>
  <DocSecurity>0</DocSecurity>
  <Lines>27</Lines>
  <Paragraphs>7</Paragraphs>
  <ScaleCrop>false</ScaleCrop>
  <Company>Springer Nature</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2024-02-20T07:12:00Z</dcterms:created>
  <dcterms:modified xsi:type="dcterms:W3CDTF">2024-02-20T07:12:00Z</dcterms:modified>
</cp:coreProperties>
</file>