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5AB4" w14:textId="77777777" w:rsidR="00BA3DE1" w:rsidRPr="002522AA" w:rsidRDefault="00BA3DE1" w:rsidP="00BA3DE1">
      <w:pPr>
        <w:rPr>
          <w:rFonts w:ascii="Times New Roman" w:hAnsi="Times New Roman" w:cs="Times New Roman"/>
          <w:b/>
          <w:bCs/>
        </w:rPr>
      </w:pPr>
      <w:r w:rsidRPr="002522AA">
        <w:rPr>
          <w:rFonts w:ascii="Times New Roman" w:hAnsi="Times New Roman" w:cs="Times New Roman"/>
          <w:b/>
          <w:bCs/>
        </w:rPr>
        <w:t>Table S2</w:t>
      </w:r>
      <w:r>
        <w:rPr>
          <w:rFonts w:ascii="Times New Roman" w:hAnsi="Times New Roman" w:cs="Times New Roman"/>
          <w:b/>
          <w:bCs/>
        </w:rPr>
        <w:t xml:space="preserve">: </w:t>
      </w:r>
      <w:r>
        <w:rPr>
          <w:rFonts w:ascii="Times New Roman" w:eastAsia="等线" w:hAnsi="Times New Roman" w:cs="Times New Roman"/>
          <w:sz w:val="24"/>
          <w:szCs w:val="24"/>
        </w:rPr>
        <w:t>I</w:t>
      </w:r>
      <w:r w:rsidRPr="00A520EA">
        <w:rPr>
          <w:rFonts w:ascii="Times New Roman" w:eastAsia="等线" w:hAnsi="Times New Roman" w:cs="Times New Roman"/>
          <w:sz w:val="24"/>
          <w:szCs w:val="24"/>
        </w:rPr>
        <w:t xml:space="preserve">ntersecting genes and </w:t>
      </w:r>
      <w:r>
        <w:rPr>
          <w:rFonts w:ascii="Times New Roman" w:eastAsia="等线" w:hAnsi="Times New Roman" w:cs="Times New Roman"/>
          <w:sz w:val="24"/>
          <w:szCs w:val="24"/>
        </w:rPr>
        <w:t xml:space="preserve">their </w:t>
      </w:r>
      <w:r w:rsidRPr="00A520EA">
        <w:rPr>
          <w:rFonts w:ascii="Times New Roman" w:eastAsia="等线" w:hAnsi="Times New Roman" w:cs="Times New Roman"/>
          <w:sz w:val="24"/>
          <w:szCs w:val="24"/>
        </w:rPr>
        <w:t>descriptions</w:t>
      </w:r>
      <w:r>
        <w:rPr>
          <w:rFonts w:ascii="Times New Roman" w:eastAsia="等线" w:hAnsi="Times New Roman" w:cs="Times New Roman"/>
          <w:sz w:val="24"/>
          <w:szCs w:val="24"/>
        </w:rPr>
        <w:t>.</w:t>
      </w:r>
    </w:p>
    <w:tbl>
      <w:tblPr>
        <w:tblStyle w:val="a7"/>
        <w:tblW w:w="5000" w:type="pct"/>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9"/>
        <w:gridCol w:w="1983"/>
        <w:gridCol w:w="4904"/>
      </w:tblGrid>
      <w:tr w:rsidR="00BA3DE1" w:rsidRPr="00A520EA" w14:paraId="300FCAE6" w14:textId="77777777" w:rsidTr="00F32FEF">
        <w:trPr>
          <w:trHeight w:val="312"/>
        </w:trPr>
        <w:tc>
          <w:tcPr>
            <w:tcW w:w="854" w:type="pct"/>
            <w:tcBorders>
              <w:top w:val="single" w:sz="18" w:space="0" w:color="auto"/>
              <w:bottom w:val="single" w:sz="12" w:space="0" w:color="auto"/>
            </w:tcBorders>
          </w:tcPr>
          <w:p w14:paraId="0CFA7E44" w14:textId="77777777" w:rsidR="00BA3DE1" w:rsidRPr="00A520EA" w:rsidRDefault="00BA3DE1" w:rsidP="00F32FEF">
            <w:pPr>
              <w:widowControl/>
              <w:snapToGrid w:val="0"/>
              <w:ind w:firstLineChars="163" w:firstLine="293"/>
              <w:jc w:val="center"/>
              <w:rPr>
                <w:rFonts w:ascii="Times New Roman" w:eastAsia="等线" w:hAnsi="Times New Roman" w:cs="Times New Roman"/>
                <w:b/>
                <w:bCs/>
                <w:sz w:val="18"/>
                <w:szCs w:val="18"/>
              </w:rPr>
            </w:pPr>
            <w:r w:rsidRPr="00A520EA">
              <w:rPr>
                <w:rFonts w:ascii="Times New Roman" w:eastAsia="等线" w:hAnsi="Times New Roman" w:cs="Times New Roman"/>
                <w:sz w:val="18"/>
                <w:szCs w:val="18"/>
              </w:rPr>
              <w:t>Gene symbol</w:t>
            </w:r>
          </w:p>
        </w:tc>
        <w:tc>
          <w:tcPr>
            <w:tcW w:w="1194" w:type="pct"/>
            <w:tcBorders>
              <w:top w:val="single" w:sz="18" w:space="0" w:color="auto"/>
              <w:bottom w:val="single" w:sz="12" w:space="0" w:color="auto"/>
            </w:tcBorders>
          </w:tcPr>
          <w:p w14:paraId="00CAA623" w14:textId="77777777" w:rsidR="00BA3DE1" w:rsidRPr="00A520EA" w:rsidRDefault="00BA3DE1" w:rsidP="00F32FEF">
            <w:pPr>
              <w:widowControl/>
              <w:snapToGrid w:val="0"/>
              <w:ind w:firstLineChars="163" w:firstLine="293"/>
              <w:jc w:val="center"/>
              <w:rPr>
                <w:rFonts w:ascii="Times New Roman" w:eastAsia="等线" w:hAnsi="Times New Roman" w:cs="Times New Roman"/>
                <w:b/>
                <w:bCs/>
                <w:sz w:val="18"/>
                <w:szCs w:val="18"/>
              </w:rPr>
            </w:pPr>
            <w:r w:rsidRPr="00A520EA">
              <w:rPr>
                <w:rFonts w:ascii="Times New Roman" w:eastAsia="等线" w:hAnsi="Times New Roman" w:cs="Times New Roman"/>
                <w:sz w:val="18"/>
                <w:szCs w:val="18"/>
              </w:rPr>
              <w:t>Full name</w:t>
            </w:r>
          </w:p>
        </w:tc>
        <w:tc>
          <w:tcPr>
            <w:tcW w:w="2952" w:type="pct"/>
            <w:tcBorders>
              <w:top w:val="single" w:sz="18" w:space="0" w:color="auto"/>
              <w:bottom w:val="single" w:sz="12" w:space="0" w:color="auto"/>
            </w:tcBorders>
          </w:tcPr>
          <w:p w14:paraId="79543F5D" w14:textId="77777777" w:rsidR="00BA3DE1" w:rsidRPr="00A520EA" w:rsidRDefault="00BA3DE1" w:rsidP="00F32FEF">
            <w:pPr>
              <w:widowControl/>
              <w:snapToGrid w:val="0"/>
              <w:ind w:firstLineChars="163" w:firstLine="293"/>
              <w:jc w:val="center"/>
              <w:rPr>
                <w:rFonts w:ascii="Times New Roman" w:eastAsia="等线" w:hAnsi="Times New Roman" w:cs="Times New Roman"/>
                <w:b/>
                <w:bCs/>
                <w:sz w:val="18"/>
                <w:szCs w:val="18"/>
              </w:rPr>
            </w:pPr>
            <w:r w:rsidRPr="00A520EA">
              <w:rPr>
                <w:rFonts w:ascii="Times New Roman" w:eastAsia="等线" w:hAnsi="Times New Roman" w:cs="Times New Roman"/>
                <w:sz w:val="18"/>
                <w:szCs w:val="18"/>
              </w:rPr>
              <w:t>Description</w:t>
            </w:r>
          </w:p>
        </w:tc>
      </w:tr>
      <w:tr w:rsidR="00BA3DE1" w:rsidRPr="00A520EA" w14:paraId="18284187" w14:textId="77777777" w:rsidTr="00F32FEF">
        <w:trPr>
          <w:trHeight w:val="288"/>
        </w:trPr>
        <w:tc>
          <w:tcPr>
            <w:tcW w:w="854" w:type="pct"/>
            <w:tcBorders>
              <w:top w:val="single" w:sz="12" w:space="0" w:color="auto"/>
            </w:tcBorders>
            <w:noWrap/>
          </w:tcPr>
          <w:p w14:paraId="68E79F29"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proofErr w:type="spellStart"/>
            <w:r w:rsidRPr="00A520EA">
              <w:rPr>
                <w:rFonts w:ascii="Times New Roman" w:eastAsia="等线" w:hAnsi="Times New Roman" w:cs="Times New Roman"/>
                <w:b/>
                <w:bCs/>
                <w:i/>
                <w:iCs/>
                <w:color w:val="000000"/>
                <w:sz w:val="18"/>
                <w:szCs w:val="18"/>
              </w:rPr>
              <w:t>Pgr</w:t>
            </w:r>
            <w:proofErr w:type="spellEnd"/>
          </w:p>
        </w:tc>
        <w:tc>
          <w:tcPr>
            <w:tcW w:w="1194" w:type="pct"/>
            <w:tcBorders>
              <w:top w:val="single" w:sz="12" w:space="0" w:color="auto"/>
            </w:tcBorders>
            <w:noWrap/>
          </w:tcPr>
          <w:p w14:paraId="18D1DE49"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progesterone receptor</w:t>
            </w:r>
          </w:p>
        </w:tc>
        <w:tc>
          <w:tcPr>
            <w:tcW w:w="2952" w:type="pct"/>
            <w:tcBorders>
              <w:top w:val="single" w:sz="12" w:space="0" w:color="auto"/>
            </w:tcBorders>
            <w:noWrap/>
          </w:tcPr>
          <w:p w14:paraId="464949B2"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This gene encodes a member of the steroid receptor superfamily. The encoded protein mediates the physiological effects of progesterone, which plays a central role in reproductive events associated with the establishment and maintenance of pregnancy.</w:t>
            </w:r>
          </w:p>
          <w:p w14:paraId="049D0DD4"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660A3CA1" w14:textId="77777777" w:rsidTr="00F32FEF">
        <w:trPr>
          <w:trHeight w:val="288"/>
        </w:trPr>
        <w:tc>
          <w:tcPr>
            <w:tcW w:w="854" w:type="pct"/>
            <w:noWrap/>
          </w:tcPr>
          <w:p w14:paraId="5B66A4C5"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Syn3</w:t>
            </w:r>
          </w:p>
        </w:tc>
        <w:tc>
          <w:tcPr>
            <w:tcW w:w="1194" w:type="pct"/>
            <w:noWrap/>
          </w:tcPr>
          <w:p w14:paraId="0BCBF369"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proofErr w:type="spellStart"/>
            <w:r w:rsidRPr="00A520EA">
              <w:rPr>
                <w:rFonts w:ascii="Times New Roman" w:eastAsia="等线" w:hAnsi="Times New Roman" w:cs="Times New Roman"/>
                <w:color w:val="000000"/>
                <w:sz w:val="18"/>
                <w:szCs w:val="18"/>
              </w:rPr>
              <w:t>synapsin</w:t>
            </w:r>
            <w:proofErr w:type="spellEnd"/>
            <w:r w:rsidRPr="00A520EA">
              <w:rPr>
                <w:rFonts w:ascii="Times New Roman" w:eastAsia="等线" w:hAnsi="Times New Roman" w:cs="Times New Roman"/>
                <w:color w:val="000000"/>
                <w:sz w:val="18"/>
                <w:szCs w:val="18"/>
              </w:rPr>
              <w:t xml:space="preserve"> III</w:t>
            </w:r>
          </w:p>
        </w:tc>
        <w:tc>
          <w:tcPr>
            <w:tcW w:w="2952" w:type="pct"/>
            <w:noWrap/>
          </w:tcPr>
          <w:p w14:paraId="2A45AE74"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Predicted to enable ATP binding activity. Involved in synaptic vesicle clustering.</w:t>
            </w:r>
          </w:p>
          <w:p w14:paraId="4E427188"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25D698D5" w14:textId="77777777" w:rsidTr="00F32FEF">
        <w:trPr>
          <w:trHeight w:val="288"/>
        </w:trPr>
        <w:tc>
          <w:tcPr>
            <w:tcW w:w="854" w:type="pct"/>
            <w:noWrap/>
          </w:tcPr>
          <w:p w14:paraId="31C4DE9B"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Grin2b</w:t>
            </w:r>
          </w:p>
        </w:tc>
        <w:tc>
          <w:tcPr>
            <w:tcW w:w="1194" w:type="pct"/>
            <w:noWrap/>
          </w:tcPr>
          <w:p w14:paraId="689CAC49"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glutamate receptor, ionotropic, NMDA2B (epsilon 2)</w:t>
            </w:r>
          </w:p>
        </w:tc>
        <w:tc>
          <w:tcPr>
            <w:tcW w:w="2952" w:type="pct"/>
            <w:noWrap/>
          </w:tcPr>
          <w:p w14:paraId="5D8A4D66"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Enables NMDA glutamate receptor activity, calcium channel activity, and neurotransmitter receptor activity involved in the regulation of postsynaptic membrane potential. Involved in negative regulation of dendritic spine maintenance and positive regulation of neuron death.</w:t>
            </w:r>
          </w:p>
          <w:p w14:paraId="1DC83CF1"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2BBFD5BA" w14:textId="77777777" w:rsidTr="00F32FEF">
        <w:trPr>
          <w:trHeight w:val="288"/>
        </w:trPr>
        <w:tc>
          <w:tcPr>
            <w:tcW w:w="854" w:type="pct"/>
            <w:noWrap/>
          </w:tcPr>
          <w:p w14:paraId="34B1EE75"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proofErr w:type="spellStart"/>
            <w:r w:rsidRPr="00A520EA">
              <w:rPr>
                <w:rFonts w:ascii="Times New Roman" w:eastAsia="等线" w:hAnsi="Times New Roman" w:cs="Times New Roman"/>
                <w:b/>
                <w:bCs/>
                <w:i/>
                <w:iCs/>
                <w:color w:val="000000"/>
                <w:sz w:val="18"/>
                <w:szCs w:val="18"/>
              </w:rPr>
              <w:t>Ldlr</w:t>
            </w:r>
            <w:proofErr w:type="spellEnd"/>
          </w:p>
        </w:tc>
        <w:tc>
          <w:tcPr>
            <w:tcW w:w="1194" w:type="pct"/>
            <w:noWrap/>
          </w:tcPr>
          <w:p w14:paraId="2915D87F"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low density lipoprotein receptor</w:t>
            </w:r>
          </w:p>
        </w:tc>
        <w:tc>
          <w:tcPr>
            <w:tcW w:w="2952" w:type="pct"/>
            <w:noWrap/>
          </w:tcPr>
          <w:p w14:paraId="461F3962"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Enables several functions, including amyloid-beta binding activity, low-density lipoprotein particle binding activity, and low-density lipoprotein particle receptor activity. Involved in several processes, including lipid transport, regulation of inflammatory response, and regulation of lipid metabolic process. Acts upstream of or within several processes, including cholesterol homeostasis, lipoprotein catabolic process, and low-density lipoprotein particle clearance.</w:t>
            </w:r>
          </w:p>
          <w:p w14:paraId="36E935C0"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42A3DF5D" w14:textId="77777777" w:rsidTr="00F32FEF">
        <w:trPr>
          <w:trHeight w:val="288"/>
        </w:trPr>
        <w:tc>
          <w:tcPr>
            <w:tcW w:w="854" w:type="pct"/>
            <w:noWrap/>
          </w:tcPr>
          <w:p w14:paraId="79770547"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Gnpda1</w:t>
            </w:r>
          </w:p>
        </w:tc>
        <w:tc>
          <w:tcPr>
            <w:tcW w:w="1194" w:type="pct"/>
            <w:noWrap/>
          </w:tcPr>
          <w:p w14:paraId="66126449"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glucosamine-6-phosphate deaminase 1</w:t>
            </w:r>
          </w:p>
        </w:tc>
        <w:tc>
          <w:tcPr>
            <w:tcW w:w="2952" w:type="pct"/>
            <w:noWrap/>
          </w:tcPr>
          <w:p w14:paraId="6A9E2925"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Predicted to enable glucosamine-6-phosphate deaminase activity and identical protein binding activity. Predicted to be involved in UDP-N-acetylglucosamine biosynthetic process, amino sugar catabolic process, and generation of precursor metabolites and energy. Predicted to act upstream of or within fructose 6-phosphate metabolic process, fructose biosynthetic process, and glucosamine metabolic process.</w:t>
            </w:r>
          </w:p>
          <w:p w14:paraId="509D6E78"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071853E2" w14:textId="77777777" w:rsidTr="00F32FEF">
        <w:trPr>
          <w:trHeight w:val="288"/>
        </w:trPr>
        <w:tc>
          <w:tcPr>
            <w:tcW w:w="854" w:type="pct"/>
            <w:noWrap/>
          </w:tcPr>
          <w:p w14:paraId="23BCD099"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Dnm3</w:t>
            </w:r>
          </w:p>
        </w:tc>
        <w:tc>
          <w:tcPr>
            <w:tcW w:w="1194" w:type="pct"/>
            <w:noWrap/>
          </w:tcPr>
          <w:p w14:paraId="1D9B40F2"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dynamin 3</w:t>
            </w:r>
          </w:p>
        </w:tc>
        <w:tc>
          <w:tcPr>
            <w:tcW w:w="2952" w:type="pct"/>
            <w:noWrap/>
          </w:tcPr>
          <w:p w14:paraId="681742B4"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 xml:space="preserve">Predicted to enable several functions, including G protein-coupled glutamate receptor binding activity, GTPase activity, and nitric-oxide synthase binding activity. Predicted to be a structural constituent of </w:t>
            </w:r>
            <w:proofErr w:type="spellStart"/>
            <w:r w:rsidRPr="00A520EA">
              <w:rPr>
                <w:rFonts w:ascii="Times New Roman" w:eastAsia="等线" w:hAnsi="Times New Roman" w:cs="Times New Roman"/>
                <w:color w:val="000000"/>
                <w:sz w:val="18"/>
                <w:szCs w:val="18"/>
              </w:rPr>
              <w:t>postsynapse</w:t>
            </w:r>
            <w:proofErr w:type="spellEnd"/>
            <w:r w:rsidRPr="00A520EA">
              <w:rPr>
                <w:rFonts w:ascii="Times New Roman" w:eastAsia="等线" w:hAnsi="Times New Roman" w:cs="Times New Roman"/>
                <w:color w:val="000000"/>
                <w:sz w:val="18"/>
                <w:szCs w:val="18"/>
              </w:rPr>
              <w:t>. Involved in synaptic vesicle budding from presynaptic endocytic zone membrane.</w:t>
            </w:r>
          </w:p>
          <w:p w14:paraId="5F66D578"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0A2E9400" w14:textId="77777777" w:rsidTr="00F32FEF">
        <w:trPr>
          <w:trHeight w:val="288"/>
        </w:trPr>
        <w:tc>
          <w:tcPr>
            <w:tcW w:w="854" w:type="pct"/>
            <w:noWrap/>
          </w:tcPr>
          <w:p w14:paraId="4B56BF2C"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Ksr2</w:t>
            </w:r>
          </w:p>
        </w:tc>
        <w:tc>
          <w:tcPr>
            <w:tcW w:w="1194" w:type="pct"/>
            <w:noWrap/>
          </w:tcPr>
          <w:p w14:paraId="59F0CC0E"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 xml:space="preserve">kinase suppressor of </w:t>
            </w:r>
            <w:proofErr w:type="spellStart"/>
            <w:r w:rsidRPr="00A520EA">
              <w:rPr>
                <w:rFonts w:ascii="Times New Roman" w:eastAsia="等线" w:hAnsi="Times New Roman" w:cs="Times New Roman"/>
                <w:color w:val="000000"/>
                <w:sz w:val="18"/>
                <w:szCs w:val="18"/>
              </w:rPr>
              <w:t>ras</w:t>
            </w:r>
            <w:proofErr w:type="spellEnd"/>
            <w:r w:rsidRPr="00A520EA">
              <w:rPr>
                <w:rFonts w:ascii="Times New Roman" w:eastAsia="等线" w:hAnsi="Times New Roman" w:cs="Times New Roman"/>
                <w:color w:val="000000"/>
                <w:sz w:val="18"/>
                <w:szCs w:val="18"/>
              </w:rPr>
              <w:t xml:space="preserve"> 2</w:t>
            </w:r>
          </w:p>
        </w:tc>
        <w:tc>
          <w:tcPr>
            <w:tcW w:w="2952" w:type="pct"/>
            <w:noWrap/>
          </w:tcPr>
          <w:p w14:paraId="05D12376"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 xml:space="preserve">Enables MAP-kinase scaffold activity and mitogen-activated protein kinase </w:t>
            </w:r>
            <w:proofErr w:type="spellStart"/>
            <w:r w:rsidRPr="00A520EA">
              <w:rPr>
                <w:rFonts w:ascii="Times New Roman" w:eastAsia="等线" w:hAnsi="Times New Roman" w:cs="Times New Roman"/>
                <w:color w:val="000000"/>
                <w:sz w:val="18"/>
                <w:szCs w:val="18"/>
              </w:rPr>
              <w:t>kinase</w:t>
            </w:r>
            <w:proofErr w:type="spellEnd"/>
            <w:r w:rsidRPr="00A520EA">
              <w:rPr>
                <w:rFonts w:ascii="Times New Roman" w:eastAsia="等线" w:hAnsi="Times New Roman" w:cs="Times New Roman"/>
                <w:color w:val="000000"/>
                <w:sz w:val="18"/>
                <w:szCs w:val="18"/>
              </w:rPr>
              <w:t xml:space="preserve"> binding activity. Involved in positive regulation of cold-induced thermogenesis. Acts upstream of or within calcium-mediated signaling and positive regulation of MAPK cascade.</w:t>
            </w:r>
          </w:p>
          <w:p w14:paraId="434A0856" w14:textId="77777777" w:rsidR="00BA3DE1" w:rsidRPr="00A520EA" w:rsidRDefault="00BA3DE1" w:rsidP="00F32FEF">
            <w:pPr>
              <w:widowControl/>
              <w:snapToGrid w:val="0"/>
              <w:jc w:val="left"/>
              <w:rPr>
                <w:rFonts w:ascii="Times New Roman" w:eastAsia="等线" w:hAnsi="Times New Roman" w:cs="Times New Roman"/>
                <w:color w:val="000000"/>
                <w:sz w:val="18"/>
                <w:szCs w:val="18"/>
              </w:rPr>
            </w:pPr>
          </w:p>
        </w:tc>
      </w:tr>
      <w:tr w:rsidR="00BA3DE1" w:rsidRPr="00A520EA" w14:paraId="72B4B7B5" w14:textId="77777777" w:rsidTr="00F32FEF">
        <w:trPr>
          <w:trHeight w:val="288"/>
        </w:trPr>
        <w:tc>
          <w:tcPr>
            <w:tcW w:w="854" w:type="pct"/>
            <w:noWrap/>
          </w:tcPr>
          <w:p w14:paraId="37F085CA" w14:textId="77777777" w:rsidR="00BA3DE1" w:rsidRPr="00A520EA" w:rsidRDefault="00BA3DE1" w:rsidP="00F32FEF">
            <w:pPr>
              <w:widowControl/>
              <w:snapToGrid w:val="0"/>
              <w:ind w:firstLineChars="163" w:firstLine="293"/>
              <w:jc w:val="center"/>
              <w:rPr>
                <w:rFonts w:ascii="Times New Roman" w:eastAsia="等线" w:hAnsi="Times New Roman" w:cs="Times New Roman"/>
                <w:b/>
                <w:bCs/>
                <w:i/>
                <w:iCs/>
                <w:color w:val="000000"/>
                <w:sz w:val="18"/>
                <w:szCs w:val="18"/>
              </w:rPr>
            </w:pPr>
            <w:r w:rsidRPr="00A520EA">
              <w:rPr>
                <w:rFonts w:ascii="Times New Roman" w:eastAsia="等线" w:hAnsi="Times New Roman" w:cs="Times New Roman"/>
                <w:b/>
                <w:bCs/>
                <w:i/>
                <w:iCs/>
                <w:color w:val="000000"/>
                <w:sz w:val="18"/>
                <w:szCs w:val="18"/>
              </w:rPr>
              <w:t>Abca1</w:t>
            </w:r>
          </w:p>
        </w:tc>
        <w:tc>
          <w:tcPr>
            <w:tcW w:w="1194" w:type="pct"/>
            <w:noWrap/>
          </w:tcPr>
          <w:p w14:paraId="21495C4B" w14:textId="77777777" w:rsidR="00BA3DE1" w:rsidRPr="00A520EA" w:rsidRDefault="00BA3DE1" w:rsidP="00F32FEF">
            <w:pPr>
              <w:widowControl/>
              <w:snapToGrid w:val="0"/>
              <w:ind w:firstLineChars="163" w:firstLine="293"/>
              <w:jc w:val="center"/>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ATP-binding cassette, sub-family A member 1</w:t>
            </w:r>
          </w:p>
        </w:tc>
        <w:tc>
          <w:tcPr>
            <w:tcW w:w="2952" w:type="pct"/>
            <w:noWrap/>
          </w:tcPr>
          <w:p w14:paraId="16666EC8" w14:textId="77777777" w:rsidR="00BA3DE1" w:rsidRPr="00A520EA" w:rsidRDefault="00BA3DE1" w:rsidP="00F32FEF">
            <w:pPr>
              <w:widowControl/>
              <w:snapToGrid w:val="0"/>
              <w:ind w:firstLineChars="163" w:firstLine="293"/>
              <w:jc w:val="left"/>
              <w:rPr>
                <w:rFonts w:ascii="Times New Roman" w:eastAsia="等线" w:hAnsi="Times New Roman" w:cs="Times New Roman"/>
                <w:color w:val="000000"/>
                <w:sz w:val="18"/>
                <w:szCs w:val="18"/>
              </w:rPr>
            </w:pPr>
            <w:r w:rsidRPr="00A520EA">
              <w:rPr>
                <w:rFonts w:ascii="Times New Roman" w:eastAsia="等线" w:hAnsi="Times New Roman" w:cs="Times New Roman"/>
                <w:color w:val="000000"/>
                <w:sz w:val="18"/>
                <w:szCs w:val="18"/>
              </w:rPr>
              <w:t>The membrane-associated protein encoded by this gene is a member of the superfamily of ATP-binding cassette (ABC) transporters. ABC proteins transport various molecules across extra- and intracellular membranes. In humans, this protein functions as a cholesterol efflux pump in the cellular lipid removal pathway. Mutations in the human gene have been associated with Tangier's disease and familial HDL deficiency.</w:t>
            </w:r>
          </w:p>
        </w:tc>
      </w:tr>
    </w:tbl>
    <w:p w14:paraId="069AA7C9" w14:textId="77777777" w:rsidR="00912903" w:rsidRPr="00BA3DE1" w:rsidRDefault="00912903"/>
    <w:sectPr w:rsidR="00912903" w:rsidRPr="00BA3D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2955A" w14:textId="77777777" w:rsidR="00BD3177" w:rsidRDefault="00BD3177" w:rsidP="00BA3DE1">
      <w:r>
        <w:separator/>
      </w:r>
    </w:p>
  </w:endnote>
  <w:endnote w:type="continuationSeparator" w:id="0">
    <w:p w14:paraId="3FBA13ED" w14:textId="77777777" w:rsidR="00BD3177" w:rsidRDefault="00BD3177" w:rsidP="00BA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166F" w14:textId="77777777" w:rsidR="00BD3177" w:rsidRDefault="00BD3177" w:rsidP="00BA3DE1">
      <w:r>
        <w:separator/>
      </w:r>
    </w:p>
  </w:footnote>
  <w:footnote w:type="continuationSeparator" w:id="0">
    <w:p w14:paraId="5EFB5619" w14:textId="77777777" w:rsidR="00BD3177" w:rsidRDefault="00BD3177" w:rsidP="00BA3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DC"/>
    <w:rsid w:val="00224BDC"/>
    <w:rsid w:val="00912903"/>
    <w:rsid w:val="00BA3DE1"/>
    <w:rsid w:val="00BD3177"/>
    <w:rsid w:val="00FB1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778A8"/>
  <w15:chartTrackingRefBased/>
  <w15:docId w15:val="{AE903E9D-E63C-48F6-924C-007FC8A9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D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DE1"/>
    <w:pPr>
      <w:tabs>
        <w:tab w:val="center" w:pos="4153"/>
        <w:tab w:val="right" w:pos="8306"/>
      </w:tabs>
      <w:snapToGrid w:val="0"/>
      <w:jc w:val="center"/>
    </w:pPr>
    <w:rPr>
      <w:sz w:val="18"/>
      <w:szCs w:val="18"/>
    </w:rPr>
  </w:style>
  <w:style w:type="character" w:customStyle="1" w:styleId="a4">
    <w:name w:val="页眉 字符"/>
    <w:basedOn w:val="a0"/>
    <w:link w:val="a3"/>
    <w:uiPriority w:val="99"/>
    <w:rsid w:val="00BA3DE1"/>
    <w:rPr>
      <w:sz w:val="18"/>
      <w:szCs w:val="18"/>
    </w:rPr>
  </w:style>
  <w:style w:type="paragraph" w:styleId="a5">
    <w:name w:val="footer"/>
    <w:basedOn w:val="a"/>
    <w:link w:val="a6"/>
    <w:uiPriority w:val="99"/>
    <w:unhideWhenUsed/>
    <w:rsid w:val="00BA3DE1"/>
    <w:pPr>
      <w:tabs>
        <w:tab w:val="center" w:pos="4153"/>
        <w:tab w:val="right" w:pos="8306"/>
      </w:tabs>
      <w:snapToGrid w:val="0"/>
      <w:jc w:val="left"/>
    </w:pPr>
    <w:rPr>
      <w:sz w:val="18"/>
      <w:szCs w:val="18"/>
    </w:rPr>
  </w:style>
  <w:style w:type="character" w:customStyle="1" w:styleId="a6">
    <w:name w:val="页脚 字符"/>
    <w:basedOn w:val="a0"/>
    <w:link w:val="a5"/>
    <w:uiPriority w:val="99"/>
    <w:rsid w:val="00BA3DE1"/>
    <w:rPr>
      <w:sz w:val="18"/>
      <w:szCs w:val="18"/>
    </w:rPr>
  </w:style>
  <w:style w:type="table" w:styleId="a7">
    <w:name w:val="Table Grid"/>
    <w:basedOn w:val="a1"/>
    <w:autoRedefine/>
    <w:uiPriority w:val="39"/>
    <w:qFormat/>
    <w:rsid w:val="00BA3DE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枝霖 欧</dc:creator>
  <cp:keywords/>
  <dc:description/>
  <cp:lastModifiedBy>枝霖 欧</cp:lastModifiedBy>
  <cp:revision>2</cp:revision>
  <dcterms:created xsi:type="dcterms:W3CDTF">2024-01-29T14:36:00Z</dcterms:created>
  <dcterms:modified xsi:type="dcterms:W3CDTF">2024-01-29T14:36:00Z</dcterms:modified>
</cp:coreProperties>
</file>