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155E95" w14:textId="3D776F65" w:rsidR="00B146C5" w:rsidRDefault="00082F72" w:rsidP="00082F72">
      <w:pPr>
        <w:pStyle w:val="TESupportingInformation"/>
        <w:spacing w:after="240"/>
        <w:ind w:firstLine="0"/>
        <w:jc w:val="left"/>
      </w:pPr>
      <w:r>
        <w:rPr>
          <w:b/>
          <w:bCs/>
        </w:rPr>
        <w:t>[Additional Figures]</w:t>
      </w:r>
    </w:p>
    <w:p w14:paraId="77DA56BD" w14:textId="77777777" w:rsidR="00E30846" w:rsidRDefault="00E30846" w:rsidP="00E30846">
      <w:pPr>
        <w:pStyle w:val="TESupportingInformation"/>
        <w:spacing w:after="240"/>
        <w:ind w:firstLine="0"/>
        <w:jc w:val="center"/>
      </w:pPr>
      <w:r w:rsidRPr="00C90E9F">
        <w:rPr>
          <w:rFonts w:ascii="Times New Roman"/>
          <w:b/>
          <w:noProof/>
          <w:szCs w:val="24"/>
        </w:rPr>
        <w:drawing>
          <wp:inline distT="0" distB="0" distL="0" distR="0" wp14:anchorId="2B1E24CD" wp14:editId="2DFC4E68">
            <wp:extent cx="3246503" cy="4452731"/>
            <wp:effectExtent l="0" t="0" r="0" b="508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58B84E7A-8A17-46CA-9869-7B01A1F352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58B84E7A-8A17-46CA-9869-7B01A1F352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74842" cy="449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E7DFC" w14:textId="6B0ABEE7" w:rsidR="0079079D" w:rsidRPr="0033299B" w:rsidRDefault="0079079D" w:rsidP="0079079D">
      <w:pPr>
        <w:pStyle w:val="TESupportingInformation"/>
        <w:spacing w:after="240"/>
        <w:ind w:firstLine="0"/>
        <w:jc w:val="left"/>
        <w:rPr>
          <w:b/>
        </w:rPr>
      </w:pPr>
      <w:r w:rsidRPr="0033299B">
        <w:rPr>
          <w:b/>
        </w:rPr>
        <w:t>Fig</w:t>
      </w:r>
      <w:r w:rsidR="00CA5BE7">
        <w:rPr>
          <w:b/>
          <w:lang w:eastAsia="ko-KR"/>
        </w:rPr>
        <w:t>.</w:t>
      </w:r>
      <w:r w:rsidRPr="0033299B">
        <w:rPr>
          <w:b/>
        </w:rPr>
        <w:t xml:space="preserve"> </w:t>
      </w:r>
      <w:r w:rsidR="0033299B" w:rsidRPr="0033299B">
        <w:rPr>
          <w:b/>
        </w:rPr>
        <w:t>S</w:t>
      </w:r>
      <w:r w:rsidRPr="0033299B">
        <w:rPr>
          <w:b/>
        </w:rPr>
        <w:t>1. Overall procedure of experiment.</w:t>
      </w:r>
    </w:p>
    <w:p w14:paraId="0E73E0A0" w14:textId="77777777" w:rsidR="0079079D" w:rsidRPr="0079079D" w:rsidRDefault="0079079D" w:rsidP="0078047F">
      <w:pPr>
        <w:pStyle w:val="TESupportingInformation"/>
        <w:spacing w:after="240"/>
        <w:ind w:firstLine="0"/>
      </w:pPr>
      <w:r w:rsidRPr="0079079D">
        <w:t xml:space="preserve">In the first experiment, pregnant mice were exposed to an indicated concentration of MSCS from day 6 to day 17 of gestation using a nose-only exposure system. Male offspring mice were injected with APAP to induce ALI. In the second study, pregnant mice were exposed to MSCS at 0 or 600 μg/L using the same method. These male offspring mice received either the </w:t>
      </w:r>
      <w:proofErr w:type="spellStart"/>
      <w:r w:rsidRPr="0079079D">
        <w:t>miR</w:t>
      </w:r>
      <w:proofErr w:type="spellEnd"/>
      <w:r w:rsidRPr="0079079D">
        <w:t>-mock or miR-34a-5p mimic at 24 hours before APAP treatment. Samples were then collected at 24 hours after APAP injection.</w:t>
      </w:r>
    </w:p>
    <w:tbl>
      <w:tblPr>
        <w:tblStyle w:val="ad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2"/>
        <w:gridCol w:w="7160"/>
      </w:tblGrid>
      <w:tr w:rsidR="0033299B" w14:paraId="2CC9CD57" w14:textId="77777777" w:rsidTr="00CC1CD2">
        <w:trPr>
          <w:trHeight w:val="3901"/>
        </w:trPr>
        <w:tc>
          <w:tcPr>
            <w:tcW w:w="732" w:type="dxa"/>
          </w:tcPr>
          <w:p w14:paraId="0E7D16D2" w14:textId="77777777" w:rsidR="0033299B" w:rsidRPr="006F25D4" w:rsidRDefault="0033299B" w:rsidP="00CC1CD2">
            <w:pPr>
              <w:pStyle w:val="ac"/>
              <w:wordWrap/>
              <w:adjustRightInd/>
              <w:spacing w:line="480" w:lineRule="auto"/>
              <w:rPr>
                <w:rFonts w:ascii="Times New Roman" w:eastAsiaTheme="minorEastAsia"/>
                <w:b/>
                <w:sz w:val="32"/>
                <w:szCs w:val="24"/>
              </w:rPr>
            </w:pPr>
            <w:r w:rsidRPr="006F25D4">
              <w:rPr>
                <w:rFonts w:ascii="Times New Roman" w:eastAsiaTheme="minorEastAsia"/>
                <w:b/>
                <w:sz w:val="32"/>
                <w:szCs w:val="24"/>
              </w:rPr>
              <w:lastRenderedPageBreak/>
              <w:t>A</w:t>
            </w:r>
          </w:p>
        </w:tc>
        <w:tc>
          <w:tcPr>
            <w:tcW w:w="7160" w:type="dxa"/>
          </w:tcPr>
          <w:p w14:paraId="6FE12EB5" w14:textId="77777777" w:rsidR="0033299B" w:rsidRDefault="00E83A3D" w:rsidP="00CC1CD2">
            <w:pPr>
              <w:pStyle w:val="ac"/>
              <w:spacing w:line="480" w:lineRule="auto"/>
              <w:rPr>
                <w:rFonts w:ascii="Times New Roman" w:eastAsiaTheme="minorEastAsia"/>
                <w:b/>
                <w:sz w:val="24"/>
                <w:szCs w:val="24"/>
              </w:rPr>
            </w:pPr>
            <w:r w:rsidRPr="00E83A3D">
              <w:rPr>
                <w:rFonts w:ascii="Times New Roman" w:eastAsiaTheme="minorEastAsia"/>
                <w:b/>
                <w:noProof/>
                <w:sz w:val="24"/>
                <w:szCs w:val="24"/>
              </w:rPr>
              <w:drawing>
                <wp:inline distT="0" distB="0" distL="0" distR="0" wp14:anchorId="684A4312" wp14:editId="03FBED0C">
                  <wp:extent cx="4067175" cy="2576998"/>
                  <wp:effectExtent l="0" t="0" r="0" b="0"/>
                  <wp:docPr id="6" name="그림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88286A-2F0F-4F6E-936E-616039F48D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>
                            <a:extLst>
                              <a:ext uri="{FF2B5EF4-FFF2-40B4-BE49-F238E27FC236}">
                                <a16:creationId xmlns:a16="http://schemas.microsoft.com/office/drawing/2014/main" id="{FB88286A-2F0F-4F6E-936E-616039F48D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5643" cy="258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299B" w14:paraId="3EECCA11" w14:textId="77777777" w:rsidTr="00CC1CD2">
        <w:trPr>
          <w:trHeight w:val="2467"/>
        </w:trPr>
        <w:tc>
          <w:tcPr>
            <w:tcW w:w="732" w:type="dxa"/>
          </w:tcPr>
          <w:p w14:paraId="54D7588C" w14:textId="77777777" w:rsidR="0033299B" w:rsidRPr="006F25D4" w:rsidRDefault="0033299B" w:rsidP="00CC1CD2">
            <w:pPr>
              <w:pStyle w:val="ac"/>
              <w:wordWrap/>
              <w:adjustRightInd/>
              <w:spacing w:line="480" w:lineRule="auto"/>
              <w:jc w:val="left"/>
              <w:rPr>
                <w:rFonts w:ascii="Times New Roman" w:eastAsiaTheme="minorEastAsia"/>
                <w:b/>
                <w:noProof/>
                <w:color w:val="auto"/>
                <w:sz w:val="32"/>
              </w:rPr>
            </w:pPr>
            <w:r w:rsidRPr="006F25D4">
              <w:rPr>
                <w:rFonts w:ascii="Times New Roman" w:eastAsiaTheme="minorEastAsia"/>
                <w:b/>
                <w:noProof/>
                <w:color w:val="auto"/>
                <w:sz w:val="32"/>
              </w:rPr>
              <w:t>B</w:t>
            </w:r>
          </w:p>
        </w:tc>
        <w:tc>
          <w:tcPr>
            <w:tcW w:w="7160" w:type="dxa"/>
          </w:tcPr>
          <w:p w14:paraId="646CD9CF" w14:textId="77777777" w:rsidR="0033299B" w:rsidRDefault="00D1201E" w:rsidP="00CC1CD2">
            <w:pPr>
              <w:pStyle w:val="ac"/>
              <w:spacing w:line="480" w:lineRule="auto"/>
              <w:rPr>
                <w:rFonts w:ascii="Times New Roman" w:eastAsiaTheme="minorEastAsia"/>
                <w:b/>
                <w:sz w:val="24"/>
                <w:szCs w:val="24"/>
              </w:rPr>
            </w:pPr>
            <w:r w:rsidRPr="00D1201E">
              <w:rPr>
                <w:rFonts w:ascii="Times New Roman" w:eastAsiaTheme="minorEastAsia"/>
                <w:b/>
                <w:noProof/>
                <w:sz w:val="24"/>
                <w:szCs w:val="24"/>
              </w:rPr>
              <w:drawing>
                <wp:inline distT="0" distB="0" distL="0" distR="0" wp14:anchorId="72C1A139" wp14:editId="09530CEF">
                  <wp:extent cx="3790950" cy="2601823"/>
                  <wp:effectExtent l="0" t="0" r="0" b="825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4672" cy="2611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10CF49" w14:textId="78CE539B" w:rsidR="0079079D" w:rsidRPr="0033299B" w:rsidRDefault="0079079D" w:rsidP="0079079D">
      <w:pPr>
        <w:pStyle w:val="TESupportingInformation"/>
        <w:spacing w:after="240"/>
        <w:ind w:firstLine="0"/>
        <w:jc w:val="left"/>
        <w:rPr>
          <w:b/>
        </w:rPr>
      </w:pPr>
      <w:r w:rsidRPr="0033299B">
        <w:rPr>
          <w:b/>
        </w:rPr>
        <w:t>Fig</w:t>
      </w:r>
      <w:r w:rsidR="00CA5BE7">
        <w:rPr>
          <w:b/>
        </w:rPr>
        <w:t>.</w:t>
      </w:r>
      <w:r w:rsidRPr="0033299B">
        <w:rPr>
          <w:b/>
        </w:rPr>
        <w:t xml:space="preserve"> </w:t>
      </w:r>
      <w:r w:rsidR="0033299B" w:rsidRPr="0033299B">
        <w:rPr>
          <w:b/>
        </w:rPr>
        <w:t>S</w:t>
      </w:r>
      <w:r w:rsidRPr="0033299B">
        <w:rPr>
          <w:b/>
        </w:rPr>
        <w:t>2. Relative mRNA expression of miR-34a-5p.</w:t>
      </w:r>
    </w:p>
    <w:p w14:paraId="28ECE695" w14:textId="77777777" w:rsidR="0033299B" w:rsidRPr="00EA208E" w:rsidRDefault="0079079D" w:rsidP="0078047F">
      <w:pPr>
        <w:pStyle w:val="TESupportingInformation"/>
        <w:spacing w:after="240"/>
        <w:ind w:firstLine="0"/>
      </w:pPr>
      <w:r w:rsidRPr="0079079D">
        <w:t xml:space="preserve">(A) Mice were injected with PBS, </w:t>
      </w:r>
      <w:proofErr w:type="spellStart"/>
      <w:r w:rsidRPr="0079079D">
        <w:t>miR</w:t>
      </w:r>
      <w:proofErr w:type="spellEnd"/>
      <w:r w:rsidRPr="0079079D">
        <w:t xml:space="preserve">-mock, or different doses of miR-34a-5p mimic to assess hepatic expression levels of miR-34a-5p. Data are presented as mean ± SD. * </w:t>
      </w:r>
      <w:r w:rsidRPr="008F340F">
        <w:rPr>
          <w:i/>
        </w:rPr>
        <w:t>p</w:t>
      </w:r>
      <w:r w:rsidRPr="0079079D">
        <w:t xml:space="preserve"> &lt; 0.05, *** </w:t>
      </w:r>
      <w:r w:rsidRPr="008F340F">
        <w:rPr>
          <w:i/>
        </w:rPr>
        <w:t>p</w:t>
      </w:r>
      <w:r w:rsidRPr="0079079D">
        <w:t xml:space="preserve"> &lt; 0.001 versus the PBS group. (B) After injection of APAP (300 mg/kg) and miR-34a-5p mimic (1 nmol) into offspring mice exposed to prenatal MSCS, levels of miR-34a-5p were determined. Data are presented as mean ± SD. *** </w:t>
      </w:r>
      <w:r w:rsidRPr="008F340F">
        <w:rPr>
          <w:i/>
        </w:rPr>
        <w:t>p</w:t>
      </w:r>
      <w:r w:rsidRPr="0079079D">
        <w:t xml:space="preserve"> &lt; 0.001 versus the </w:t>
      </w:r>
      <w:proofErr w:type="spellStart"/>
      <w:r w:rsidRPr="0079079D">
        <w:t>miR</w:t>
      </w:r>
      <w:proofErr w:type="spellEnd"/>
      <w:r w:rsidRPr="0079079D">
        <w:t xml:space="preserve">-mock group of the Cont group. ## </w:t>
      </w:r>
      <w:r w:rsidRPr="008F340F">
        <w:rPr>
          <w:i/>
        </w:rPr>
        <w:t>p</w:t>
      </w:r>
      <w:r w:rsidRPr="0079079D">
        <w:t xml:space="preserve"> &lt; 0.01 versus the </w:t>
      </w:r>
      <w:proofErr w:type="spellStart"/>
      <w:r w:rsidRPr="0079079D">
        <w:t>miR</w:t>
      </w:r>
      <w:proofErr w:type="spellEnd"/>
      <w:r w:rsidRPr="0079079D">
        <w:t>-mock group of the CS600 group.</w:t>
      </w:r>
    </w:p>
    <w:tbl>
      <w:tblPr>
        <w:tblStyle w:val="ad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2"/>
        <w:gridCol w:w="7160"/>
      </w:tblGrid>
      <w:tr w:rsidR="0033299B" w14:paraId="00F2D0C3" w14:textId="77777777" w:rsidTr="00CC1CD2">
        <w:trPr>
          <w:trHeight w:val="3901"/>
        </w:trPr>
        <w:tc>
          <w:tcPr>
            <w:tcW w:w="732" w:type="dxa"/>
          </w:tcPr>
          <w:p w14:paraId="2356AB69" w14:textId="77777777" w:rsidR="0033299B" w:rsidRPr="006F25D4" w:rsidRDefault="0033299B" w:rsidP="00CC1CD2">
            <w:pPr>
              <w:pStyle w:val="ac"/>
              <w:wordWrap/>
              <w:adjustRightInd/>
              <w:spacing w:line="480" w:lineRule="auto"/>
              <w:rPr>
                <w:rFonts w:ascii="Times New Roman" w:eastAsiaTheme="minorEastAsia"/>
                <w:b/>
                <w:sz w:val="32"/>
                <w:szCs w:val="24"/>
              </w:rPr>
            </w:pPr>
            <w:r w:rsidRPr="006F25D4">
              <w:rPr>
                <w:rFonts w:ascii="Times New Roman" w:eastAsiaTheme="minorEastAsia"/>
                <w:b/>
                <w:sz w:val="32"/>
                <w:szCs w:val="24"/>
              </w:rPr>
              <w:lastRenderedPageBreak/>
              <w:t>A</w:t>
            </w:r>
          </w:p>
        </w:tc>
        <w:tc>
          <w:tcPr>
            <w:tcW w:w="7160" w:type="dxa"/>
          </w:tcPr>
          <w:p w14:paraId="4EFAA759" w14:textId="77777777" w:rsidR="0033299B" w:rsidRDefault="00EA208E" w:rsidP="00CC1CD2">
            <w:pPr>
              <w:pStyle w:val="ac"/>
              <w:spacing w:line="480" w:lineRule="auto"/>
              <w:rPr>
                <w:rFonts w:ascii="Times New Roman" w:eastAsiaTheme="minorEastAsia"/>
                <w:b/>
                <w:sz w:val="24"/>
                <w:szCs w:val="24"/>
              </w:rPr>
            </w:pPr>
            <w:r w:rsidRPr="00EA208E">
              <w:rPr>
                <w:rFonts w:ascii="Times New Roman" w:eastAsiaTheme="minorEastAsia"/>
                <w:b/>
                <w:noProof/>
                <w:sz w:val="24"/>
                <w:szCs w:val="24"/>
              </w:rPr>
              <w:drawing>
                <wp:inline distT="0" distB="0" distL="0" distR="0" wp14:anchorId="5223DECD" wp14:editId="45273E3B">
                  <wp:extent cx="3885747" cy="2714625"/>
                  <wp:effectExtent l="0" t="0" r="635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0051" cy="2717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299B" w14:paraId="00FA62D1" w14:textId="77777777" w:rsidTr="00CC1CD2">
        <w:trPr>
          <w:trHeight w:val="2467"/>
        </w:trPr>
        <w:tc>
          <w:tcPr>
            <w:tcW w:w="732" w:type="dxa"/>
          </w:tcPr>
          <w:p w14:paraId="7E3F6AA1" w14:textId="77777777" w:rsidR="0033299B" w:rsidRPr="006F25D4" w:rsidRDefault="0033299B" w:rsidP="00CC1CD2">
            <w:pPr>
              <w:pStyle w:val="ac"/>
              <w:wordWrap/>
              <w:adjustRightInd/>
              <w:spacing w:line="480" w:lineRule="auto"/>
              <w:jc w:val="left"/>
              <w:rPr>
                <w:rFonts w:ascii="Times New Roman" w:eastAsiaTheme="minorEastAsia"/>
                <w:b/>
                <w:noProof/>
                <w:color w:val="auto"/>
                <w:sz w:val="32"/>
              </w:rPr>
            </w:pPr>
            <w:r w:rsidRPr="006F25D4">
              <w:rPr>
                <w:rFonts w:ascii="Times New Roman" w:eastAsiaTheme="minorEastAsia"/>
                <w:b/>
                <w:noProof/>
                <w:color w:val="auto"/>
                <w:sz w:val="32"/>
              </w:rPr>
              <w:t>B</w:t>
            </w:r>
          </w:p>
        </w:tc>
        <w:tc>
          <w:tcPr>
            <w:tcW w:w="7160" w:type="dxa"/>
          </w:tcPr>
          <w:p w14:paraId="61EA9F9E" w14:textId="77777777" w:rsidR="0033299B" w:rsidRDefault="00EA208E" w:rsidP="00CC1CD2">
            <w:pPr>
              <w:pStyle w:val="ac"/>
              <w:spacing w:line="480" w:lineRule="auto"/>
              <w:rPr>
                <w:rFonts w:ascii="Times New Roman" w:eastAsiaTheme="minorEastAsia"/>
                <w:b/>
                <w:sz w:val="24"/>
                <w:szCs w:val="24"/>
              </w:rPr>
            </w:pPr>
            <w:r w:rsidRPr="00EA208E">
              <w:rPr>
                <w:rFonts w:ascii="Times New Roman" w:eastAsiaTheme="minorEastAsia"/>
                <w:b/>
                <w:noProof/>
                <w:sz w:val="24"/>
                <w:szCs w:val="24"/>
              </w:rPr>
              <w:drawing>
                <wp:inline distT="0" distB="0" distL="0" distR="0" wp14:anchorId="0D8B3C85" wp14:editId="319D810D">
                  <wp:extent cx="3752850" cy="2413692"/>
                  <wp:effectExtent l="0" t="0" r="0" b="5715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3733" cy="2427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ADAD6A" w14:textId="127FBAC3" w:rsidR="0079079D" w:rsidRPr="0033299B" w:rsidRDefault="0079079D" w:rsidP="0079079D">
      <w:pPr>
        <w:pStyle w:val="TESupportingInformation"/>
        <w:spacing w:after="240"/>
        <w:ind w:firstLine="0"/>
        <w:jc w:val="left"/>
      </w:pPr>
      <w:r w:rsidRPr="0033299B">
        <w:rPr>
          <w:b/>
        </w:rPr>
        <w:t>Fig</w:t>
      </w:r>
      <w:r w:rsidR="00CA5BE7">
        <w:rPr>
          <w:b/>
        </w:rPr>
        <w:t>.</w:t>
      </w:r>
      <w:r w:rsidRPr="0033299B">
        <w:rPr>
          <w:b/>
        </w:rPr>
        <w:t xml:space="preserve"> </w:t>
      </w:r>
      <w:r w:rsidR="0033299B" w:rsidRPr="0033299B">
        <w:rPr>
          <w:b/>
        </w:rPr>
        <w:t>S</w:t>
      </w:r>
      <w:r w:rsidRPr="0033299B">
        <w:rPr>
          <w:b/>
        </w:rPr>
        <w:t>3. Expression levels of miR-34a-5p in primary hepatocytes following treatment with miR-34a-5p mimic.</w:t>
      </w:r>
    </w:p>
    <w:p w14:paraId="41E28BE8" w14:textId="77777777" w:rsidR="009246AD" w:rsidRPr="000D32BE" w:rsidRDefault="0079079D" w:rsidP="0078047F">
      <w:pPr>
        <w:pStyle w:val="TESupportingInformation"/>
        <w:spacing w:after="240"/>
        <w:ind w:firstLine="0"/>
      </w:pPr>
      <w:r w:rsidRPr="0079079D">
        <w:t xml:space="preserve">(A) Primary hepatocytes isolated from mice were treated with various concentrations of miR-34a-5p mimics to overexpress miR-34a-5p. Relative miR-34a-5p expression was significantly increased at doses above 10 </w:t>
      </w:r>
      <w:proofErr w:type="spellStart"/>
      <w:r w:rsidRPr="0079079D">
        <w:t>μM</w:t>
      </w:r>
      <w:proofErr w:type="spellEnd"/>
      <w:r w:rsidRPr="0079079D">
        <w:t xml:space="preserve">. (B) The maximum dose of 30 </w:t>
      </w:r>
      <w:proofErr w:type="spellStart"/>
      <w:r w:rsidRPr="0079079D">
        <w:t>μM</w:t>
      </w:r>
      <w:proofErr w:type="spellEnd"/>
      <w:r w:rsidRPr="0079079D">
        <w:t xml:space="preserve"> mimic did not show cytotoxicity in the LDH assay. Data are presented as mean ± SD. * </w:t>
      </w:r>
      <w:r w:rsidRPr="008F340F">
        <w:rPr>
          <w:i/>
        </w:rPr>
        <w:t>p</w:t>
      </w:r>
      <w:r w:rsidRPr="0079079D">
        <w:t xml:space="preserve"> &lt; 0.05, ** </w:t>
      </w:r>
      <w:r w:rsidRPr="008F340F">
        <w:rPr>
          <w:i/>
        </w:rPr>
        <w:t>p</w:t>
      </w:r>
      <w:r w:rsidRPr="0079079D">
        <w:t xml:space="preserve"> &lt; 0.01 versus the Cont group.</w:t>
      </w:r>
    </w:p>
    <w:sectPr w:rsidR="009246AD" w:rsidRPr="000D32BE" w:rsidSect="00812628">
      <w:footerReference w:type="even" r:id="rId13"/>
      <w:footerReference w:type="default" r:id="rId14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D15131" w14:textId="77777777" w:rsidR="00AB7A9E" w:rsidRDefault="00AB7A9E">
      <w:r>
        <w:separator/>
      </w:r>
    </w:p>
  </w:endnote>
  <w:endnote w:type="continuationSeparator" w:id="0">
    <w:p w14:paraId="387C9B8C" w14:textId="77777777" w:rsidR="00AB7A9E" w:rsidRDefault="00AB7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0FB40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763CE18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59321816"/>
      <w:docPartObj>
        <w:docPartGallery w:val="Page Numbers (Bottom of Page)"/>
        <w:docPartUnique/>
      </w:docPartObj>
    </w:sdtPr>
    <w:sdtEndPr/>
    <w:sdtContent>
      <w:p w14:paraId="714C12AB" w14:textId="77777777" w:rsidR="00E30846" w:rsidRDefault="00E30846">
        <w:pPr>
          <w:pStyle w:val="a7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0E751A71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6C952F" w14:textId="77777777" w:rsidR="00AB7A9E" w:rsidRDefault="00AB7A9E">
      <w:r>
        <w:separator/>
      </w:r>
    </w:p>
  </w:footnote>
  <w:footnote w:type="continuationSeparator" w:id="0">
    <w:p w14:paraId="1DF47CAE" w14:textId="77777777" w:rsidR="00AB7A9E" w:rsidRDefault="00AB7A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A9E"/>
    <w:rsid w:val="000002F2"/>
    <w:rsid w:val="0005647A"/>
    <w:rsid w:val="0005660F"/>
    <w:rsid w:val="000702AD"/>
    <w:rsid w:val="00082F72"/>
    <w:rsid w:val="000B2EEB"/>
    <w:rsid w:val="000B5610"/>
    <w:rsid w:val="000C05CC"/>
    <w:rsid w:val="000D32BE"/>
    <w:rsid w:val="00157102"/>
    <w:rsid w:val="00195ACA"/>
    <w:rsid w:val="001A7A90"/>
    <w:rsid w:val="00212B1D"/>
    <w:rsid w:val="002304A6"/>
    <w:rsid w:val="00271A02"/>
    <w:rsid w:val="0029222A"/>
    <w:rsid w:val="002A7493"/>
    <w:rsid w:val="002C3431"/>
    <w:rsid w:val="002D6B62"/>
    <w:rsid w:val="0031373B"/>
    <w:rsid w:val="00324128"/>
    <w:rsid w:val="0033299B"/>
    <w:rsid w:val="00361E35"/>
    <w:rsid w:val="003664E9"/>
    <w:rsid w:val="00367465"/>
    <w:rsid w:val="003679A1"/>
    <w:rsid w:val="003A42F0"/>
    <w:rsid w:val="003B4AF3"/>
    <w:rsid w:val="003E1F76"/>
    <w:rsid w:val="00475FD2"/>
    <w:rsid w:val="004E283C"/>
    <w:rsid w:val="004E7185"/>
    <w:rsid w:val="005029CC"/>
    <w:rsid w:val="005553EF"/>
    <w:rsid w:val="00567E81"/>
    <w:rsid w:val="00591A57"/>
    <w:rsid w:val="005D0C10"/>
    <w:rsid w:val="006135D2"/>
    <w:rsid w:val="00616361"/>
    <w:rsid w:val="0064081D"/>
    <w:rsid w:val="006455A5"/>
    <w:rsid w:val="00667375"/>
    <w:rsid w:val="00683131"/>
    <w:rsid w:val="006A387B"/>
    <w:rsid w:val="006A3E34"/>
    <w:rsid w:val="006B2581"/>
    <w:rsid w:val="006E2FCB"/>
    <w:rsid w:val="007000D9"/>
    <w:rsid w:val="00716BFF"/>
    <w:rsid w:val="00731997"/>
    <w:rsid w:val="00747701"/>
    <w:rsid w:val="007629D3"/>
    <w:rsid w:val="0078047F"/>
    <w:rsid w:val="0079079D"/>
    <w:rsid w:val="00794616"/>
    <w:rsid w:val="007A11AD"/>
    <w:rsid w:val="008047DE"/>
    <w:rsid w:val="00812628"/>
    <w:rsid w:val="00844476"/>
    <w:rsid w:val="008633FA"/>
    <w:rsid w:val="008655C0"/>
    <w:rsid w:val="008D30F9"/>
    <w:rsid w:val="008D53B2"/>
    <w:rsid w:val="008F340F"/>
    <w:rsid w:val="00912169"/>
    <w:rsid w:val="0092037A"/>
    <w:rsid w:val="009246AD"/>
    <w:rsid w:val="00973086"/>
    <w:rsid w:val="009F2E7E"/>
    <w:rsid w:val="00A02D62"/>
    <w:rsid w:val="00A20EB5"/>
    <w:rsid w:val="00A764EF"/>
    <w:rsid w:val="00AB34C5"/>
    <w:rsid w:val="00AB7A9E"/>
    <w:rsid w:val="00AF4F6D"/>
    <w:rsid w:val="00AF7F6A"/>
    <w:rsid w:val="00B05A88"/>
    <w:rsid w:val="00B146C5"/>
    <w:rsid w:val="00B44641"/>
    <w:rsid w:val="00B7618D"/>
    <w:rsid w:val="00BD2C44"/>
    <w:rsid w:val="00C10EE0"/>
    <w:rsid w:val="00C12556"/>
    <w:rsid w:val="00C55DED"/>
    <w:rsid w:val="00C6170A"/>
    <w:rsid w:val="00CA2288"/>
    <w:rsid w:val="00CA5BE7"/>
    <w:rsid w:val="00D1201E"/>
    <w:rsid w:val="00D318E5"/>
    <w:rsid w:val="00D32E24"/>
    <w:rsid w:val="00DD6DBB"/>
    <w:rsid w:val="00E074F2"/>
    <w:rsid w:val="00E30846"/>
    <w:rsid w:val="00E83A3D"/>
    <w:rsid w:val="00E91482"/>
    <w:rsid w:val="00E96302"/>
    <w:rsid w:val="00EA208E"/>
    <w:rsid w:val="00F134F5"/>
    <w:rsid w:val="00F47B85"/>
    <w:rsid w:val="00F54BDD"/>
    <w:rsid w:val="00F5645C"/>
    <w:rsid w:val="00FA0502"/>
    <w:rsid w:val="00FA1B5B"/>
    <w:rsid w:val="00FD192F"/>
    <w:rsid w:val="00FE6219"/>
    <w:rsid w:val="00FF2D4B"/>
    <w:rsid w:val="00FF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3FD376F"/>
  <w15:docId w15:val="{0B2A6AED-7C3D-4FAD-84F6-BF47A54A3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link w:val="Char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header"/>
    <w:basedOn w:val="a"/>
    <w:link w:val="Char0"/>
    <w:unhideWhenUsed/>
    <w:rsid w:val="006E2F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rsid w:val="006E2FCB"/>
    <w:rPr>
      <w:rFonts w:ascii="Times" w:hAnsi="Times"/>
      <w:sz w:val="24"/>
    </w:rPr>
  </w:style>
  <w:style w:type="character" w:styleId="ab">
    <w:name w:val="line number"/>
    <w:basedOn w:val="a0"/>
    <w:semiHidden/>
    <w:unhideWhenUsed/>
    <w:rsid w:val="0079079D"/>
  </w:style>
  <w:style w:type="character" w:customStyle="1" w:styleId="Char">
    <w:name w:val="바닥글 Char"/>
    <w:basedOn w:val="a0"/>
    <w:link w:val="a7"/>
    <w:uiPriority w:val="99"/>
    <w:rsid w:val="00E30846"/>
    <w:rPr>
      <w:rFonts w:ascii="Times" w:hAnsi="Times"/>
      <w:sz w:val="24"/>
    </w:rPr>
  </w:style>
  <w:style w:type="character" w:customStyle="1" w:styleId="Char1">
    <w:name w:val="바탕글 Char"/>
    <w:basedOn w:val="a0"/>
    <w:link w:val="ac"/>
    <w:locked/>
    <w:rsid w:val="0033299B"/>
    <w:rPr>
      <w:rFonts w:ascii="바탕체" w:eastAsia="바탕체" w:hAnsi="Times New Roman"/>
      <w:color w:val="000000"/>
    </w:rPr>
  </w:style>
  <w:style w:type="paragraph" w:customStyle="1" w:styleId="ac">
    <w:name w:val="바탕글"/>
    <w:link w:val="Char1"/>
    <w:rsid w:val="0033299B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5" w:lineRule="auto"/>
      <w:jc w:val="both"/>
    </w:pPr>
    <w:rPr>
      <w:rFonts w:ascii="바탕체" w:eastAsia="바탕체" w:hAnsi="Times New Roman"/>
      <w:color w:val="000000"/>
    </w:rPr>
  </w:style>
  <w:style w:type="table" w:styleId="ad">
    <w:name w:val="Table Grid"/>
    <w:basedOn w:val="a1"/>
    <w:uiPriority w:val="59"/>
    <w:rsid w:val="0033299B"/>
    <w:pPr>
      <w:jc w:val="both"/>
    </w:pPr>
    <w:rPr>
      <w:rFonts w:asciiTheme="minorHAnsi" w:hAnsiTheme="minorHAnsi" w:cstheme="minorBidi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EA2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45796;&#50868;&#47196;&#46300;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759E0-A458-4C28-8B76-D5AFADFBB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81</TotalTime>
  <Pages>3</Pages>
  <Words>273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1615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양다람</dc:creator>
  <cp:keywords/>
  <cp:lastModifiedBy>YangDaram</cp:lastModifiedBy>
  <cp:revision>8</cp:revision>
  <cp:lastPrinted>2008-06-11T21:33:00Z</cp:lastPrinted>
  <dcterms:created xsi:type="dcterms:W3CDTF">2024-01-12T00:36:00Z</dcterms:created>
  <dcterms:modified xsi:type="dcterms:W3CDTF">2024-02-02T08:51:00Z</dcterms:modified>
</cp:coreProperties>
</file>