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rPr>
          <w:rFonts w:ascii="Times New Roman" w:hAnsi="Times New Roman" w:eastAsia="微软雅黑" w:cs="Times New Roman"/>
          <w:kern w:val="0"/>
          <w:sz w:val="24"/>
          <w:szCs w:val="24"/>
        </w:rPr>
      </w:pPr>
      <w:r>
        <w:rPr>
          <w:rFonts w:ascii="Times New Roman" w:hAnsi="Times New Roman" w:eastAsia="微软雅黑" w:cs="Times New Roman"/>
          <w:kern w:val="0"/>
          <w:sz w:val="24"/>
          <w:szCs w:val="24"/>
        </w:rPr>
        <w:t>Dear Editors,</w:t>
      </w:r>
    </w:p>
    <w:p>
      <w:pPr>
        <w:pStyle w:val="3"/>
        <w:widowControl/>
        <w:spacing w:line="360" w:lineRule="auto"/>
        <w:ind w:firstLine="240" w:firstLineChars="100"/>
        <w:jc w:val="both"/>
        <w:rPr>
          <w:rFonts w:ascii="Times New Roman" w:hAnsi="Times New Roman" w:eastAsia="宋体"/>
          <w:color w:val="000000" w:themeColor="text1"/>
          <w:sz w:val="24"/>
          <w:szCs w:val="24"/>
          <w14:textFill>
            <w14:solidFill>
              <w14:schemeClr w14:val="tx1"/>
            </w14:solidFill>
          </w14:textFill>
        </w:rPr>
      </w:pPr>
      <w:r>
        <w:rPr>
          <w:rFonts w:ascii="Times New Roman" w:hAnsi="Times New Roman" w:eastAsia="宋体"/>
          <w:color w:val="000000" w:themeColor="text1"/>
          <w:sz w:val="24"/>
          <w:szCs w:val="24"/>
          <w14:textFill>
            <w14:solidFill>
              <w14:schemeClr w14:val="tx1"/>
            </w14:solidFill>
          </w14:textFill>
        </w:rPr>
        <w:t>We would like to submit the enclosed manuscript entitled “</w:t>
      </w:r>
      <w:r>
        <w:rPr>
          <w:rFonts w:ascii="Times New Roman" w:hAnsi="Times New Roman"/>
          <w:b/>
          <w:bCs/>
          <w:sz w:val="24"/>
          <w:szCs w:val="24"/>
        </w:rPr>
        <w:t>Two novel mutations of TTC21B gene c.497del and c. 2323-3t &gt;A identified in a Chinese patient</w:t>
      </w:r>
      <w:r>
        <w:rPr>
          <w:rFonts w:ascii="Times New Roman" w:hAnsi="Times New Roman" w:eastAsia="宋体"/>
          <w:color w:val="000000" w:themeColor="text1"/>
          <w:sz w:val="24"/>
          <w:szCs w:val="24"/>
          <w14:textFill>
            <w14:solidFill>
              <w14:schemeClr w14:val="tx1"/>
            </w14:solidFill>
          </w14:textFill>
        </w:rPr>
        <w:t>”, which we wish to be considered for publication in “</w:t>
      </w:r>
      <w:r>
        <w:rPr>
          <w:rFonts w:hint="eastAsia" w:ascii="Times New Roman" w:hAnsi="Times New Roman" w:eastAsia="宋体"/>
          <w:i/>
          <w:iCs/>
          <w:color w:val="000000" w:themeColor="text1"/>
          <w:sz w:val="24"/>
          <w:szCs w:val="24"/>
          <w:shd w:val="clear" w:color="auto" w:fill="FFFFFF"/>
          <w:lang w:eastAsia="zh-CN"/>
          <w14:textFill>
            <w14:solidFill>
              <w14:schemeClr w14:val="tx1"/>
            </w14:solidFill>
          </w14:textFill>
        </w:rPr>
        <w:t>Molecular Cytogenetics</w:t>
      </w:r>
      <w:r>
        <w:rPr>
          <w:rFonts w:ascii="Times New Roman" w:hAnsi="Times New Roman" w:eastAsia="宋体"/>
          <w:color w:val="000000" w:themeColor="text1"/>
          <w:sz w:val="24"/>
          <w:szCs w:val="24"/>
          <w14:textFill>
            <w14:solidFill>
              <w14:schemeClr w14:val="tx1"/>
            </w14:solidFill>
          </w14:textFill>
        </w:rPr>
        <w:t>”. No conflict of interest exits in the submission of this manuscript, and manuscript is approved by all authors for publication. I would like to declare on behalf of my co-authors that the work described was original research that has not been published previously, and not under consideration for publication elsewhere, in whole or in part. All the authors listed have approved the manuscript that is enclosed.</w:t>
      </w:r>
    </w:p>
    <w:p>
      <w:pPr>
        <w:widowControl/>
        <w:spacing w:line="360" w:lineRule="auto"/>
        <w:ind w:firstLine="240" w:firstLineChars="1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cs="Times New Roman"/>
          <w:sz w:val="24"/>
          <w:szCs w:val="24"/>
        </w:rPr>
        <w:t xml:space="preserve">Nephronophthisis (NPHP) is a rare autosomal recessive disorder that causes end-stage renal disease in children. This study reports two novel </w:t>
      </w:r>
      <w:r>
        <w:rPr>
          <w:rFonts w:ascii="Times New Roman" w:hAnsi="Times New Roman" w:cs="Times New Roman"/>
          <w:i/>
          <w:iCs/>
          <w:sz w:val="24"/>
          <w:szCs w:val="24"/>
        </w:rPr>
        <w:t>TTC21B</w:t>
      </w:r>
      <w:r>
        <w:rPr>
          <w:rFonts w:ascii="Times New Roman" w:hAnsi="Times New Roman" w:cs="Times New Roman"/>
          <w:sz w:val="24"/>
          <w:szCs w:val="24"/>
        </w:rPr>
        <w:t xml:space="preserve"> gene mutations in a</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7 year-old NPHP patient from China. In this study, The whole exome by next-generation sequencing</w:t>
      </w:r>
      <w:r>
        <w:rPr>
          <w:rFonts w:ascii="Times New Roman" w:hAnsi="Times New Roman" w:cs="Times New Roman"/>
          <w:color w:val="000000" w:themeColor="text1"/>
          <w:sz w:val="24"/>
          <w:szCs w:val="24"/>
          <w14:textFill>
            <w14:solidFill>
              <w14:schemeClr w14:val="tx1"/>
            </w14:solidFill>
          </w14:textFill>
        </w:rPr>
        <w:t xml:space="preserve"> and found two unreported </w:t>
      </w:r>
      <w:r>
        <w:rPr>
          <w:rFonts w:ascii="Times New Roman" w:hAnsi="Times New Roman" w:cs="Times New Roman"/>
          <w:i/>
          <w:color w:val="000000" w:themeColor="text1"/>
          <w:sz w:val="24"/>
          <w:szCs w:val="24"/>
          <w14:textFill>
            <w14:solidFill>
              <w14:schemeClr w14:val="tx1"/>
            </w14:solidFill>
          </w14:textFill>
        </w:rPr>
        <w:t xml:space="preserve">TTC21B </w:t>
      </w:r>
      <w:r>
        <w:rPr>
          <w:rFonts w:ascii="Times New Roman" w:hAnsi="Times New Roman" w:cs="Times New Roman"/>
          <w:color w:val="000000" w:themeColor="text1"/>
          <w:sz w:val="24"/>
          <w:szCs w:val="24"/>
          <w14:textFill>
            <w14:solidFill>
              <w14:schemeClr w14:val="tx1"/>
            </w14:solidFill>
          </w14:textFill>
        </w:rPr>
        <w:t xml:space="preserve">mutation sites, c.497del (p.Lys166Serfs) and c.2323-3T&gt;A. The c.497del (p.Lys166Serfs) variant, which is a frame shift mutation, suggested deletion of a single nucleotide A at position 497 from the TTC21B gene CDS results in replacement of lysine by serine at codon 166 of the TTC21B protein, as well as premature translational stop at position 201. </w:t>
      </w:r>
      <w:r>
        <w:rPr>
          <w:rFonts w:ascii="Times New Roman" w:hAnsi="Times New Roman" w:eastAsia="微软雅黑" w:cs="Times New Roman"/>
          <w:color w:val="000000"/>
          <w:sz w:val="24"/>
          <w:szCs w:val="24"/>
        </w:rPr>
        <w:t>The c.2323-3T&gt;A variant indicates that the antepenultimate base of intron upstream of nucleotide 2323 in the CDS region of TTC21B gene changes from T to A. The change in the three</w:t>
      </w:r>
      <w:r>
        <w:rPr>
          <w:rFonts w:hint="eastAsia" w:ascii="Times New Roman" w:hAnsi="Times New Roman" w:eastAsia="宋体" w:cs="Times New Roman"/>
          <w:color w:val="000000"/>
          <w:sz w:val="24"/>
          <w:szCs w:val="24"/>
          <w:lang w:val="en-US" w:eastAsia="zh-CN"/>
        </w:rPr>
        <w:t>-</w:t>
      </w:r>
      <w:r>
        <w:rPr>
          <w:rFonts w:ascii="Times New Roman" w:hAnsi="Times New Roman" w:eastAsia="微软雅黑" w:cs="Times New Roman"/>
          <w:color w:val="000000"/>
          <w:sz w:val="24"/>
          <w:szCs w:val="24"/>
        </w:rPr>
        <w:t>dimensional structure of the protein caused by the mutation</w:t>
      </w:r>
      <w:r>
        <w:rPr>
          <w:rFonts w:ascii="Times New Roman" w:hAnsi="Times New Roman" w:eastAsia="微软雅黑" w:cs="Times New Roman"/>
          <w:color w:val="000000" w:themeColor="text1"/>
          <w:sz w:val="24"/>
          <w:szCs w:val="24"/>
          <w14:textFill>
            <w14:solidFill>
              <w14:schemeClr w14:val="tx1"/>
            </w14:solidFill>
          </w14:textFill>
        </w:rPr>
        <w:t xml:space="preserve">s in TTC21B may affect the functions associated with the protein length shorten. </w:t>
      </w:r>
      <w:r>
        <w:rPr>
          <w:rFonts w:ascii="Times New Roman" w:hAnsi="Times New Roman" w:eastAsia="微软雅黑" w:cs="Times New Roman"/>
          <w:color w:val="000000"/>
          <w:sz w:val="24"/>
          <w:szCs w:val="24"/>
        </w:rPr>
        <w:t xml:space="preserve">Further, </w:t>
      </w:r>
      <w:r>
        <w:rPr>
          <w:rFonts w:ascii="Times New Roman" w:hAnsi="Times New Roman" w:cs="Times New Roman"/>
          <w:sz w:val="24"/>
          <w:szCs w:val="24"/>
        </w:rPr>
        <w:t xml:space="preserve">this study summarized 25 NPHP gene mutations and the phenotypes that have been reported. </w:t>
      </w:r>
      <w:r>
        <w:rPr>
          <w:rFonts w:ascii="Times New Roman" w:hAnsi="Times New Roman" w:eastAsia="宋体" w:cs="Times New Roman"/>
          <w:color w:val="000000" w:themeColor="text1"/>
          <w:sz w:val="24"/>
          <w:szCs w:val="24"/>
          <w14:textFill>
            <w14:solidFill>
              <w14:schemeClr w14:val="tx1"/>
            </w14:solidFill>
          </w14:textFill>
        </w:rPr>
        <w:t>I hope this paper is suitable for “</w:t>
      </w:r>
      <w:r>
        <w:rPr>
          <w:rFonts w:hint="eastAsia" w:ascii="Times New Roman" w:hAnsi="Times New Roman" w:eastAsia="宋体" w:cs="Times New Roman"/>
          <w:i/>
          <w:iCs/>
          <w:color w:val="000000" w:themeColor="text1"/>
          <w:sz w:val="24"/>
          <w:szCs w:val="24"/>
          <w:shd w:val="clear" w:color="auto" w:fill="FFFFFF"/>
          <w:lang w:eastAsia="zh-CN"/>
          <w14:textFill>
            <w14:solidFill>
              <w14:schemeClr w14:val="tx1"/>
            </w14:solidFill>
          </w14:textFill>
        </w:rPr>
        <w:t>Molecular Cytogenetics</w:t>
      </w:r>
      <w:r>
        <w:rPr>
          <w:rFonts w:ascii="Times New Roman" w:hAnsi="Times New Roman" w:eastAsia="宋体" w:cs="Times New Roman"/>
          <w:color w:val="000000" w:themeColor="text1"/>
          <w:sz w:val="24"/>
          <w:szCs w:val="24"/>
          <w14:textFill>
            <w14:solidFill>
              <w14:schemeClr w14:val="tx1"/>
            </w14:solidFill>
          </w14:textFill>
        </w:rPr>
        <w:t>”.</w:t>
      </w:r>
    </w:p>
    <w:p>
      <w:pPr>
        <w:widowControl/>
        <w:spacing w:line="360" w:lineRule="auto"/>
        <w:ind w:firstLine="240" w:firstLineChars="1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Our research is of special interest and significance to clinicians and scholars. We deeply appreciate your consideration of our manuscript, and we look forward to receiving comments from the reviewers. If you have any queries, please don’t hesitate to contact me at the address below.</w:t>
      </w:r>
    </w:p>
    <w:p>
      <w:pPr>
        <w:widowControl/>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Thank you and best regards.</w:t>
      </w:r>
      <w:r>
        <w:rPr>
          <w:rFonts w:ascii="Times New Roman" w:hAnsi="Times New Roman" w:eastAsia="宋体" w:cs="Times New Roman"/>
          <w:color w:val="000000" w:themeColor="text1"/>
          <w:sz w:val="24"/>
          <w:szCs w:val="24"/>
          <w14:textFill>
            <w14:solidFill>
              <w14:schemeClr w14:val="tx1"/>
            </w14:solidFill>
          </w14:textFill>
        </w:rPr>
        <w:br w:type="textWrapping"/>
      </w:r>
      <w:r>
        <w:rPr>
          <w:rFonts w:ascii="Times New Roman" w:hAnsi="Times New Roman" w:eastAsia="宋体" w:cs="Times New Roman"/>
          <w:color w:val="000000" w:themeColor="text1"/>
          <w:sz w:val="24"/>
          <w:szCs w:val="24"/>
          <w14:textFill>
            <w14:solidFill>
              <w14:schemeClr w14:val="tx1"/>
            </w14:solidFill>
          </w14:textFill>
        </w:rPr>
        <w:t>Yours sincerely,</w:t>
      </w:r>
    </w:p>
    <w:p>
      <w:pPr>
        <w:widowControl/>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Xia Gao</w:t>
      </w:r>
    </w:p>
    <w:p>
      <w:pPr>
        <w:widowControl/>
        <w:spacing w:line="360" w:lineRule="auto"/>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 xml:space="preserve">E-mail: </w:t>
      </w:r>
      <w:r>
        <w:rPr>
          <w:rFonts w:ascii="Times New Roman" w:hAnsi="Times New Roman" w:eastAsia="宋体" w:cs="Times New Roman"/>
          <w:sz w:val="24"/>
          <w:szCs w:val="24"/>
          <w:lang w:bidi="ar"/>
        </w:rPr>
        <w:t>gaoxiagz@vip.163.com</w:t>
      </w:r>
    </w:p>
    <w:p>
      <w:pPr>
        <w:spacing w:line="360" w:lineRule="auto"/>
        <w:ind w:firstLine="240" w:firstLineChars="100"/>
        <w:rPr>
          <w:rFonts w:ascii="Times New Roman" w:hAnsi="Times New Roman" w:eastAsia="宋体" w:cs="Times New Roman"/>
          <w:color w:val="000000" w:themeColor="text1"/>
          <w:sz w:val="24"/>
          <w:szCs w:val="24"/>
          <w14:textFill>
            <w14:solidFill>
              <w14:schemeClr w14:val="tx1"/>
            </w14:solidFill>
          </w14:textFill>
        </w:rPr>
      </w:pPr>
    </w:p>
    <w:p>
      <w:pPr>
        <w:spacing w:line="360" w:lineRule="auto"/>
        <w:ind w:firstLine="240" w:firstLineChars="100"/>
        <w:rPr>
          <w:rFonts w:ascii="Times New Roman" w:hAnsi="Times New Roman" w:eastAsia="宋体" w:cs="Times New Roman"/>
          <w:color w:val="000000" w:themeColor="text1"/>
          <w:sz w:val="24"/>
          <w:szCs w:val="24"/>
          <w14:textFill>
            <w14:solidFill>
              <w14:schemeClr w14:val="tx1"/>
            </w14:solidFill>
          </w14:textFill>
        </w:rPr>
      </w:pPr>
    </w:p>
    <w:p>
      <w:pPr>
        <w:spacing w:line="360" w:lineRule="auto"/>
        <w:rPr>
          <w:rFonts w:ascii="Times New Roman" w:hAnsi="Times New Roman" w:cs="Times New Roman"/>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MS Mincho">
    <w:panose1 w:val="02020609040205080304"/>
    <w:charset w:val="80"/>
    <w:family w:val="modern"/>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14EA8"/>
    <w:rsid w:val="005F73E0"/>
    <w:rsid w:val="006F18C5"/>
    <w:rsid w:val="00D1109B"/>
    <w:rsid w:val="04B40F3E"/>
    <w:rsid w:val="05E0313B"/>
    <w:rsid w:val="063048B1"/>
    <w:rsid w:val="0CEE1694"/>
    <w:rsid w:val="0E6C4D9F"/>
    <w:rsid w:val="17281164"/>
    <w:rsid w:val="1898181D"/>
    <w:rsid w:val="251E66EA"/>
    <w:rsid w:val="284A42E6"/>
    <w:rsid w:val="2DBB5EED"/>
    <w:rsid w:val="2E770D43"/>
    <w:rsid w:val="36D651B9"/>
    <w:rsid w:val="3E4B6C89"/>
    <w:rsid w:val="53206B41"/>
    <w:rsid w:val="60F14EA8"/>
    <w:rsid w:val="61467374"/>
    <w:rsid w:val="6C5C7390"/>
    <w:rsid w:val="724F2CC5"/>
    <w:rsid w:val="73695F76"/>
    <w:rsid w:val="7F3076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qFormat/>
    <w:uiPriority w:val="0"/>
    <w:rPr>
      <w:rFonts w:ascii="宋体" w:eastAsia="宋体"/>
      <w:sz w:val="18"/>
      <w:szCs w:val="18"/>
    </w:rPr>
  </w:style>
  <w:style w:type="paragraph" w:styleId="3">
    <w:name w:val="Normal (Web)"/>
    <w:basedOn w:val="1"/>
    <w:qFormat/>
    <w:uiPriority w:val="0"/>
    <w:pPr>
      <w:jc w:val="left"/>
    </w:pPr>
    <w:rPr>
      <w:rFonts w:cs="Times New Roman"/>
      <w:kern w:val="0"/>
      <w:sz w:val="24"/>
    </w:rPr>
  </w:style>
  <w:style w:type="character" w:styleId="6">
    <w:name w:val="FollowedHyperlink"/>
    <w:basedOn w:val="5"/>
    <w:qFormat/>
    <w:uiPriority w:val="0"/>
    <w:rPr>
      <w:color w:val="333333"/>
      <w:u w:val="none"/>
    </w:rPr>
  </w:style>
  <w:style w:type="character" w:styleId="7">
    <w:name w:val="Hyperlink"/>
    <w:basedOn w:val="5"/>
    <w:qFormat/>
    <w:uiPriority w:val="0"/>
    <w:rPr>
      <w:color w:val="333333"/>
      <w:u w:val="none"/>
    </w:rPr>
  </w:style>
  <w:style w:type="character" w:customStyle="1" w:styleId="8">
    <w:name w:val="gb_d9"/>
    <w:basedOn w:val="5"/>
    <w:qFormat/>
    <w:uiPriority w:val="0"/>
    <w:rPr>
      <w:color w:val="FFFFFF"/>
    </w:rPr>
  </w:style>
  <w:style w:type="character" w:customStyle="1" w:styleId="9">
    <w:name w:val="gt-baf-base-sep"/>
    <w:basedOn w:val="5"/>
    <w:qFormat/>
    <w:uiPriority w:val="0"/>
  </w:style>
  <w:style w:type="character" w:customStyle="1" w:styleId="10">
    <w:name w:val="gt-baf-pos"/>
    <w:basedOn w:val="5"/>
    <w:qFormat/>
    <w:uiPriority w:val="0"/>
    <w:rPr>
      <w:color w:val="777777"/>
    </w:rPr>
  </w:style>
  <w:style w:type="character" w:customStyle="1" w:styleId="11">
    <w:name w:val="gb_d1"/>
    <w:basedOn w:val="5"/>
    <w:qFormat/>
    <w:uiPriority w:val="0"/>
    <w:rPr>
      <w:color w:val="FFFFFF"/>
    </w:rPr>
  </w:style>
  <w:style w:type="character" w:customStyle="1" w:styleId="12">
    <w:name w:val="gb_d2"/>
    <w:basedOn w:val="5"/>
    <w:qFormat/>
    <w:uiPriority w:val="0"/>
    <w:rPr>
      <w:u w:val="none"/>
      <w:shd w:val="clear" w:color="auto" w:fill="F5F5F5"/>
    </w:rPr>
  </w:style>
  <w:style w:type="character" w:customStyle="1" w:styleId="13">
    <w:name w:val="批注框文本 字符"/>
    <w:basedOn w:val="5"/>
    <w:link w:val="2"/>
    <w:qFormat/>
    <w:uiPriority w:val="0"/>
    <w:rPr>
      <w:rFonts w:ascii="宋体" w:hAnsiTheme="minorHAnsi"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316</Words>
  <Characters>1802</Characters>
  <Lines>15</Lines>
  <Paragraphs>4</Paragraphs>
  <TotalTime>6</TotalTime>
  <ScaleCrop>false</ScaleCrop>
  <LinksUpToDate>false</LinksUpToDate>
  <CharactersWithSpaces>2114</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2020-02-13T07:36:00Z</dcterms:created>
  <dc:creator>Administrator</dc:creator>
  <cp:lastModifiedBy>Administrator</cp:lastModifiedBy>
  <dcterms:modified xsi:type="dcterms:W3CDTF">2020-06-12T13:16:51Z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