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B9228" w14:textId="77777777" w:rsidR="003550F2" w:rsidRPr="003550F2" w:rsidRDefault="003550F2" w:rsidP="003550F2">
      <w:pPr>
        <w:spacing w:line="480" w:lineRule="auto"/>
        <w:ind w:left="-567"/>
        <w:rPr>
          <w:rFonts w:ascii="Times New Roman" w:hAnsi="Times New Roman" w:cs="Times New Roman"/>
          <w:sz w:val="36"/>
          <w:szCs w:val="36"/>
          <w:lang w:val="en-US"/>
        </w:rPr>
      </w:pPr>
      <w:r w:rsidRPr="003550F2">
        <w:rPr>
          <w:rFonts w:ascii="Times New Roman" w:hAnsi="Times New Roman" w:cs="Times New Roman"/>
          <w:b/>
          <w:bCs/>
          <w:sz w:val="28"/>
          <w:szCs w:val="28"/>
          <w:lang w:val="en-US"/>
        </w:rPr>
        <w:t>Supplementary Tables</w:t>
      </w:r>
    </w:p>
    <w:tbl>
      <w:tblPr>
        <w:tblStyle w:val="Tablaconcuadrcula"/>
        <w:tblW w:w="0" w:type="auto"/>
        <w:tblInd w:w="-730" w:type="dxa"/>
        <w:tblLook w:val="04A0" w:firstRow="1" w:lastRow="0" w:firstColumn="1" w:lastColumn="0" w:noHBand="0" w:noVBand="1"/>
      </w:tblPr>
      <w:tblGrid>
        <w:gridCol w:w="1955"/>
        <w:gridCol w:w="6514"/>
        <w:gridCol w:w="6265"/>
      </w:tblGrid>
      <w:tr w:rsidR="003550F2" w:rsidRPr="00C2656C" w14:paraId="6DD203EA" w14:textId="77777777" w:rsidTr="00C56A10">
        <w:tc>
          <w:tcPr>
            <w:tcW w:w="0" w:type="auto"/>
            <w:gridSpan w:val="3"/>
            <w:tcBorders>
              <w:top w:val="nil"/>
              <w:left w:val="nil"/>
              <w:bottom w:val="single" w:sz="4" w:space="0" w:color="auto"/>
              <w:right w:val="nil"/>
            </w:tcBorders>
          </w:tcPr>
          <w:p w14:paraId="36C2E4D8"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 xml:space="preserve">Supplementary Table 1. </w:t>
            </w:r>
            <w:r w:rsidRPr="00B37B92">
              <w:rPr>
                <w:rFonts w:ascii="Arial" w:hAnsi="Arial" w:cs="Arial"/>
                <w:bCs/>
                <w:lang w:val="en-US"/>
              </w:rPr>
              <w:t>Evaluation criteria for studies on Brief cognitive screening tools</w:t>
            </w:r>
          </w:p>
        </w:tc>
      </w:tr>
      <w:tr w:rsidR="003550F2" w:rsidRPr="00C2656C" w14:paraId="5B52BEA5" w14:textId="77777777" w:rsidTr="00C56A10">
        <w:tc>
          <w:tcPr>
            <w:tcW w:w="0" w:type="auto"/>
            <w:tcBorders>
              <w:top w:val="single" w:sz="4" w:space="0" w:color="auto"/>
            </w:tcBorders>
          </w:tcPr>
          <w:p w14:paraId="2CED12DB" w14:textId="77777777" w:rsidR="003550F2" w:rsidRPr="00B37B92" w:rsidRDefault="003550F2" w:rsidP="00C56A10">
            <w:pPr>
              <w:pStyle w:val="HTMLconformatoprevio"/>
              <w:shd w:val="clear" w:color="auto" w:fill="FFFFFF"/>
              <w:spacing w:line="480" w:lineRule="auto"/>
              <w:jc w:val="both"/>
              <w:rPr>
                <w:rFonts w:ascii="Arial" w:hAnsi="Arial" w:cs="Arial"/>
                <w:b/>
                <w:sz w:val="22"/>
                <w:szCs w:val="22"/>
                <w:lang w:val="en-US"/>
              </w:rPr>
            </w:pPr>
            <w:r w:rsidRPr="00B37B92">
              <w:rPr>
                <w:rFonts w:ascii="Arial" w:hAnsi="Arial" w:cs="Arial"/>
                <w:b/>
                <w:sz w:val="22"/>
                <w:szCs w:val="22"/>
                <w:lang w:val="en-US"/>
              </w:rPr>
              <w:t>Type of criteria</w:t>
            </w:r>
          </w:p>
        </w:tc>
        <w:tc>
          <w:tcPr>
            <w:tcW w:w="0" w:type="auto"/>
            <w:tcBorders>
              <w:top w:val="single" w:sz="4" w:space="0" w:color="auto"/>
            </w:tcBorders>
          </w:tcPr>
          <w:p w14:paraId="1DF9364D"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Definition</w:t>
            </w:r>
          </w:p>
        </w:tc>
        <w:tc>
          <w:tcPr>
            <w:tcW w:w="0" w:type="auto"/>
            <w:tcBorders>
              <w:top w:val="single" w:sz="4" w:space="0" w:color="auto"/>
            </w:tcBorders>
          </w:tcPr>
          <w:p w14:paraId="7CA4DA2C"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Criteria for a positive score</w:t>
            </w:r>
          </w:p>
        </w:tc>
      </w:tr>
      <w:tr w:rsidR="003550F2" w:rsidRPr="00C2656C" w14:paraId="7591DCAB" w14:textId="77777777" w:rsidTr="00C56A10">
        <w:tc>
          <w:tcPr>
            <w:tcW w:w="0" w:type="auto"/>
          </w:tcPr>
          <w:p w14:paraId="1068B91B" w14:textId="77777777" w:rsidR="003550F2" w:rsidRPr="00B37B92" w:rsidRDefault="003550F2" w:rsidP="00C56A10">
            <w:pPr>
              <w:pStyle w:val="HTMLconformatoprevio"/>
              <w:shd w:val="clear" w:color="auto" w:fill="FFFFFF"/>
              <w:spacing w:line="480" w:lineRule="auto"/>
              <w:jc w:val="both"/>
              <w:rPr>
                <w:rFonts w:ascii="Arial" w:hAnsi="Arial" w:cs="Arial"/>
                <w:b/>
                <w:sz w:val="22"/>
                <w:szCs w:val="22"/>
                <w:lang w:val="en-US"/>
              </w:rPr>
            </w:pPr>
            <w:r w:rsidRPr="00B37B92">
              <w:rPr>
                <w:rFonts w:ascii="Arial" w:hAnsi="Arial" w:cs="Arial"/>
                <w:b/>
                <w:sz w:val="22"/>
                <w:szCs w:val="22"/>
                <w:lang w:val="en-US"/>
              </w:rPr>
              <w:t>Content validity</w:t>
            </w:r>
          </w:p>
          <w:p w14:paraId="1C91E946" w14:textId="77777777" w:rsidR="003550F2" w:rsidRPr="00B37B92" w:rsidRDefault="003550F2" w:rsidP="00C56A10">
            <w:pPr>
              <w:spacing w:line="480" w:lineRule="auto"/>
              <w:jc w:val="both"/>
              <w:rPr>
                <w:rFonts w:ascii="Arial" w:hAnsi="Arial" w:cs="Arial"/>
                <w:lang w:val="en-US"/>
              </w:rPr>
            </w:pPr>
          </w:p>
          <w:p w14:paraId="24AED934" w14:textId="77777777" w:rsidR="003550F2" w:rsidRPr="00B37B92" w:rsidRDefault="003550F2" w:rsidP="00C56A10">
            <w:pPr>
              <w:spacing w:line="480" w:lineRule="auto"/>
              <w:jc w:val="both"/>
              <w:rPr>
                <w:rFonts w:ascii="Arial" w:hAnsi="Arial" w:cs="Arial"/>
                <w:b/>
                <w:lang w:val="en-US"/>
              </w:rPr>
            </w:pPr>
          </w:p>
        </w:tc>
        <w:tc>
          <w:tcPr>
            <w:tcW w:w="0" w:type="auto"/>
          </w:tcPr>
          <w:p w14:paraId="62CF7143" w14:textId="77777777" w:rsidR="003550F2" w:rsidRPr="00B37B92" w:rsidRDefault="003550F2" w:rsidP="00C56A10">
            <w:pPr>
              <w:spacing w:line="480" w:lineRule="auto"/>
              <w:jc w:val="both"/>
              <w:rPr>
                <w:rFonts w:ascii="Arial" w:hAnsi="Arial" w:cs="Arial"/>
                <w:b/>
                <w:lang w:val="en-US"/>
              </w:rPr>
            </w:pPr>
            <w:r w:rsidRPr="00B37B92">
              <w:rPr>
                <w:rFonts w:ascii="Arial" w:hAnsi="Arial" w:cs="Arial"/>
                <w:lang w:val="en-US"/>
              </w:rPr>
              <w:t xml:space="preserve">Refers to the extent to which the BCS represents all aspects of the domains assessed (47,48). Includes description of the population to which the BCS is to be applied and evaluation of the BCS by dementia experts with at least two years of experience in cognitive and neuropsychological evaluation who responded to the content validity questionnaire. This questionnaire should contain the conceptual and operational definitions of the cognitive domains assessed and their respective indicators. The definition of each indicator should indicate how to administer the measure and provide instructions for scoring the corresponding domain. The experts should also be asked to assess the capacity of each subtest to evaluate the given cognitive domain, the capacity of each subtest to measure the corresponding indicator, and the clarity of the administration and scoring instructions. The experts should have the opportunity to provide observations and commentary as a basis for consensus discussions within the </w:t>
            </w:r>
            <w:r w:rsidRPr="00B37B92">
              <w:rPr>
                <w:rFonts w:ascii="Arial" w:hAnsi="Arial" w:cs="Arial"/>
                <w:lang w:val="en-US"/>
              </w:rPr>
              <w:lastRenderedPageBreak/>
              <w:t xml:space="preserve">research team (which should consist of neurologists, geriatricians, psychiatrists, neuropsychologists, and/or other specialists) as well as discussions regarding suggestions and changes to the </w:t>
            </w:r>
            <w:proofErr w:type="gramStart"/>
            <w:r w:rsidRPr="00B37B92">
              <w:rPr>
                <w:rFonts w:ascii="Arial" w:hAnsi="Arial" w:cs="Arial"/>
                <w:lang w:val="en-US"/>
              </w:rPr>
              <w:t>initially-proposed</w:t>
            </w:r>
            <w:proofErr w:type="gramEnd"/>
            <w:r w:rsidRPr="00B37B92">
              <w:rPr>
                <w:rFonts w:ascii="Arial" w:hAnsi="Arial" w:cs="Arial"/>
                <w:lang w:val="en-US"/>
              </w:rPr>
              <w:t xml:space="preserve"> version of the tool.</w:t>
            </w:r>
          </w:p>
        </w:tc>
        <w:tc>
          <w:tcPr>
            <w:tcW w:w="0" w:type="auto"/>
          </w:tcPr>
          <w:p w14:paraId="4B38FB38"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lastRenderedPageBreak/>
              <w:t>A positive score was assigned if the authors:</w:t>
            </w:r>
          </w:p>
          <w:p w14:paraId="640A720D" w14:textId="77777777" w:rsidR="003550F2" w:rsidRPr="00B37B92" w:rsidRDefault="003550F2" w:rsidP="003550F2">
            <w:pPr>
              <w:pStyle w:val="Prrafodelista"/>
              <w:numPr>
                <w:ilvl w:val="0"/>
                <w:numId w:val="2"/>
              </w:numPr>
              <w:suppressAutoHyphens/>
              <w:spacing w:line="480" w:lineRule="auto"/>
              <w:jc w:val="both"/>
              <w:rPr>
                <w:rFonts w:ascii="Arial" w:hAnsi="Arial" w:cs="Arial"/>
                <w:lang w:val="en-US"/>
              </w:rPr>
            </w:pPr>
            <w:r w:rsidRPr="00B37B92">
              <w:rPr>
                <w:rFonts w:ascii="Arial" w:hAnsi="Arial" w:cs="Arial"/>
                <w:lang w:val="en-US"/>
              </w:rPr>
              <w:t>Described the population and</w:t>
            </w:r>
          </w:p>
          <w:p w14:paraId="7FC64D56" w14:textId="77777777" w:rsidR="003550F2" w:rsidRPr="00B37B92" w:rsidRDefault="003550F2" w:rsidP="003550F2">
            <w:pPr>
              <w:pStyle w:val="Prrafodelista"/>
              <w:numPr>
                <w:ilvl w:val="0"/>
                <w:numId w:val="2"/>
              </w:numPr>
              <w:suppressAutoHyphens/>
              <w:spacing w:line="480" w:lineRule="auto"/>
              <w:jc w:val="both"/>
              <w:rPr>
                <w:rFonts w:ascii="Arial" w:hAnsi="Arial" w:cs="Arial"/>
                <w:lang w:val="en-US"/>
              </w:rPr>
            </w:pPr>
            <w:r w:rsidRPr="00B37B92">
              <w:rPr>
                <w:rFonts w:ascii="Arial" w:hAnsi="Arial" w:cs="Arial"/>
                <w:lang w:val="en-US"/>
              </w:rPr>
              <w:t>Used a content validity questionnaire to obtain approval by expert consensus.</w:t>
            </w:r>
          </w:p>
        </w:tc>
      </w:tr>
      <w:tr w:rsidR="003550F2" w:rsidRPr="00C2656C" w14:paraId="72CBF417" w14:textId="77777777" w:rsidTr="00C56A10">
        <w:tc>
          <w:tcPr>
            <w:tcW w:w="0" w:type="auto"/>
          </w:tcPr>
          <w:p w14:paraId="77CB72D8"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Internal consistency</w:t>
            </w:r>
          </w:p>
          <w:p w14:paraId="5301C9DE" w14:textId="77777777" w:rsidR="003550F2" w:rsidRPr="00B37B92" w:rsidRDefault="003550F2" w:rsidP="00C56A10">
            <w:pPr>
              <w:pStyle w:val="HTMLconformatoprevio"/>
              <w:shd w:val="clear" w:color="auto" w:fill="FFFFFF"/>
              <w:spacing w:line="480" w:lineRule="auto"/>
              <w:jc w:val="both"/>
              <w:rPr>
                <w:rFonts w:ascii="Arial" w:hAnsi="Arial" w:cs="Arial"/>
                <w:b/>
                <w:sz w:val="22"/>
                <w:szCs w:val="22"/>
                <w:lang w:val="en-US"/>
              </w:rPr>
            </w:pPr>
          </w:p>
        </w:tc>
        <w:tc>
          <w:tcPr>
            <w:tcW w:w="0" w:type="auto"/>
          </w:tcPr>
          <w:p w14:paraId="06AA3E2A"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Refers to the homogeneity of items within a cognitive domain on the BCS, the correlation between domain and composite scores, and the assessment of whether these measures truly evaluate the same concept (47,48). Internal consistency should be measured using Cronbach’s alpha. The effect of successively removing single items from the BCS on the Cronbach’s alpha value should be evaluated. </w:t>
            </w:r>
          </w:p>
        </w:tc>
        <w:tc>
          <w:tcPr>
            <w:tcW w:w="0" w:type="auto"/>
          </w:tcPr>
          <w:p w14:paraId="4C1F960B"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A positive score was assigned if Cronbach’s alpha was </w:t>
            </w:r>
            <w:r w:rsidRPr="00B37B92">
              <w:rPr>
                <w:rFonts w:ascii="Arial" w:hAnsi="Arial" w:cs="Arial"/>
                <w:lang w:val="en-US"/>
              </w:rPr>
              <w:sym w:font="Symbol" w:char="F0B3"/>
            </w:r>
            <w:r w:rsidRPr="00B37B92">
              <w:rPr>
                <w:rFonts w:ascii="Arial" w:hAnsi="Arial" w:cs="Arial"/>
                <w:lang w:val="en-US"/>
              </w:rPr>
              <w:t>070.</w:t>
            </w:r>
          </w:p>
        </w:tc>
      </w:tr>
      <w:tr w:rsidR="003550F2" w:rsidRPr="00C2656C" w14:paraId="0C25224A" w14:textId="77777777" w:rsidTr="00C56A10">
        <w:tc>
          <w:tcPr>
            <w:tcW w:w="0" w:type="auto"/>
          </w:tcPr>
          <w:p w14:paraId="15601D3B"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Criterion validity</w:t>
            </w:r>
          </w:p>
          <w:p w14:paraId="234E121D" w14:textId="77777777" w:rsidR="003550F2" w:rsidRPr="00B37B92" w:rsidRDefault="003550F2" w:rsidP="00C56A10">
            <w:pPr>
              <w:spacing w:line="480" w:lineRule="auto"/>
              <w:jc w:val="both"/>
              <w:rPr>
                <w:rFonts w:ascii="Arial" w:hAnsi="Arial" w:cs="Arial"/>
                <w:b/>
                <w:lang w:val="en-US"/>
              </w:rPr>
            </w:pPr>
          </w:p>
        </w:tc>
        <w:tc>
          <w:tcPr>
            <w:tcW w:w="0" w:type="auto"/>
          </w:tcPr>
          <w:p w14:paraId="0519A66D"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Refers to the extent to which a BCS score is related to another applicable measure, ideally a “gold standard.”</w:t>
            </w:r>
          </w:p>
        </w:tc>
        <w:tc>
          <w:tcPr>
            <w:tcW w:w="0" w:type="auto"/>
          </w:tcPr>
          <w:p w14:paraId="44124670"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A positive score was assigned if there was a precise sample selection method, a detailed description of the sample, and positive correlation between the BCS and a “gold standard.”</w:t>
            </w:r>
          </w:p>
        </w:tc>
      </w:tr>
      <w:tr w:rsidR="003550F2" w:rsidRPr="00C2656C" w14:paraId="5D3D56CF" w14:textId="77777777" w:rsidTr="00C56A10">
        <w:tc>
          <w:tcPr>
            <w:tcW w:w="0" w:type="auto"/>
          </w:tcPr>
          <w:p w14:paraId="07A11E11"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Construct validity</w:t>
            </w:r>
          </w:p>
          <w:p w14:paraId="4B0B39F5" w14:textId="77777777" w:rsidR="003550F2" w:rsidRPr="00B37B92" w:rsidRDefault="003550F2" w:rsidP="00C56A10">
            <w:pPr>
              <w:spacing w:line="480" w:lineRule="auto"/>
              <w:jc w:val="both"/>
              <w:rPr>
                <w:rFonts w:ascii="Arial" w:hAnsi="Arial" w:cs="Arial"/>
                <w:b/>
                <w:lang w:val="en-US"/>
              </w:rPr>
            </w:pPr>
          </w:p>
        </w:tc>
        <w:tc>
          <w:tcPr>
            <w:tcW w:w="0" w:type="auto"/>
          </w:tcPr>
          <w:p w14:paraId="08BB464C"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Refers to the use of indirect evidence to measure validity </w:t>
            </w:r>
            <w:proofErr w:type="gramStart"/>
            <w:r w:rsidRPr="00B37B92">
              <w:rPr>
                <w:rFonts w:ascii="Arial" w:hAnsi="Arial" w:cs="Arial"/>
                <w:lang w:val="en-US"/>
              </w:rPr>
              <w:t>in the event that</w:t>
            </w:r>
            <w:proofErr w:type="gramEnd"/>
            <w:r w:rsidRPr="00B37B92">
              <w:rPr>
                <w:rFonts w:ascii="Arial" w:hAnsi="Arial" w:cs="Arial"/>
                <w:lang w:val="en-US"/>
              </w:rPr>
              <w:t xml:space="preserve"> a “gold standard” is not available (47). </w:t>
            </w:r>
          </w:p>
        </w:tc>
        <w:tc>
          <w:tcPr>
            <w:tcW w:w="0" w:type="auto"/>
          </w:tcPr>
          <w:p w14:paraId="1384805E"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A positive score was assigned if the total score on the BCS and its cognitive domains were correlated with the MMSE, functional scales, or clinical dementia rating (CDR) scores in the individuals evaluated and if Spearman’s correlation coefficient was applied when the data distribution was not normal.</w:t>
            </w:r>
          </w:p>
        </w:tc>
      </w:tr>
      <w:tr w:rsidR="003550F2" w:rsidRPr="00C2656C" w14:paraId="22389DBE" w14:textId="77777777" w:rsidTr="00C56A10">
        <w:tc>
          <w:tcPr>
            <w:tcW w:w="0" w:type="auto"/>
          </w:tcPr>
          <w:p w14:paraId="15383A0A"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lastRenderedPageBreak/>
              <w:t>Reproducibility</w:t>
            </w:r>
          </w:p>
          <w:p w14:paraId="29174842" w14:textId="77777777" w:rsidR="003550F2" w:rsidRPr="00B37B92" w:rsidRDefault="003550F2" w:rsidP="00C56A10">
            <w:pPr>
              <w:spacing w:line="480" w:lineRule="auto"/>
              <w:jc w:val="both"/>
              <w:rPr>
                <w:rFonts w:ascii="Arial" w:hAnsi="Arial" w:cs="Arial"/>
                <w:b/>
                <w:lang w:val="en-US"/>
              </w:rPr>
            </w:pPr>
          </w:p>
        </w:tc>
        <w:tc>
          <w:tcPr>
            <w:tcW w:w="0" w:type="auto"/>
          </w:tcPr>
          <w:p w14:paraId="7D3BCF69"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Refers to the degree to which repeated measures in stable patients produce the same results (47). The concept of reproducibility includes two elements: agreement and reliability. Agreement reflects the extent to which repeated measures produce the same results, which may be expressed as the standard error of measurement (SEM) or a Bland-Altman plot (49). Reliability assures us that patient groups evaluated with the BCS can be distinguished from controls or other patient groups despite measurement error. Reliability can be evaluated using a statistic such as the intraclass correlation coefficient (ICC) (50).</w:t>
            </w:r>
          </w:p>
        </w:tc>
        <w:tc>
          <w:tcPr>
            <w:tcW w:w="0" w:type="auto"/>
          </w:tcPr>
          <w:p w14:paraId="7A90DB43"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A positive score was assigned if the ICC </w:t>
            </w:r>
            <w:r w:rsidRPr="00B37B92">
              <w:rPr>
                <w:rFonts w:ascii="Arial" w:hAnsi="Arial" w:cs="Arial"/>
                <w:lang w:val="en-US"/>
              </w:rPr>
              <w:sym w:font="Symbol" w:char="F0B3"/>
            </w:r>
            <w:r w:rsidRPr="00B37B92">
              <w:rPr>
                <w:rFonts w:ascii="Arial" w:hAnsi="Arial" w:cs="Arial"/>
                <w:lang w:val="en-US"/>
              </w:rPr>
              <w:t>0.70.</w:t>
            </w:r>
          </w:p>
        </w:tc>
      </w:tr>
      <w:tr w:rsidR="003550F2" w:rsidRPr="00C2656C" w14:paraId="44E0A286" w14:textId="77777777" w:rsidTr="00C56A10">
        <w:tc>
          <w:tcPr>
            <w:tcW w:w="0" w:type="auto"/>
          </w:tcPr>
          <w:p w14:paraId="710833FF"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Diagnostic accuracy</w:t>
            </w:r>
          </w:p>
          <w:p w14:paraId="62BFC3C2" w14:textId="77777777" w:rsidR="003550F2" w:rsidRPr="00B37B92" w:rsidRDefault="003550F2" w:rsidP="00C56A10">
            <w:pPr>
              <w:spacing w:line="480" w:lineRule="auto"/>
              <w:jc w:val="both"/>
              <w:rPr>
                <w:rFonts w:ascii="Arial" w:hAnsi="Arial" w:cs="Arial"/>
                <w:b/>
                <w:lang w:val="en-US"/>
              </w:rPr>
            </w:pPr>
          </w:p>
        </w:tc>
        <w:tc>
          <w:tcPr>
            <w:tcW w:w="0" w:type="auto"/>
          </w:tcPr>
          <w:p w14:paraId="71C5C8B5" w14:textId="77777777" w:rsidR="003550F2" w:rsidRPr="00B37B92" w:rsidRDefault="003550F2" w:rsidP="00C56A10">
            <w:pPr>
              <w:spacing w:line="480" w:lineRule="auto"/>
              <w:jc w:val="both"/>
              <w:rPr>
                <w:rFonts w:ascii="Arial" w:hAnsi="Arial" w:cs="Arial"/>
                <w:b/>
                <w:lang w:val="en-US"/>
              </w:rPr>
            </w:pPr>
            <w:r w:rsidRPr="00B37B92">
              <w:rPr>
                <w:rFonts w:ascii="Arial" w:hAnsi="Arial" w:cs="Arial"/>
                <w:lang w:val="en-US"/>
              </w:rPr>
              <w:t xml:space="preserve">Diagnostic accuracy was evaluated according to the results of the receiver operating characteristic (ROC) curve analysis. ROC analysis can be used to identify cut-off points and calculate the area under the curve (AUC) </w:t>
            </w:r>
            <w:proofErr w:type="gramStart"/>
            <w:r w:rsidRPr="00B37B92">
              <w:rPr>
                <w:rFonts w:ascii="Arial" w:hAnsi="Arial" w:cs="Arial"/>
                <w:lang w:val="en-US"/>
              </w:rPr>
              <w:t>in order to</w:t>
            </w:r>
            <w:proofErr w:type="gramEnd"/>
            <w:r w:rsidRPr="00B37B92">
              <w:rPr>
                <w:rFonts w:ascii="Arial" w:hAnsi="Arial" w:cs="Arial"/>
                <w:lang w:val="en-US"/>
              </w:rPr>
              <w:t xml:space="preserve"> assess the sensitivity, specificity, and predictive value of the various cut-off points (48,51). </w:t>
            </w:r>
          </w:p>
        </w:tc>
        <w:tc>
          <w:tcPr>
            <w:tcW w:w="0" w:type="auto"/>
          </w:tcPr>
          <w:p w14:paraId="4BB1C2C9"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A positive score was assigned if the if AUC was </w:t>
            </w:r>
            <w:r w:rsidRPr="00B37B92">
              <w:rPr>
                <w:rFonts w:ascii="Arial" w:hAnsi="Arial" w:cs="Arial"/>
                <w:lang w:val="en-US"/>
              </w:rPr>
              <w:sym w:font="Symbol" w:char="F0B3"/>
            </w:r>
            <w:r w:rsidRPr="00B37B92">
              <w:rPr>
                <w:rFonts w:ascii="Arial" w:hAnsi="Arial" w:cs="Arial"/>
                <w:lang w:val="en-US"/>
              </w:rPr>
              <w:t>0.70.</w:t>
            </w:r>
          </w:p>
          <w:p w14:paraId="7D8A7CBF" w14:textId="77777777" w:rsidR="003550F2" w:rsidRPr="00B37B92" w:rsidRDefault="003550F2" w:rsidP="00C56A10">
            <w:pPr>
              <w:spacing w:line="480" w:lineRule="auto"/>
              <w:jc w:val="both"/>
              <w:rPr>
                <w:rFonts w:ascii="Arial" w:hAnsi="Arial" w:cs="Arial"/>
                <w:lang w:val="en-US"/>
              </w:rPr>
            </w:pPr>
          </w:p>
        </w:tc>
      </w:tr>
      <w:tr w:rsidR="003550F2" w:rsidRPr="00C2656C" w14:paraId="487896A3" w14:textId="77777777" w:rsidTr="00C56A10">
        <w:tc>
          <w:tcPr>
            <w:tcW w:w="0" w:type="auto"/>
          </w:tcPr>
          <w:p w14:paraId="78C7C153"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Floor and ceiling effects</w:t>
            </w:r>
          </w:p>
          <w:p w14:paraId="22507468" w14:textId="77777777" w:rsidR="003550F2" w:rsidRPr="00B37B92" w:rsidRDefault="003550F2" w:rsidP="00C56A10">
            <w:pPr>
              <w:spacing w:line="480" w:lineRule="auto"/>
              <w:jc w:val="both"/>
              <w:rPr>
                <w:rFonts w:ascii="Arial" w:hAnsi="Arial" w:cs="Arial"/>
                <w:b/>
                <w:lang w:val="en-US"/>
              </w:rPr>
            </w:pPr>
          </w:p>
        </w:tc>
        <w:tc>
          <w:tcPr>
            <w:tcW w:w="0" w:type="auto"/>
          </w:tcPr>
          <w:p w14:paraId="038E78F3"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t xml:space="preserve">A floor or ceiling effect was determined to be present if more than 15% of patients obtained the lowest (floor) or highest (ceiling) scores possible. When these effects are present, patients above </w:t>
            </w:r>
            <w:r w:rsidRPr="00B37B92">
              <w:rPr>
                <w:rFonts w:ascii="Arial" w:hAnsi="Arial" w:cs="Arial"/>
                <w:lang w:val="en-US"/>
              </w:rPr>
              <w:lastRenderedPageBreak/>
              <w:t xml:space="preserve">or below these limits cannot be distinguished from </w:t>
            </w:r>
            <w:proofErr w:type="gramStart"/>
            <w:r w:rsidRPr="00B37B92">
              <w:rPr>
                <w:rFonts w:ascii="Arial" w:hAnsi="Arial" w:cs="Arial"/>
                <w:lang w:val="en-US"/>
              </w:rPr>
              <w:t>one another, and</w:t>
            </w:r>
            <w:proofErr w:type="gramEnd"/>
            <w:r w:rsidRPr="00B37B92">
              <w:rPr>
                <w:rFonts w:ascii="Arial" w:hAnsi="Arial" w:cs="Arial"/>
                <w:lang w:val="en-US"/>
              </w:rPr>
              <w:t xml:space="preserve"> change or variability cannot be measured (47). </w:t>
            </w:r>
          </w:p>
        </w:tc>
        <w:tc>
          <w:tcPr>
            <w:tcW w:w="0" w:type="auto"/>
          </w:tcPr>
          <w:p w14:paraId="0BC2BA7A" w14:textId="77777777" w:rsidR="003550F2" w:rsidRPr="00B37B92" w:rsidRDefault="003550F2" w:rsidP="00C56A10">
            <w:pPr>
              <w:spacing w:line="480" w:lineRule="auto"/>
              <w:jc w:val="both"/>
              <w:rPr>
                <w:rFonts w:ascii="Arial" w:hAnsi="Arial" w:cs="Arial"/>
                <w:lang w:val="en-US"/>
              </w:rPr>
            </w:pPr>
            <w:r w:rsidRPr="00B37B92">
              <w:rPr>
                <w:rFonts w:ascii="Arial" w:hAnsi="Arial" w:cs="Arial"/>
                <w:lang w:val="en-US"/>
              </w:rPr>
              <w:lastRenderedPageBreak/>
              <w:t>A positive score was assigned if these effects were absent.</w:t>
            </w:r>
          </w:p>
        </w:tc>
      </w:tr>
      <w:tr w:rsidR="003550F2" w:rsidRPr="00C2656C" w14:paraId="743DFDDD" w14:textId="77777777" w:rsidTr="00C56A10">
        <w:tc>
          <w:tcPr>
            <w:tcW w:w="0" w:type="auto"/>
          </w:tcPr>
          <w:p w14:paraId="5537CD85" w14:textId="77777777" w:rsidR="003550F2" w:rsidRPr="00B37B92" w:rsidRDefault="003550F2" w:rsidP="00C56A10">
            <w:pPr>
              <w:spacing w:line="480" w:lineRule="auto"/>
              <w:jc w:val="both"/>
              <w:rPr>
                <w:rFonts w:ascii="Arial" w:hAnsi="Arial" w:cs="Arial"/>
                <w:b/>
                <w:lang w:val="en-US"/>
              </w:rPr>
            </w:pPr>
            <w:r w:rsidRPr="00B37B92">
              <w:rPr>
                <w:rFonts w:ascii="Arial" w:hAnsi="Arial" w:cs="Arial"/>
                <w:b/>
                <w:lang w:val="en-US"/>
              </w:rPr>
              <w:t>Interpretability</w:t>
            </w:r>
          </w:p>
          <w:p w14:paraId="58D44D25" w14:textId="77777777" w:rsidR="003550F2" w:rsidRPr="00B37B92" w:rsidRDefault="003550F2" w:rsidP="00C56A10">
            <w:pPr>
              <w:spacing w:line="480" w:lineRule="auto"/>
              <w:jc w:val="both"/>
              <w:rPr>
                <w:rFonts w:ascii="Arial" w:hAnsi="Arial" w:cs="Arial"/>
                <w:b/>
                <w:lang w:val="en-US"/>
              </w:rPr>
            </w:pPr>
          </w:p>
        </w:tc>
        <w:tc>
          <w:tcPr>
            <w:tcW w:w="0" w:type="auto"/>
          </w:tcPr>
          <w:p w14:paraId="63A05882" w14:textId="77777777" w:rsidR="003550F2" w:rsidRPr="00B37B92" w:rsidRDefault="003550F2" w:rsidP="00C56A10">
            <w:pPr>
              <w:pStyle w:val="HTMLconformatoprevio"/>
              <w:shd w:val="clear" w:color="auto" w:fill="FFFFFF"/>
              <w:spacing w:line="480" w:lineRule="auto"/>
              <w:jc w:val="both"/>
              <w:rPr>
                <w:rFonts w:ascii="Arial" w:hAnsi="Arial" w:cs="Arial"/>
                <w:b/>
                <w:sz w:val="22"/>
                <w:szCs w:val="22"/>
                <w:lang w:val="en-US"/>
              </w:rPr>
            </w:pPr>
            <w:r w:rsidRPr="00B37B92">
              <w:rPr>
                <w:rFonts w:ascii="Arial" w:hAnsi="Arial" w:cs="Arial"/>
                <w:sz w:val="22"/>
                <w:szCs w:val="22"/>
                <w:lang w:val="en-US"/>
              </w:rPr>
              <w:t>Refers to the capacity to assign qualitative meaning to the quantitative scores, so that the BCS results can be interpreted. Adequate information should be available to determine whether a score or a change in score is clinically significant (47).</w:t>
            </w:r>
            <w:r w:rsidRPr="00B37B92">
              <w:rPr>
                <w:rFonts w:ascii="Arial" w:hAnsi="Arial" w:cs="Arial"/>
                <w:color w:val="212121"/>
                <w:sz w:val="22"/>
                <w:szCs w:val="22"/>
                <w:lang w:val="en-US"/>
              </w:rPr>
              <w:t xml:space="preserve"> </w:t>
            </w:r>
          </w:p>
        </w:tc>
        <w:tc>
          <w:tcPr>
            <w:tcW w:w="0" w:type="auto"/>
          </w:tcPr>
          <w:p w14:paraId="19706BCA" w14:textId="77777777" w:rsidR="003550F2" w:rsidRPr="00B37B92" w:rsidRDefault="003550F2" w:rsidP="00C56A10">
            <w:pPr>
              <w:pStyle w:val="HTMLconformatoprevio"/>
              <w:shd w:val="clear" w:color="auto" w:fill="FFFFFF"/>
              <w:spacing w:line="480" w:lineRule="auto"/>
              <w:jc w:val="both"/>
              <w:rPr>
                <w:rFonts w:ascii="Arial" w:hAnsi="Arial" w:cs="Arial"/>
                <w:color w:val="212121"/>
                <w:sz w:val="22"/>
                <w:szCs w:val="22"/>
                <w:lang w:val="en-US"/>
              </w:rPr>
            </w:pPr>
            <w:r w:rsidRPr="00B37B92">
              <w:rPr>
                <w:rFonts w:ascii="Arial" w:hAnsi="Arial" w:cs="Arial"/>
                <w:color w:val="212121"/>
                <w:sz w:val="22"/>
                <w:szCs w:val="22"/>
                <w:lang w:val="en-US"/>
              </w:rPr>
              <w:t>A positive score was assigned if the authors provided statistics for:</w:t>
            </w:r>
          </w:p>
          <w:p w14:paraId="08E3E1D4" w14:textId="77777777" w:rsidR="003550F2" w:rsidRPr="00B37B92" w:rsidRDefault="003550F2" w:rsidP="003550F2">
            <w:pPr>
              <w:pStyle w:val="HTMLconformatoprevio"/>
              <w:numPr>
                <w:ilvl w:val="0"/>
                <w:numId w:val="1"/>
              </w:numPr>
              <w:shd w:val="clear" w:color="auto" w:fill="FFFFFF"/>
              <w:spacing w:line="480" w:lineRule="auto"/>
              <w:ind w:left="249" w:hanging="142"/>
              <w:jc w:val="both"/>
              <w:rPr>
                <w:rFonts w:ascii="Arial" w:hAnsi="Arial" w:cs="Arial"/>
                <w:color w:val="212121"/>
                <w:sz w:val="22"/>
                <w:szCs w:val="22"/>
                <w:lang w:val="en-US"/>
              </w:rPr>
            </w:pPr>
            <w:r w:rsidRPr="00B37B92">
              <w:rPr>
                <w:rFonts w:ascii="Arial" w:hAnsi="Arial" w:cs="Arial"/>
                <w:color w:val="212121"/>
                <w:sz w:val="22"/>
                <w:szCs w:val="22"/>
                <w:lang w:val="en-US"/>
              </w:rPr>
              <w:t xml:space="preserve"> A reference population (controls)</w:t>
            </w:r>
          </w:p>
          <w:p w14:paraId="295B3365" w14:textId="77777777" w:rsidR="003550F2" w:rsidRPr="00B37B92" w:rsidRDefault="003550F2" w:rsidP="003550F2">
            <w:pPr>
              <w:pStyle w:val="HTMLconformatoprevio"/>
              <w:numPr>
                <w:ilvl w:val="0"/>
                <w:numId w:val="1"/>
              </w:numPr>
              <w:shd w:val="clear" w:color="auto" w:fill="FFFFFF"/>
              <w:spacing w:line="480" w:lineRule="auto"/>
              <w:ind w:left="249" w:hanging="142"/>
              <w:jc w:val="both"/>
              <w:rPr>
                <w:rFonts w:ascii="Arial" w:hAnsi="Arial" w:cs="Arial"/>
                <w:color w:val="212121"/>
                <w:sz w:val="22"/>
                <w:szCs w:val="22"/>
                <w:lang w:val="en-US"/>
              </w:rPr>
            </w:pPr>
            <w:r w:rsidRPr="00B37B92">
              <w:rPr>
                <w:rFonts w:ascii="Arial" w:hAnsi="Arial" w:cs="Arial"/>
                <w:color w:val="212121"/>
                <w:sz w:val="22"/>
                <w:szCs w:val="22"/>
                <w:lang w:val="en-US"/>
              </w:rPr>
              <w:t xml:space="preserve"> Subgroups of relevant patients (dementia, subtype of dementia, MCI).</w:t>
            </w:r>
          </w:p>
          <w:p w14:paraId="2ACF7811" w14:textId="77777777" w:rsidR="003550F2" w:rsidRPr="00B37B92" w:rsidRDefault="003550F2" w:rsidP="00C56A10">
            <w:pPr>
              <w:pStyle w:val="HTMLconformatoprevio"/>
              <w:shd w:val="clear" w:color="auto" w:fill="FFFFFF"/>
              <w:spacing w:line="480" w:lineRule="auto"/>
              <w:jc w:val="both"/>
              <w:rPr>
                <w:rFonts w:ascii="Arial" w:hAnsi="Arial" w:cs="Arial"/>
                <w:sz w:val="22"/>
                <w:szCs w:val="22"/>
                <w:lang w:val="en-US"/>
              </w:rPr>
            </w:pPr>
          </w:p>
        </w:tc>
      </w:tr>
    </w:tbl>
    <w:p w14:paraId="0940F163" w14:textId="77777777" w:rsidR="003550F2" w:rsidRDefault="003550F2" w:rsidP="003550F2">
      <w:pPr>
        <w:rPr>
          <w:lang w:val="en-US"/>
        </w:rPr>
      </w:pPr>
      <w:r>
        <w:rPr>
          <w:lang w:val="en-US"/>
        </w:rPr>
        <w:br w:type="page"/>
      </w:r>
    </w:p>
    <w:tbl>
      <w:tblPr>
        <w:tblStyle w:val="Tablaconcuadrcula"/>
        <w:tblW w:w="1496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5"/>
        <w:gridCol w:w="3319"/>
        <w:gridCol w:w="3430"/>
        <w:gridCol w:w="3033"/>
        <w:gridCol w:w="2006"/>
      </w:tblGrid>
      <w:tr w:rsidR="003550F2" w:rsidRPr="00C2656C" w14:paraId="1089B147" w14:textId="77777777" w:rsidTr="00C56A10">
        <w:trPr>
          <w:trHeight w:val="336"/>
        </w:trPr>
        <w:tc>
          <w:tcPr>
            <w:tcW w:w="14963" w:type="dxa"/>
            <w:gridSpan w:val="5"/>
            <w:tcBorders>
              <w:bottom w:val="single" w:sz="4" w:space="0" w:color="auto"/>
            </w:tcBorders>
            <w:vAlign w:val="center"/>
          </w:tcPr>
          <w:p w14:paraId="1B791E3C" w14:textId="77777777" w:rsidR="003550F2" w:rsidRPr="007D2C5D" w:rsidRDefault="003550F2" w:rsidP="00C56A10">
            <w:pPr>
              <w:spacing w:line="480" w:lineRule="auto"/>
              <w:rPr>
                <w:rFonts w:ascii="Arial" w:hAnsi="Arial" w:cs="Arial"/>
                <w:sz w:val="18"/>
                <w:szCs w:val="18"/>
                <w:lang w:val="en-US"/>
              </w:rPr>
            </w:pPr>
            <w:r>
              <w:rPr>
                <w:rFonts w:ascii="Arial" w:hAnsi="Arial" w:cs="Arial"/>
                <w:b/>
                <w:bCs/>
                <w:sz w:val="18"/>
                <w:szCs w:val="18"/>
                <w:lang w:val="en-US"/>
              </w:rPr>
              <w:lastRenderedPageBreak/>
              <w:t xml:space="preserve">Supplementary </w:t>
            </w:r>
            <w:r w:rsidRPr="007D2C5D">
              <w:rPr>
                <w:rFonts w:ascii="Arial" w:hAnsi="Arial" w:cs="Arial"/>
                <w:b/>
                <w:bCs/>
                <w:sz w:val="18"/>
                <w:szCs w:val="18"/>
                <w:lang w:val="en-US"/>
              </w:rPr>
              <w:t xml:space="preserve">Table </w:t>
            </w:r>
            <w:r>
              <w:rPr>
                <w:rFonts w:ascii="Arial" w:hAnsi="Arial" w:cs="Arial"/>
                <w:b/>
                <w:bCs/>
                <w:sz w:val="18"/>
                <w:szCs w:val="18"/>
                <w:lang w:val="en-US"/>
              </w:rPr>
              <w:t>2</w:t>
            </w:r>
            <w:r w:rsidRPr="007D2C5D">
              <w:rPr>
                <w:rFonts w:ascii="Arial" w:hAnsi="Arial" w:cs="Arial"/>
                <w:b/>
                <w:bCs/>
                <w:sz w:val="18"/>
                <w:szCs w:val="18"/>
                <w:lang w:val="en-US"/>
              </w:rPr>
              <w:t xml:space="preserve">. </w:t>
            </w:r>
            <w:r w:rsidRPr="007D2C5D">
              <w:rPr>
                <w:rFonts w:ascii="Arial" w:hAnsi="Arial" w:cs="Arial"/>
                <w:sz w:val="18"/>
                <w:szCs w:val="18"/>
                <w:lang w:val="en-US"/>
              </w:rPr>
              <w:t>Studies report of low education level characteristic.</w:t>
            </w:r>
          </w:p>
        </w:tc>
      </w:tr>
      <w:tr w:rsidR="003550F2" w:rsidRPr="007D2C5D" w14:paraId="48AA23AE" w14:textId="77777777" w:rsidTr="00C56A10">
        <w:trPr>
          <w:trHeight w:val="336"/>
        </w:trPr>
        <w:tc>
          <w:tcPr>
            <w:tcW w:w="3175" w:type="dxa"/>
            <w:tcBorders>
              <w:top w:val="single" w:sz="4" w:space="0" w:color="auto"/>
              <w:bottom w:val="single" w:sz="4" w:space="0" w:color="auto"/>
            </w:tcBorders>
            <w:vAlign w:val="center"/>
          </w:tcPr>
          <w:p w14:paraId="0D629D3B" w14:textId="77777777" w:rsidR="003550F2" w:rsidRPr="007D2C5D" w:rsidRDefault="003550F2" w:rsidP="00C56A10">
            <w:pPr>
              <w:spacing w:line="480" w:lineRule="auto"/>
              <w:jc w:val="center"/>
              <w:rPr>
                <w:rFonts w:ascii="Arial" w:hAnsi="Arial" w:cs="Arial"/>
                <w:b/>
                <w:bCs/>
                <w:sz w:val="18"/>
                <w:szCs w:val="18"/>
                <w:lang w:val="en-US"/>
              </w:rPr>
            </w:pPr>
            <w:r w:rsidRPr="007D2C5D">
              <w:rPr>
                <w:rFonts w:ascii="Arial" w:hAnsi="Arial" w:cs="Arial"/>
                <w:b/>
                <w:bCs/>
                <w:sz w:val="18"/>
                <w:szCs w:val="18"/>
                <w:lang w:val="en-US"/>
              </w:rPr>
              <w:t>Study</w:t>
            </w:r>
          </w:p>
        </w:tc>
        <w:tc>
          <w:tcPr>
            <w:tcW w:w="3319" w:type="dxa"/>
            <w:tcBorders>
              <w:top w:val="single" w:sz="4" w:space="0" w:color="auto"/>
              <w:bottom w:val="single" w:sz="4" w:space="0" w:color="auto"/>
            </w:tcBorders>
            <w:vAlign w:val="center"/>
          </w:tcPr>
          <w:p w14:paraId="1B3688E6" w14:textId="77777777" w:rsidR="003550F2" w:rsidRPr="007D2C5D" w:rsidRDefault="003550F2" w:rsidP="00C56A10">
            <w:pPr>
              <w:spacing w:line="480" w:lineRule="auto"/>
              <w:jc w:val="center"/>
              <w:rPr>
                <w:rFonts w:ascii="Arial" w:hAnsi="Arial" w:cs="Arial"/>
                <w:b/>
                <w:bCs/>
                <w:sz w:val="18"/>
                <w:szCs w:val="18"/>
                <w:lang w:val="en-US"/>
              </w:rPr>
            </w:pPr>
            <w:r w:rsidRPr="007D2C5D">
              <w:rPr>
                <w:rFonts w:ascii="Arial" w:hAnsi="Arial" w:cs="Arial"/>
                <w:b/>
                <w:bCs/>
                <w:sz w:val="18"/>
                <w:szCs w:val="18"/>
                <w:lang w:val="en-US"/>
              </w:rPr>
              <w:t>N of participants</w:t>
            </w:r>
          </w:p>
        </w:tc>
        <w:tc>
          <w:tcPr>
            <w:tcW w:w="3430" w:type="dxa"/>
            <w:tcBorders>
              <w:top w:val="single" w:sz="4" w:space="0" w:color="auto"/>
              <w:bottom w:val="single" w:sz="4" w:space="0" w:color="auto"/>
            </w:tcBorders>
            <w:vAlign w:val="center"/>
          </w:tcPr>
          <w:p w14:paraId="162E9655" w14:textId="77777777" w:rsidR="003550F2" w:rsidRPr="007D2C5D" w:rsidRDefault="003550F2" w:rsidP="00C56A10">
            <w:pPr>
              <w:spacing w:line="480" w:lineRule="auto"/>
              <w:jc w:val="center"/>
              <w:rPr>
                <w:rFonts w:ascii="Arial" w:hAnsi="Arial" w:cs="Arial"/>
                <w:b/>
                <w:bCs/>
                <w:sz w:val="18"/>
                <w:szCs w:val="18"/>
                <w:lang w:val="en-US"/>
              </w:rPr>
            </w:pPr>
            <w:r w:rsidRPr="007D2C5D">
              <w:rPr>
                <w:rFonts w:ascii="Arial" w:hAnsi="Arial" w:cs="Arial"/>
                <w:b/>
                <w:bCs/>
                <w:sz w:val="18"/>
                <w:szCs w:val="18"/>
                <w:lang w:val="en-US"/>
              </w:rPr>
              <w:t>Number of low-educated and illiterate participants</w:t>
            </w:r>
          </w:p>
        </w:tc>
        <w:tc>
          <w:tcPr>
            <w:tcW w:w="3033" w:type="dxa"/>
            <w:tcBorders>
              <w:top w:val="single" w:sz="4" w:space="0" w:color="auto"/>
              <w:bottom w:val="single" w:sz="4" w:space="0" w:color="auto"/>
            </w:tcBorders>
            <w:vAlign w:val="center"/>
          </w:tcPr>
          <w:p w14:paraId="1449E5E4" w14:textId="77777777" w:rsidR="003550F2" w:rsidRPr="007D2C5D" w:rsidRDefault="003550F2" w:rsidP="00C56A10">
            <w:pPr>
              <w:spacing w:line="480" w:lineRule="auto"/>
              <w:jc w:val="center"/>
              <w:rPr>
                <w:rFonts w:ascii="Arial" w:hAnsi="Arial" w:cs="Arial"/>
                <w:b/>
                <w:bCs/>
                <w:sz w:val="18"/>
                <w:szCs w:val="18"/>
                <w:lang w:val="en-US"/>
              </w:rPr>
            </w:pPr>
            <w:r w:rsidRPr="007D2C5D">
              <w:rPr>
                <w:rFonts w:ascii="Arial" w:hAnsi="Arial" w:cs="Arial"/>
                <w:b/>
                <w:bCs/>
                <w:sz w:val="18"/>
                <w:szCs w:val="18"/>
                <w:lang w:val="en-US"/>
              </w:rPr>
              <w:t>Cut-off points</w:t>
            </w:r>
          </w:p>
        </w:tc>
        <w:tc>
          <w:tcPr>
            <w:tcW w:w="2005" w:type="dxa"/>
            <w:tcBorders>
              <w:top w:val="single" w:sz="4" w:space="0" w:color="auto"/>
              <w:bottom w:val="single" w:sz="4" w:space="0" w:color="auto"/>
            </w:tcBorders>
            <w:vAlign w:val="center"/>
          </w:tcPr>
          <w:p w14:paraId="72051957" w14:textId="77777777" w:rsidR="003550F2" w:rsidRPr="007D2C5D" w:rsidRDefault="003550F2" w:rsidP="00C56A10">
            <w:pPr>
              <w:spacing w:line="480" w:lineRule="auto"/>
              <w:jc w:val="center"/>
              <w:rPr>
                <w:rFonts w:ascii="Arial" w:hAnsi="Arial" w:cs="Arial"/>
                <w:b/>
                <w:bCs/>
                <w:sz w:val="18"/>
                <w:szCs w:val="18"/>
                <w:lang w:val="en-US"/>
              </w:rPr>
            </w:pPr>
            <w:r w:rsidRPr="007D2C5D">
              <w:rPr>
                <w:rFonts w:ascii="Arial" w:hAnsi="Arial" w:cs="Arial"/>
                <w:b/>
                <w:bCs/>
                <w:sz w:val="18"/>
                <w:szCs w:val="18"/>
                <w:lang w:val="en-US"/>
              </w:rPr>
              <w:t>Average MoCA scores</w:t>
            </w:r>
          </w:p>
        </w:tc>
      </w:tr>
      <w:tr w:rsidR="003550F2" w:rsidRPr="007D2C5D" w14:paraId="688AC474" w14:textId="77777777" w:rsidTr="00C56A10">
        <w:trPr>
          <w:trHeight w:val="801"/>
        </w:trPr>
        <w:tc>
          <w:tcPr>
            <w:tcW w:w="3175" w:type="dxa"/>
            <w:tcBorders>
              <w:top w:val="single" w:sz="4" w:space="0" w:color="auto"/>
            </w:tcBorders>
            <w:vAlign w:val="center"/>
          </w:tcPr>
          <w:p w14:paraId="42279477"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Gómez et al.</w:t>
            </w:r>
          </w:p>
        </w:tc>
        <w:tc>
          <w:tcPr>
            <w:tcW w:w="3319" w:type="dxa"/>
            <w:tcBorders>
              <w:top w:val="single" w:sz="4" w:space="0" w:color="auto"/>
            </w:tcBorders>
            <w:vAlign w:val="center"/>
          </w:tcPr>
          <w:p w14:paraId="0377734C"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150</w:t>
            </w:r>
          </w:p>
        </w:tc>
        <w:tc>
          <w:tcPr>
            <w:tcW w:w="3430" w:type="dxa"/>
            <w:tcBorders>
              <w:top w:val="single" w:sz="4" w:space="0" w:color="auto"/>
            </w:tcBorders>
            <w:vAlign w:val="center"/>
          </w:tcPr>
          <w:p w14:paraId="188EEAD3"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46 (30.7%)</w:t>
            </w:r>
          </w:p>
          <w:p w14:paraId="3DD36DAE"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74 (49.3%)</w:t>
            </w:r>
          </w:p>
          <w:p w14:paraId="73237B8F"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12 (8%)</w:t>
            </w:r>
          </w:p>
        </w:tc>
        <w:tc>
          <w:tcPr>
            <w:tcW w:w="3033" w:type="dxa"/>
            <w:tcBorders>
              <w:top w:val="single" w:sz="4" w:space="0" w:color="auto"/>
            </w:tcBorders>
            <w:vAlign w:val="center"/>
          </w:tcPr>
          <w:p w14:paraId="33480480"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Primary (5 years)</w:t>
            </w:r>
          </w:p>
          <w:p w14:paraId="6CE17D89"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Less than primary (&lt;5 years)</w:t>
            </w:r>
          </w:p>
          <w:p w14:paraId="2199E536"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Do not read or write (illiteracy)</w:t>
            </w:r>
          </w:p>
        </w:tc>
        <w:tc>
          <w:tcPr>
            <w:tcW w:w="2005" w:type="dxa"/>
            <w:tcBorders>
              <w:top w:val="single" w:sz="4" w:space="0" w:color="auto"/>
            </w:tcBorders>
            <w:vAlign w:val="center"/>
          </w:tcPr>
          <w:p w14:paraId="27FB0696"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18.28 pts.</w:t>
            </w:r>
          </w:p>
          <w:p w14:paraId="64386448"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16.16 pts.</w:t>
            </w:r>
          </w:p>
          <w:p w14:paraId="626C1C69"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16.16 pts.</w:t>
            </w:r>
          </w:p>
        </w:tc>
      </w:tr>
      <w:tr w:rsidR="003550F2" w:rsidRPr="007D2C5D" w14:paraId="138F028A" w14:textId="77777777" w:rsidTr="00C56A10">
        <w:trPr>
          <w:trHeight w:val="782"/>
        </w:trPr>
        <w:tc>
          <w:tcPr>
            <w:tcW w:w="3175" w:type="dxa"/>
            <w:vAlign w:val="center"/>
          </w:tcPr>
          <w:p w14:paraId="2E9F8DF4" w14:textId="77777777" w:rsidR="003550F2" w:rsidRPr="007D2C5D" w:rsidRDefault="003550F2" w:rsidP="00C56A10">
            <w:pPr>
              <w:spacing w:line="480" w:lineRule="auto"/>
              <w:rPr>
                <w:rFonts w:ascii="Arial" w:hAnsi="Arial" w:cs="Arial"/>
                <w:sz w:val="18"/>
                <w:szCs w:val="18"/>
              </w:rPr>
            </w:pPr>
            <w:r w:rsidRPr="007D2C5D">
              <w:rPr>
                <w:rFonts w:ascii="Arial" w:hAnsi="Arial" w:cs="Arial"/>
                <w:sz w:val="18"/>
                <w:szCs w:val="18"/>
              </w:rPr>
              <w:t>Pereira-Manrique et al.</w:t>
            </w:r>
          </w:p>
        </w:tc>
        <w:tc>
          <w:tcPr>
            <w:tcW w:w="3319" w:type="dxa"/>
            <w:vAlign w:val="center"/>
          </w:tcPr>
          <w:p w14:paraId="3A158E20"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226</w:t>
            </w:r>
          </w:p>
        </w:tc>
        <w:tc>
          <w:tcPr>
            <w:tcW w:w="3430" w:type="dxa"/>
            <w:vAlign w:val="center"/>
          </w:tcPr>
          <w:p w14:paraId="67FA3C36"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31 (14%)</w:t>
            </w:r>
          </w:p>
          <w:p w14:paraId="05E4D49D"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92 (41%)</w:t>
            </w:r>
          </w:p>
          <w:p w14:paraId="36BD3B37"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85 (38%)</w:t>
            </w:r>
          </w:p>
        </w:tc>
        <w:tc>
          <w:tcPr>
            <w:tcW w:w="3033" w:type="dxa"/>
            <w:vAlign w:val="center"/>
          </w:tcPr>
          <w:p w14:paraId="14957EF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Complete primary</w:t>
            </w:r>
          </w:p>
          <w:p w14:paraId="4634258A"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Incomplete primary</w:t>
            </w:r>
          </w:p>
          <w:p w14:paraId="5991033C"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Illiteracy</w:t>
            </w:r>
          </w:p>
        </w:tc>
        <w:tc>
          <w:tcPr>
            <w:tcW w:w="2005" w:type="dxa"/>
            <w:vAlign w:val="center"/>
          </w:tcPr>
          <w:p w14:paraId="2B36086A"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18 pts.</w:t>
            </w:r>
          </w:p>
          <w:p w14:paraId="52ED8866"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17 pts.</w:t>
            </w:r>
          </w:p>
          <w:p w14:paraId="7D968C3D"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14 pts.</w:t>
            </w:r>
          </w:p>
        </w:tc>
      </w:tr>
      <w:tr w:rsidR="003550F2" w:rsidRPr="007D2C5D" w14:paraId="353912EC" w14:textId="77777777" w:rsidTr="00C56A10">
        <w:trPr>
          <w:trHeight w:val="395"/>
        </w:trPr>
        <w:tc>
          <w:tcPr>
            <w:tcW w:w="3175" w:type="dxa"/>
            <w:vAlign w:val="center"/>
          </w:tcPr>
          <w:p w14:paraId="70611DB4" w14:textId="77777777" w:rsidR="003550F2" w:rsidRPr="007D2C5D" w:rsidRDefault="003550F2" w:rsidP="00C56A10">
            <w:pPr>
              <w:spacing w:line="480" w:lineRule="auto"/>
              <w:rPr>
                <w:rFonts w:ascii="Arial" w:hAnsi="Arial" w:cs="Arial"/>
                <w:sz w:val="18"/>
                <w:szCs w:val="18"/>
              </w:rPr>
            </w:pPr>
            <w:r w:rsidRPr="007D2C5D">
              <w:rPr>
                <w:rFonts w:ascii="Arial" w:hAnsi="Arial" w:cs="Arial"/>
                <w:sz w:val="18"/>
                <w:szCs w:val="18"/>
              </w:rPr>
              <w:t>Gil et al.</w:t>
            </w:r>
          </w:p>
        </w:tc>
        <w:tc>
          <w:tcPr>
            <w:tcW w:w="3319" w:type="dxa"/>
            <w:vAlign w:val="center"/>
          </w:tcPr>
          <w:p w14:paraId="58BD7DB9"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193</w:t>
            </w:r>
          </w:p>
        </w:tc>
        <w:tc>
          <w:tcPr>
            <w:tcW w:w="3430" w:type="dxa"/>
            <w:vAlign w:val="center"/>
          </w:tcPr>
          <w:p w14:paraId="788CFB72"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9 (4.6%)</w:t>
            </w:r>
          </w:p>
          <w:p w14:paraId="53972B11"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vAlign w:val="center"/>
          </w:tcPr>
          <w:p w14:paraId="695BFF51"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&lt; 5 years</w:t>
            </w:r>
          </w:p>
          <w:p w14:paraId="095EC5F5"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Illiteracy</w:t>
            </w:r>
          </w:p>
        </w:tc>
        <w:tc>
          <w:tcPr>
            <w:tcW w:w="2005" w:type="dxa"/>
            <w:vAlign w:val="center"/>
          </w:tcPr>
          <w:p w14:paraId="13DD015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p w14:paraId="2088A545"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1F45B903" w14:textId="77777777" w:rsidTr="00C56A10">
        <w:trPr>
          <w:trHeight w:val="664"/>
        </w:trPr>
        <w:tc>
          <w:tcPr>
            <w:tcW w:w="3175" w:type="dxa"/>
            <w:vAlign w:val="center"/>
          </w:tcPr>
          <w:p w14:paraId="6997ACD1" w14:textId="77777777" w:rsidR="003550F2" w:rsidRPr="007D2C5D" w:rsidRDefault="003550F2" w:rsidP="00C56A10">
            <w:pPr>
              <w:spacing w:line="480" w:lineRule="auto"/>
              <w:rPr>
                <w:rFonts w:ascii="Arial" w:hAnsi="Arial" w:cs="Arial"/>
                <w:sz w:val="18"/>
                <w:szCs w:val="18"/>
              </w:rPr>
            </w:pPr>
            <w:r w:rsidRPr="007D2C5D">
              <w:rPr>
                <w:rFonts w:ascii="Arial" w:hAnsi="Arial" w:cs="Arial"/>
                <w:sz w:val="18"/>
                <w:szCs w:val="18"/>
              </w:rPr>
              <w:t>Pedraza et. al.</w:t>
            </w:r>
          </w:p>
        </w:tc>
        <w:tc>
          <w:tcPr>
            <w:tcW w:w="3319" w:type="dxa"/>
            <w:vAlign w:val="center"/>
          </w:tcPr>
          <w:p w14:paraId="7ACDB9E5"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1174</w:t>
            </w:r>
          </w:p>
        </w:tc>
        <w:tc>
          <w:tcPr>
            <w:tcW w:w="3430" w:type="dxa"/>
            <w:vAlign w:val="center"/>
          </w:tcPr>
          <w:p w14:paraId="41617C9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555 (47.3%)</w:t>
            </w:r>
          </w:p>
        </w:tc>
        <w:tc>
          <w:tcPr>
            <w:tcW w:w="3033" w:type="dxa"/>
            <w:vAlign w:val="center"/>
          </w:tcPr>
          <w:p w14:paraId="53F5134E"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Primary or less</w:t>
            </w:r>
          </w:p>
        </w:tc>
        <w:tc>
          <w:tcPr>
            <w:tcW w:w="2005" w:type="dxa"/>
            <w:vAlign w:val="center"/>
          </w:tcPr>
          <w:p w14:paraId="7BF2737F"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17.57 pts.</w:t>
            </w:r>
          </w:p>
        </w:tc>
      </w:tr>
      <w:tr w:rsidR="003550F2" w:rsidRPr="007D2C5D" w14:paraId="6ED2F682" w14:textId="77777777" w:rsidTr="00C56A10">
        <w:trPr>
          <w:trHeight w:val="541"/>
        </w:trPr>
        <w:tc>
          <w:tcPr>
            <w:tcW w:w="3175" w:type="dxa"/>
            <w:vAlign w:val="center"/>
          </w:tcPr>
          <w:p w14:paraId="50D774E4"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Aguilar-Navarro et al.</w:t>
            </w:r>
          </w:p>
        </w:tc>
        <w:tc>
          <w:tcPr>
            <w:tcW w:w="3319" w:type="dxa"/>
            <w:vAlign w:val="center"/>
          </w:tcPr>
          <w:p w14:paraId="74AC2FA2"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168</w:t>
            </w:r>
          </w:p>
        </w:tc>
        <w:tc>
          <w:tcPr>
            <w:tcW w:w="3430" w:type="dxa"/>
            <w:vAlign w:val="center"/>
          </w:tcPr>
          <w:p w14:paraId="0CAC4DC5"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vAlign w:val="center"/>
          </w:tcPr>
          <w:p w14:paraId="4930320B"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2005" w:type="dxa"/>
            <w:vAlign w:val="center"/>
          </w:tcPr>
          <w:p w14:paraId="58FCA1AB"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5A668557" w14:textId="77777777" w:rsidTr="00C56A10">
        <w:trPr>
          <w:trHeight w:val="790"/>
        </w:trPr>
        <w:tc>
          <w:tcPr>
            <w:tcW w:w="3175" w:type="dxa"/>
            <w:vAlign w:val="center"/>
          </w:tcPr>
          <w:p w14:paraId="2E47CDD1"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González et. al. *</w:t>
            </w:r>
          </w:p>
        </w:tc>
        <w:tc>
          <w:tcPr>
            <w:tcW w:w="3319" w:type="dxa"/>
            <w:vAlign w:val="center"/>
          </w:tcPr>
          <w:p w14:paraId="13AF96AE"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269</w:t>
            </w:r>
          </w:p>
        </w:tc>
        <w:tc>
          <w:tcPr>
            <w:tcW w:w="3430" w:type="dxa"/>
            <w:vAlign w:val="center"/>
          </w:tcPr>
          <w:p w14:paraId="52345D30"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vAlign w:val="center"/>
          </w:tcPr>
          <w:p w14:paraId="3DE7DB52"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2005" w:type="dxa"/>
            <w:vAlign w:val="center"/>
          </w:tcPr>
          <w:p w14:paraId="02D5AD50"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42A0D45B" w14:textId="77777777" w:rsidTr="00C56A10">
        <w:trPr>
          <w:trHeight w:val="801"/>
        </w:trPr>
        <w:tc>
          <w:tcPr>
            <w:tcW w:w="3175" w:type="dxa"/>
            <w:vAlign w:val="center"/>
          </w:tcPr>
          <w:p w14:paraId="2A164C0D"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 xml:space="preserve">Delgado </w:t>
            </w:r>
            <w:proofErr w:type="spellStart"/>
            <w:proofErr w:type="gramStart"/>
            <w:r w:rsidRPr="007D2C5D">
              <w:rPr>
                <w:rFonts w:ascii="Arial" w:hAnsi="Arial" w:cs="Arial"/>
                <w:sz w:val="18"/>
                <w:szCs w:val="18"/>
              </w:rPr>
              <w:t>et.al</w:t>
            </w:r>
            <w:proofErr w:type="spellEnd"/>
            <w:r w:rsidRPr="007D2C5D">
              <w:rPr>
                <w:rFonts w:ascii="Arial" w:hAnsi="Arial" w:cs="Arial"/>
                <w:sz w:val="18"/>
                <w:szCs w:val="18"/>
              </w:rPr>
              <w:t xml:space="preserve"> .</w:t>
            </w:r>
            <w:proofErr w:type="gramEnd"/>
            <w:r w:rsidRPr="007D2C5D">
              <w:rPr>
                <w:rFonts w:ascii="Arial" w:hAnsi="Arial" w:cs="Arial"/>
                <w:sz w:val="18"/>
                <w:szCs w:val="18"/>
              </w:rPr>
              <w:t>*</w:t>
            </w:r>
          </w:p>
        </w:tc>
        <w:tc>
          <w:tcPr>
            <w:tcW w:w="3319" w:type="dxa"/>
            <w:vAlign w:val="center"/>
          </w:tcPr>
          <w:p w14:paraId="3470595A"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172</w:t>
            </w:r>
          </w:p>
        </w:tc>
        <w:tc>
          <w:tcPr>
            <w:tcW w:w="3430" w:type="dxa"/>
            <w:vAlign w:val="center"/>
          </w:tcPr>
          <w:p w14:paraId="5520A83D"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vAlign w:val="center"/>
          </w:tcPr>
          <w:p w14:paraId="60E2FE21"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2005" w:type="dxa"/>
            <w:vAlign w:val="center"/>
          </w:tcPr>
          <w:p w14:paraId="7F3C2D3F"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14633F32" w14:textId="77777777" w:rsidTr="00C56A10">
        <w:trPr>
          <w:trHeight w:val="931"/>
        </w:trPr>
        <w:tc>
          <w:tcPr>
            <w:tcW w:w="3175" w:type="dxa"/>
            <w:vAlign w:val="center"/>
          </w:tcPr>
          <w:p w14:paraId="2EFF7450"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 xml:space="preserve">Serrano </w:t>
            </w:r>
            <w:proofErr w:type="spellStart"/>
            <w:r w:rsidRPr="007D2C5D">
              <w:rPr>
                <w:rFonts w:ascii="Arial" w:hAnsi="Arial" w:cs="Arial"/>
                <w:sz w:val="18"/>
                <w:szCs w:val="18"/>
              </w:rPr>
              <w:t>et.al</w:t>
            </w:r>
            <w:proofErr w:type="spellEnd"/>
            <w:r w:rsidRPr="007D2C5D">
              <w:rPr>
                <w:rFonts w:ascii="Arial" w:hAnsi="Arial" w:cs="Arial"/>
                <w:sz w:val="18"/>
                <w:szCs w:val="18"/>
              </w:rPr>
              <w:t>. *</w:t>
            </w:r>
          </w:p>
        </w:tc>
        <w:tc>
          <w:tcPr>
            <w:tcW w:w="3319" w:type="dxa"/>
            <w:vAlign w:val="center"/>
          </w:tcPr>
          <w:p w14:paraId="191DDEF5"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399</w:t>
            </w:r>
          </w:p>
        </w:tc>
        <w:tc>
          <w:tcPr>
            <w:tcW w:w="3430" w:type="dxa"/>
            <w:vAlign w:val="center"/>
          </w:tcPr>
          <w:p w14:paraId="29FF11D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311 (77.9%)</w:t>
            </w:r>
          </w:p>
          <w:p w14:paraId="395BCE07"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88 (22.1%)</w:t>
            </w:r>
          </w:p>
        </w:tc>
        <w:tc>
          <w:tcPr>
            <w:tcW w:w="3033" w:type="dxa"/>
            <w:vAlign w:val="center"/>
          </w:tcPr>
          <w:p w14:paraId="11FBBE7C"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4-11 years</w:t>
            </w:r>
          </w:p>
          <w:p w14:paraId="01C749A8"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≥12</w:t>
            </w:r>
          </w:p>
        </w:tc>
        <w:tc>
          <w:tcPr>
            <w:tcW w:w="2005" w:type="dxa"/>
            <w:vAlign w:val="center"/>
          </w:tcPr>
          <w:p w14:paraId="556164C2"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403E77CB" w14:textId="77777777" w:rsidTr="00C56A10">
        <w:trPr>
          <w:trHeight w:val="665"/>
        </w:trPr>
        <w:tc>
          <w:tcPr>
            <w:tcW w:w="3175" w:type="dxa"/>
            <w:vAlign w:val="center"/>
          </w:tcPr>
          <w:p w14:paraId="3E7C2E0A"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 xml:space="preserve">Bello-Lepe </w:t>
            </w:r>
            <w:proofErr w:type="spellStart"/>
            <w:r w:rsidRPr="007D2C5D">
              <w:rPr>
                <w:rFonts w:ascii="Arial" w:hAnsi="Arial" w:cs="Arial"/>
                <w:sz w:val="18"/>
                <w:szCs w:val="18"/>
              </w:rPr>
              <w:t>et.al</w:t>
            </w:r>
            <w:proofErr w:type="spellEnd"/>
            <w:r w:rsidRPr="007D2C5D">
              <w:rPr>
                <w:rFonts w:ascii="Arial" w:hAnsi="Arial" w:cs="Arial"/>
                <w:sz w:val="18"/>
                <w:szCs w:val="18"/>
              </w:rPr>
              <w:t>.</w:t>
            </w:r>
          </w:p>
        </w:tc>
        <w:tc>
          <w:tcPr>
            <w:tcW w:w="3319" w:type="dxa"/>
            <w:vAlign w:val="center"/>
          </w:tcPr>
          <w:p w14:paraId="3CFF1D69"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226</w:t>
            </w:r>
          </w:p>
        </w:tc>
        <w:tc>
          <w:tcPr>
            <w:tcW w:w="3430" w:type="dxa"/>
            <w:vAlign w:val="center"/>
          </w:tcPr>
          <w:p w14:paraId="22180E9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136</w:t>
            </w:r>
          </w:p>
          <w:p w14:paraId="0FF3F78B"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88</w:t>
            </w:r>
          </w:p>
        </w:tc>
        <w:tc>
          <w:tcPr>
            <w:tcW w:w="3033" w:type="dxa"/>
            <w:vAlign w:val="center"/>
          </w:tcPr>
          <w:p w14:paraId="1D6C56AE"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1–12 years</w:t>
            </w:r>
          </w:p>
          <w:p w14:paraId="60461A1D"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&gt;12 years</w:t>
            </w:r>
          </w:p>
        </w:tc>
        <w:tc>
          <w:tcPr>
            <w:tcW w:w="2005" w:type="dxa"/>
            <w:vAlign w:val="center"/>
          </w:tcPr>
          <w:p w14:paraId="7C64C09E"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7F673432" w14:textId="77777777" w:rsidTr="00C56A10">
        <w:trPr>
          <w:trHeight w:val="649"/>
        </w:trPr>
        <w:tc>
          <w:tcPr>
            <w:tcW w:w="3175" w:type="dxa"/>
            <w:vAlign w:val="center"/>
          </w:tcPr>
          <w:p w14:paraId="37866D1B"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Rodríguez et. al. *</w:t>
            </w:r>
          </w:p>
        </w:tc>
        <w:tc>
          <w:tcPr>
            <w:tcW w:w="3319" w:type="dxa"/>
            <w:vAlign w:val="center"/>
          </w:tcPr>
          <w:p w14:paraId="3B146DCA"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133</w:t>
            </w:r>
          </w:p>
        </w:tc>
        <w:tc>
          <w:tcPr>
            <w:tcW w:w="3430" w:type="dxa"/>
            <w:vAlign w:val="center"/>
          </w:tcPr>
          <w:p w14:paraId="19C4B514"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vAlign w:val="center"/>
          </w:tcPr>
          <w:p w14:paraId="2A6379D0"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2005" w:type="dxa"/>
            <w:vAlign w:val="center"/>
          </w:tcPr>
          <w:p w14:paraId="4544E738"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16BB57B3" w14:textId="77777777" w:rsidTr="00C56A10">
        <w:trPr>
          <w:trHeight w:val="804"/>
        </w:trPr>
        <w:tc>
          <w:tcPr>
            <w:tcW w:w="3175" w:type="dxa"/>
            <w:vAlign w:val="center"/>
          </w:tcPr>
          <w:p w14:paraId="354A4EBC" w14:textId="77777777" w:rsidR="003550F2" w:rsidRPr="007D2C5D" w:rsidRDefault="003550F2" w:rsidP="00C56A10">
            <w:pPr>
              <w:spacing w:line="480" w:lineRule="auto"/>
              <w:rPr>
                <w:rFonts w:ascii="Arial" w:hAnsi="Arial" w:cs="Arial"/>
                <w:sz w:val="18"/>
                <w:szCs w:val="18"/>
                <w:lang w:val="en-US"/>
              </w:rPr>
            </w:pPr>
            <w:proofErr w:type="spellStart"/>
            <w:r w:rsidRPr="007D2C5D">
              <w:rPr>
                <w:rFonts w:ascii="Arial" w:hAnsi="Arial" w:cs="Arial"/>
                <w:sz w:val="18"/>
                <w:szCs w:val="18"/>
              </w:rPr>
              <w:lastRenderedPageBreak/>
              <w:t>Vazquez</w:t>
            </w:r>
            <w:proofErr w:type="spellEnd"/>
            <w:r w:rsidRPr="007D2C5D">
              <w:rPr>
                <w:rFonts w:ascii="Arial" w:hAnsi="Arial" w:cs="Arial"/>
                <w:sz w:val="18"/>
                <w:szCs w:val="18"/>
              </w:rPr>
              <w:t xml:space="preserve"> et al.</w:t>
            </w:r>
          </w:p>
        </w:tc>
        <w:tc>
          <w:tcPr>
            <w:tcW w:w="3319" w:type="dxa"/>
            <w:vAlign w:val="center"/>
          </w:tcPr>
          <w:p w14:paraId="7EBB63C6"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93</w:t>
            </w:r>
          </w:p>
        </w:tc>
        <w:tc>
          <w:tcPr>
            <w:tcW w:w="3430" w:type="dxa"/>
            <w:vAlign w:val="center"/>
          </w:tcPr>
          <w:p w14:paraId="75EFAF31"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54 (58.06%)</w:t>
            </w:r>
          </w:p>
          <w:p w14:paraId="0720EC35"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5 (5.38%)</w:t>
            </w:r>
          </w:p>
        </w:tc>
        <w:tc>
          <w:tcPr>
            <w:tcW w:w="3033" w:type="dxa"/>
            <w:vAlign w:val="center"/>
          </w:tcPr>
          <w:p w14:paraId="1512550B"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Primary</w:t>
            </w:r>
          </w:p>
          <w:p w14:paraId="7B554BC7"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Illiteracy</w:t>
            </w:r>
          </w:p>
        </w:tc>
        <w:tc>
          <w:tcPr>
            <w:tcW w:w="2005" w:type="dxa"/>
            <w:vAlign w:val="center"/>
          </w:tcPr>
          <w:p w14:paraId="124907C2"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7D2C5D" w14:paraId="59F69DD8" w14:textId="77777777" w:rsidTr="00C56A10">
        <w:trPr>
          <w:trHeight w:val="535"/>
        </w:trPr>
        <w:tc>
          <w:tcPr>
            <w:tcW w:w="3175" w:type="dxa"/>
            <w:tcBorders>
              <w:bottom w:val="single" w:sz="4" w:space="0" w:color="auto"/>
            </w:tcBorders>
            <w:vAlign w:val="center"/>
          </w:tcPr>
          <w:p w14:paraId="2C2026AD"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rPr>
              <w:t xml:space="preserve">Matovelle et al. </w:t>
            </w:r>
          </w:p>
        </w:tc>
        <w:tc>
          <w:tcPr>
            <w:tcW w:w="3319" w:type="dxa"/>
            <w:tcBorders>
              <w:bottom w:val="single" w:sz="4" w:space="0" w:color="auto"/>
            </w:tcBorders>
            <w:vAlign w:val="center"/>
          </w:tcPr>
          <w:p w14:paraId="68787A9C" w14:textId="77777777" w:rsidR="003550F2" w:rsidRPr="007D2C5D" w:rsidRDefault="003550F2" w:rsidP="00C56A10">
            <w:pPr>
              <w:spacing w:line="480" w:lineRule="auto"/>
              <w:jc w:val="center"/>
              <w:rPr>
                <w:rFonts w:ascii="Arial" w:hAnsi="Arial" w:cs="Arial"/>
                <w:sz w:val="18"/>
                <w:szCs w:val="18"/>
              </w:rPr>
            </w:pPr>
            <w:r w:rsidRPr="007D2C5D">
              <w:rPr>
                <w:rFonts w:ascii="Arial" w:hAnsi="Arial" w:cs="Arial"/>
                <w:sz w:val="18"/>
                <w:szCs w:val="18"/>
                <w:lang w:val="en-US"/>
              </w:rPr>
              <w:t>200</w:t>
            </w:r>
          </w:p>
        </w:tc>
        <w:tc>
          <w:tcPr>
            <w:tcW w:w="3430" w:type="dxa"/>
            <w:tcBorders>
              <w:bottom w:val="single" w:sz="4" w:space="0" w:color="auto"/>
            </w:tcBorders>
            <w:vAlign w:val="center"/>
          </w:tcPr>
          <w:p w14:paraId="7104A29D"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3033" w:type="dxa"/>
            <w:tcBorders>
              <w:bottom w:val="single" w:sz="4" w:space="0" w:color="auto"/>
            </w:tcBorders>
            <w:vAlign w:val="center"/>
          </w:tcPr>
          <w:p w14:paraId="59DF491C"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c>
          <w:tcPr>
            <w:tcW w:w="2005" w:type="dxa"/>
            <w:tcBorders>
              <w:bottom w:val="single" w:sz="4" w:space="0" w:color="auto"/>
            </w:tcBorders>
            <w:vAlign w:val="center"/>
          </w:tcPr>
          <w:p w14:paraId="66049C8C" w14:textId="77777777" w:rsidR="003550F2" w:rsidRPr="007D2C5D" w:rsidRDefault="003550F2" w:rsidP="00C56A10">
            <w:pPr>
              <w:spacing w:line="480" w:lineRule="auto"/>
              <w:jc w:val="center"/>
              <w:rPr>
                <w:rFonts w:ascii="Arial" w:hAnsi="Arial" w:cs="Arial"/>
                <w:sz w:val="18"/>
                <w:szCs w:val="18"/>
                <w:lang w:val="en-US"/>
              </w:rPr>
            </w:pPr>
            <w:r w:rsidRPr="007D2C5D">
              <w:rPr>
                <w:rFonts w:ascii="Arial" w:hAnsi="Arial" w:cs="Arial"/>
                <w:sz w:val="18"/>
                <w:szCs w:val="18"/>
                <w:lang w:val="en-US"/>
              </w:rPr>
              <w:t>NR</w:t>
            </w:r>
          </w:p>
        </w:tc>
      </w:tr>
      <w:tr w:rsidR="003550F2" w:rsidRPr="00C2656C" w14:paraId="0AEFA7E3" w14:textId="77777777" w:rsidTr="00C56A10">
        <w:trPr>
          <w:trHeight w:val="535"/>
        </w:trPr>
        <w:tc>
          <w:tcPr>
            <w:tcW w:w="14963" w:type="dxa"/>
            <w:gridSpan w:val="5"/>
            <w:tcBorders>
              <w:bottom w:val="single" w:sz="4" w:space="0" w:color="auto"/>
            </w:tcBorders>
            <w:vAlign w:val="center"/>
          </w:tcPr>
          <w:p w14:paraId="65125264" w14:textId="77777777" w:rsidR="003550F2" w:rsidRPr="007D2C5D" w:rsidRDefault="003550F2" w:rsidP="00C56A10">
            <w:pPr>
              <w:spacing w:line="480" w:lineRule="auto"/>
              <w:rPr>
                <w:rFonts w:ascii="Arial" w:hAnsi="Arial" w:cs="Arial"/>
                <w:sz w:val="18"/>
                <w:szCs w:val="18"/>
                <w:lang w:val="en-US"/>
              </w:rPr>
            </w:pPr>
            <w:r w:rsidRPr="007D2C5D">
              <w:rPr>
                <w:rFonts w:ascii="Arial" w:hAnsi="Arial" w:cs="Arial"/>
                <w:sz w:val="18"/>
                <w:szCs w:val="18"/>
                <w:lang w:val="en-US"/>
              </w:rPr>
              <w:t>NR Not reported, *Studies excluded illiteracy participants</w:t>
            </w:r>
          </w:p>
        </w:tc>
      </w:tr>
    </w:tbl>
    <w:p w14:paraId="270875F9" w14:textId="77777777" w:rsidR="003550F2" w:rsidRDefault="003550F2" w:rsidP="003550F2">
      <w:pPr>
        <w:rPr>
          <w:lang w:val="en-US"/>
        </w:rPr>
      </w:pPr>
    </w:p>
    <w:p w14:paraId="1CFC738B" w14:textId="60ECA637" w:rsidR="001D2587" w:rsidRPr="003550F2" w:rsidRDefault="001D2587">
      <w:pPr>
        <w:rPr>
          <w:lang w:val="en-US"/>
        </w:rPr>
      </w:pPr>
    </w:p>
    <w:sectPr w:rsidR="001D2587" w:rsidRPr="003550F2" w:rsidSect="00D47374">
      <w:pgSz w:w="16838" w:h="11906" w:orient="landscape"/>
      <w:pgMar w:top="56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43390"/>
    <w:multiLevelType w:val="hybridMultilevel"/>
    <w:tmpl w:val="0B2AD038"/>
    <w:lvl w:ilvl="0" w:tplc="B24A7034">
      <w:start w:val="1"/>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39F3AE1"/>
    <w:multiLevelType w:val="hybridMultilevel"/>
    <w:tmpl w:val="A5F8AED0"/>
    <w:lvl w:ilvl="0" w:tplc="B24A7034">
      <w:start w:val="1"/>
      <w:numFmt w:val="bullet"/>
      <w:lvlText w:val="-"/>
      <w:lvlJc w:val="left"/>
      <w:pPr>
        <w:ind w:left="720" w:hanging="360"/>
      </w:pPr>
      <w:rPr>
        <w:rFonts w:ascii="Times New Roman" w:eastAsia="Times New Roman" w:hAnsi="Times New Roman" w:cs="Times New Roman"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261452925">
    <w:abstractNumId w:val="0"/>
  </w:num>
  <w:num w:numId="2" w16cid:durableId="772895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0F2"/>
    <w:rsid w:val="001D2587"/>
    <w:rsid w:val="003550F2"/>
    <w:rsid w:val="005F19E3"/>
    <w:rsid w:val="009551CA"/>
    <w:rsid w:val="009A1100"/>
    <w:rsid w:val="00C2656C"/>
    <w:rsid w:val="00D4737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BDD80"/>
  <w15:chartTrackingRefBased/>
  <w15:docId w15:val="{B6BCCAA5-32A3-4661-8A7E-1B98FAE8D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0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550F2"/>
    <w:pPr>
      <w:ind w:left="720"/>
      <w:contextualSpacing/>
    </w:pPr>
  </w:style>
  <w:style w:type="table" w:styleId="Tablaconcuadrcula">
    <w:name w:val="Table Grid"/>
    <w:basedOn w:val="Tablanormal"/>
    <w:uiPriority w:val="39"/>
    <w:rsid w:val="003550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unhideWhenUsed/>
    <w:rsid w:val="00355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PE"/>
      <w14:ligatures w14:val="none"/>
    </w:rPr>
  </w:style>
  <w:style w:type="character" w:customStyle="1" w:styleId="HTMLconformatoprevioCar">
    <w:name w:val="HTML con formato previo Car"/>
    <w:basedOn w:val="Fuentedeprrafopredeter"/>
    <w:link w:val="HTMLconformatoprevio"/>
    <w:uiPriority w:val="99"/>
    <w:rsid w:val="003550F2"/>
    <w:rPr>
      <w:rFonts w:ascii="Courier New" w:eastAsia="Times New Roman" w:hAnsi="Courier New" w:cs="Courier New"/>
      <w:kern w:val="0"/>
      <w:sz w:val="20"/>
      <w:szCs w:val="20"/>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884</Words>
  <Characters>4868</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ANDREE BUSTAMANTE PAYTAN</dc:creator>
  <cp:keywords/>
  <dc:description/>
  <cp:lastModifiedBy>DIEGO ANDREE BUSTAMANTE PAYTAN</cp:lastModifiedBy>
  <cp:revision>2</cp:revision>
  <dcterms:created xsi:type="dcterms:W3CDTF">2024-01-23T01:07:00Z</dcterms:created>
  <dcterms:modified xsi:type="dcterms:W3CDTF">2024-01-23T01:07:00Z</dcterms:modified>
</cp:coreProperties>
</file>