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D4127" w14:textId="77777777" w:rsidR="00D022CD" w:rsidRDefault="00D022CD" w:rsidP="00D022CD">
      <w:pPr>
        <w:spacing w:line="360" w:lineRule="auto"/>
        <w:rPr>
          <w:b/>
        </w:rPr>
      </w:pPr>
      <w:r>
        <w:rPr>
          <w:b/>
        </w:rPr>
        <w:t>Supplementary figures and tables:</w:t>
      </w:r>
    </w:p>
    <w:p w14:paraId="2BE96F74" w14:textId="77777777" w:rsidR="00D022CD" w:rsidRDefault="00D022CD" w:rsidP="00D022CD">
      <w:pPr>
        <w:spacing w:line="360" w:lineRule="auto"/>
      </w:pPr>
    </w:p>
    <w:p w14:paraId="35657967" w14:textId="77777777" w:rsidR="00D022CD" w:rsidRDefault="00D022CD" w:rsidP="00D022CD">
      <w:pPr>
        <w:spacing w:line="360" w:lineRule="auto"/>
        <w:jc w:val="center"/>
      </w:pPr>
      <w:r>
        <w:rPr>
          <w:noProof/>
          <w:lang w:val="sk-SK" w:eastAsia="sk-SK"/>
        </w:rPr>
        <w:drawing>
          <wp:inline distT="114300" distB="114300" distL="114300" distR="114300" wp14:anchorId="7AF9CA5A" wp14:editId="5BD4EB8F">
            <wp:extent cx="4063838" cy="2656448"/>
            <wp:effectExtent l="25400" t="25400" r="25400" b="25400"/>
            <wp:docPr id="188873149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63838" cy="2656448"/>
                    </a:xfrm>
                    <a:prstGeom prst="rect">
                      <a:avLst/>
                    </a:prstGeom>
                    <a:ln w="254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10EF2A1B" w14:textId="77777777" w:rsidR="00D022CD" w:rsidRDefault="00D022CD" w:rsidP="00D022CD">
      <w:pPr>
        <w:spacing w:line="360" w:lineRule="auto"/>
        <w:jc w:val="center"/>
      </w:pPr>
    </w:p>
    <w:p w14:paraId="422EFE70" w14:textId="77777777" w:rsidR="00D022CD" w:rsidRDefault="00D022CD" w:rsidP="00D022CD">
      <w:pPr>
        <w:spacing w:line="360" w:lineRule="auto"/>
        <w:jc w:val="both"/>
      </w:pPr>
      <w:r>
        <w:rPr>
          <w:b/>
        </w:rPr>
        <w:t>S Figure 1</w:t>
      </w:r>
      <w:r>
        <w:t>. The Kaplan-Meier curve shows a comparison of survival rates within the FMT group. In this figure, patients were divided into groups according to gender (male/female). We did not observe any statistical difference in survival between these groups. (p=0.92)</w:t>
      </w:r>
    </w:p>
    <w:p w14:paraId="1FE3E41C" w14:textId="77777777" w:rsidR="00D022CD" w:rsidRDefault="00D022CD" w:rsidP="00D022CD">
      <w:pPr>
        <w:spacing w:line="360" w:lineRule="auto"/>
        <w:jc w:val="both"/>
      </w:pPr>
    </w:p>
    <w:p w14:paraId="04B2BC59" w14:textId="77777777" w:rsidR="00D022CD" w:rsidRDefault="00D022CD" w:rsidP="00D022CD">
      <w:pPr>
        <w:spacing w:line="360" w:lineRule="auto"/>
        <w:jc w:val="center"/>
      </w:pPr>
    </w:p>
    <w:p w14:paraId="57F06252" w14:textId="77777777" w:rsidR="00D022CD" w:rsidRDefault="00D022CD" w:rsidP="00D022CD">
      <w:pPr>
        <w:spacing w:line="360" w:lineRule="auto"/>
        <w:jc w:val="center"/>
      </w:pPr>
    </w:p>
    <w:p w14:paraId="3BF8C246" w14:textId="77777777" w:rsidR="00D022CD" w:rsidRDefault="00D022CD" w:rsidP="00D022CD">
      <w:pPr>
        <w:spacing w:line="360" w:lineRule="auto"/>
        <w:jc w:val="center"/>
      </w:pPr>
      <w:r>
        <w:rPr>
          <w:noProof/>
          <w:lang w:val="sk-SK" w:eastAsia="sk-SK"/>
        </w:rPr>
        <w:drawing>
          <wp:inline distT="114300" distB="114300" distL="114300" distR="114300" wp14:anchorId="125DB960" wp14:editId="309D44FC">
            <wp:extent cx="4305618" cy="2818222"/>
            <wp:effectExtent l="25400" t="25400" r="25400" b="25400"/>
            <wp:docPr id="188873147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5618" cy="2818222"/>
                    </a:xfrm>
                    <a:prstGeom prst="rect">
                      <a:avLst/>
                    </a:prstGeom>
                    <a:ln w="25400">
                      <a:solidFill>
                        <a:srgbClr val="CCCCCC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141D324" w14:textId="77777777" w:rsidR="00D022CD" w:rsidRDefault="00D022CD" w:rsidP="00D022CD">
      <w:pPr>
        <w:spacing w:line="360" w:lineRule="auto"/>
        <w:jc w:val="center"/>
      </w:pPr>
    </w:p>
    <w:p w14:paraId="654DF281" w14:textId="77777777" w:rsidR="00D022CD" w:rsidRPr="00965003" w:rsidRDefault="00D022CD" w:rsidP="00D022CD">
      <w:pPr>
        <w:spacing w:line="360" w:lineRule="auto"/>
        <w:jc w:val="both"/>
        <w:rPr>
          <w:b/>
        </w:rPr>
      </w:pPr>
      <w:r>
        <w:rPr>
          <w:b/>
        </w:rPr>
        <w:t xml:space="preserve">S Figure 2. The </w:t>
      </w:r>
      <w:r w:rsidRPr="00965003">
        <w:rPr>
          <w:rFonts w:eastAsia="Gungsuh"/>
        </w:rPr>
        <w:t xml:space="preserve">Kaplan-Meier curve shows </w:t>
      </w:r>
      <w:r>
        <w:rPr>
          <w:rFonts w:eastAsia="Gungsuh"/>
        </w:rPr>
        <w:t xml:space="preserve">a </w:t>
      </w:r>
      <w:r w:rsidRPr="00965003">
        <w:rPr>
          <w:rFonts w:eastAsia="Gungsuh"/>
        </w:rPr>
        <w:t xml:space="preserve">comparison of survival rates within </w:t>
      </w:r>
      <w:r>
        <w:rPr>
          <w:rFonts w:eastAsia="Gungsuh"/>
        </w:rPr>
        <w:t xml:space="preserve">the </w:t>
      </w:r>
      <w:r w:rsidRPr="00965003">
        <w:rPr>
          <w:rFonts w:eastAsia="Gungsuh"/>
        </w:rPr>
        <w:t>FMT group. In this figure</w:t>
      </w:r>
      <w:r>
        <w:rPr>
          <w:rFonts w:eastAsia="Gungsuh"/>
        </w:rPr>
        <w:t>,</w:t>
      </w:r>
      <w:r w:rsidRPr="00965003">
        <w:rPr>
          <w:rFonts w:eastAsia="Gungsuh"/>
        </w:rPr>
        <w:t xml:space="preserve"> patients were divided </w:t>
      </w:r>
      <w:r>
        <w:rPr>
          <w:rFonts w:eastAsia="Gungsuh"/>
        </w:rPr>
        <w:t>into</w:t>
      </w:r>
      <w:r w:rsidRPr="00965003">
        <w:rPr>
          <w:rFonts w:eastAsia="Gungsuh"/>
        </w:rPr>
        <w:t xml:space="preserve"> groups according to liver frailty index (LFI) measured at baseline. The value of LFI ≥ 4</w:t>
      </w:r>
      <w:r>
        <w:rPr>
          <w:rFonts w:eastAsia="Gungsuh"/>
        </w:rPr>
        <w:t>.</w:t>
      </w:r>
      <w:r w:rsidRPr="00965003">
        <w:rPr>
          <w:rFonts w:eastAsia="Gungsuh"/>
        </w:rPr>
        <w:t xml:space="preserve">5 defines </w:t>
      </w:r>
      <w:r>
        <w:rPr>
          <w:rFonts w:eastAsia="Gungsuh"/>
        </w:rPr>
        <w:t xml:space="preserve">the </w:t>
      </w:r>
      <w:r w:rsidRPr="00965003">
        <w:rPr>
          <w:rFonts w:eastAsia="Gungsuh"/>
        </w:rPr>
        <w:t xml:space="preserve">frail stage of </w:t>
      </w:r>
      <w:r>
        <w:rPr>
          <w:rFonts w:eastAsia="Gungsuh"/>
        </w:rPr>
        <w:t xml:space="preserve">the </w:t>
      </w:r>
      <w:r w:rsidRPr="00965003">
        <w:rPr>
          <w:rFonts w:eastAsia="Gungsuh"/>
        </w:rPr>
        <w:t xml:space="preserve">patient, values that are below this </w:t>
      </w:r>
      <w:r>
        <w:rPr>
          <w:rFonts w:eastAsia="Gungsuh"/>
        </w:rPr>
        <w:t>cut-off</w:t>
      </w:r>
      <w:r w:rsidRPr="00965003">
        <w:rPr>
          <w:rFonts w:eastAsia="Gungsuh"/>
        </w:rPr>
        <w:t xml:space="preserve"> define pre-frail and robust patients. We did not observe any statistical difference in survival between these groups.  (p=0.29)</w:t>
      </w:r>
      <w:r>
        <w:rPr>
          <w:rFonts w:eastAsia="Gungsuh"/>
        </w:rPr>
        <w:t>.</w:t>
      </w:r>
    </w:p>
    <w:p w14:paraId="7A5D2450" w14:textId="77777777" w:rsidR="00D022CD" w:rsidRDefault="00D022CD" w:rsidP="00D022CD">
      <w:pPr>
        <w:spacing w:line="360" w:lineRule="auto"/>
        <w:jc w:val="both"/>
        <w:rPr>
          <w:b/>
        </w:rPr>
      </w:pPr>
    </w:p>
    <w:p w14:paraId="62470F04" w14:textId="77777777" w:rsidR="00D022CD" w:rsidRDefault="00D022CD" w:rsidP="00D022CD">
      <w:pPr>
        <w:spacing w:line="360" w:lineRule="auto"/>
        <w:jc w:val="both"/>
      </w:pPr>
      <w:r>
        <w:rPr>
          <w:b/>
        </w:rPr>
        <w:t xml:space="preserve"> </w:t>
      </w:r>
      <w:r>
        <w:rPr>
          <w:noProof/>
          <w:lang w:val="sk-SK" w:eastAsia="sk-SK"/>
        </w:rPr>
        <w:drawing>
          <wp:inline distT="114300" distB="114300" distL="114300" distR="114300" wp14:anchorId="1C6C385D" wp14:editId="7EBAFFD4">
            <wp:extent cx="4029392" cy="2817245"/>
            <wp:effectExtent l="25400" t="25400" r="25400" b="25400"/>
            <wp:docPr id="188873148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9392" cy="2817245"/>
                    </a:xfrm>
                    <a:prstGeom prst="rect">
                      <a:avLst/>
                    </a:prstGeom>
                    <a:ln w="25400">
                      <a:solidFill>
                        <a:srgbClr val="CCCCCC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B17F354" w14:textId="77777777" w:rsidR="00D022CD" w:rsidRDefault="00D022CD" w:rsidP="00D022CD">
      <w:pPr>
        <w:spacing w:line="360" w:lineRule="auto"/>
        <w:jc w:val="center"/>
      </w:pPr>
    </w:p>
    <w:p w14:paraId="40DEC66A" w14:textId="77777777" w:rsidR="00D022CD" w:rsidRPr="00965003" w:rsidRDefault="00D022CD" w:rsidP="00D022CD">
      <w:pPr>
        <w:spacing w:line="360" w:lineRule="auto"/>
        <w:jc w:val="both"/>
        <w:rPr>
          <w:bCs/>
        </w:rPr>
      </w:pPr>
      <w:r>
        <w:rPr>
          <w:b/>
        </w:rPr>
        <w:t xml:space="preserve">S Figure 3. The </w:t>
      </w:r>
      <w:r w:rsidRPr="00965003">
        <w:rPr>
          <w:bCs/>
        </w:rPr>
        <w:t xml:space="preserve">Kaplan-Meier curve shows </w:t>
      </w:r>
      <w:r>
        <w:rPr>
          <w:bCs/>
        </w:rPr>
        <w:t xml:space="preserve">a </w:t>
      </w:r>
      <w:r w:rsidRPr="00965003">
        <w:rPr>
          <w:bCs/>
        </w:rPr>
        <w:t xml:space="preserve">comparison of survival rates within </w:t>
      </w:r>
      <w:r>
        <w:rPr>
          <w:bCs/>
        </w:rPr>
        <w:t xml:space="preserve">the </w:t>
      </w:r>
      <w:r w:rsidRPr="00965003">
        <w:rPr>
          <w:bCs/>
        </w:rPr>
        <w:t>FMT group. In this figure</w:t>
      </w:r>
      <w:r>
        <w:rPr>
          <w:bCs/>
        </w:rPr>
        <w:t>,</w:t>
      </w:r>
      <w:r w:rsidRPr="00965003">
        <w:rPr>
          <w:bCs/>
        </w:rPr>
        <w:t xml:space="preserve"> patients were divided </w:t>
      </w:r>
      <w:r>
        <w:rPr>
          <w:bCs/>
        </w:rPr>
        <w:t>into</w:t>
      </w:r>
      <w:r w:rsidRPr="00965003">
        <w:rPr>
          <w:bCs/>
        </w:rPr>
        <w:t xml:space="preserve"> groups according to hepatic venous pressure gradient (HVPG) measured at baseline. The value of HVPG ≥ 16 mmHg defines severe portal hypertension. We did not observe any statistical difference in survival between these groups. (p=0.28)</w:t>
      </w:r>
    </w:p>
    <w:p w14:paraId="3D6EB5BD" w14:textId="77777777" w:rsidR="00D022CD" w:rsidRDefault="00D022CD" w:rsidP="00D022CD">
      <w:pPr>
        <w:spacing w:line="360" w:lineRule="auto"/>
        <w:jc w:val="center"/>
      </w:pPr>
    </w:p>
    <w:p w14:paraId="5B3ED658" w14:textId="77777777" w:rsidR="00D022CD" w:rsidRDefault="00D022CD" w:rsidP="00D022CD">
      <w:pPr>
        <w:spacing w:line="360" w:lineRule="auto"/>
        <w:jc w:val="center"/>
      </w:pPr>
      <w:r>
        <w:rPr>
          <w:noProof/>
          <w:lang w:val="sk-SK" w:eastAsia="sk-SK"/>
        </w:rPr>
        <w:lastRenderedPageBreak/>
        <w:drawing>
          <wp:inline distT="114300" distB="114300" distL="114300" distR="114300" wp14:anchorId="66F5631F" wp14:editId="6EE886E2">
            <wp:extent cx="4134167" cy="2924667"/>
            <wp:effectExtent l="25400" t="25400" r="25400" b="25400"/>
            <wp:docPr id="188873149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4167" cy="2924667"/>
                    </a:xfrm>
                    <a:prstGeom prst="rect">
                      <a:avLst/>
                    </a:prstGeom>
                    <a:ln w="25400">
                      <a:solidFill>
                        <a:srgbClr val="CCCCCC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14B1E123" w14:textId="77777777" w:rsidR="00D022CD" w:rsidRDefault="00D022CD" w:rsidP="00D022CD">
      <w:pPr>
        <w:spacing w:line="360" w:lineRule="auto"/>
        <w:jc w:val="both"/>
      </w:pPr>
    </w:p>
    <w:p w14:paraId="0716B62A" w14:textId="77777777" w:rsidR="00D022CD" w:rsidRPr="009F4438" w:rsidRDefault="00D022CD" w:rsidP="00D022CD">
      <w:pPr>
        <w:spacing w:line="360" w:lineRule="auto"/>
        <w:jc w:val="both"/>
        <w:rPr>
          <w:b/>
        </w:rPr>
      </w:pPr>
      <w:r>
        <w:rPr>
          <w:b/>
        </w:rPr>
        <w:t xml:space="preserve">S Figure 4. </w:t>
      </w:r>
      <w:r w:rsidRPr="009F4438">
        <w:rPr>
          <w:bCs/>
        </w:rPr>
        <w:t xml:space="preserve">The </w:t>
      </w:r>
      <w:r w:rsidRPr="009F4438">
        <w:rPr>
          <w:rFonts w:eastAsia="Gungsuh"/>
          <w:bCs/>
        </w:rPr>
        <w:t>Kaplan</w:t>
      </w:r>
      <w:r w:rsidRPr="009F4438">
        <w:rPr>
          <w:rFonts w:eastAsia="Gungsuh"/>
        </w:rPr>
        <w:t xml:space="preserve">-Meier curve shows </w:t>
      </w:r>
      <w:r>
        <w:rPr>
          <w:rFonts w:eastAsia="Gungsuh"/>
        </w:rPr>
        <w:t xml:space="preserve">a </w:t>
      </w:r>
      <w:r w:rsidRPr="009F4438">
        <w:rPr>
          <w:rFonts w:eastAsia="Gungsuh"/>
        </w:rPr>
        <w:t xml:space="preserve">comparison of survival rates within </w:t>
      </w:r>
      <w:r>
        <w:rPr>
          <w:rFonts w:eastAsia="Gungsuh"/>
        </w:rPr>
        <w:t xml:space="preserve">the </w:t>
      </w:r>
      <w:r w:rsidRPr="009F4438">
        <w:rPr>
          <w:rFonts w:eastAsia="Gungsuh"/>
        </w:rPr>
        <w:t>FMT group. In this figure</w:t>
      </w:r>
      <w:r>
        <w:rPr>
          <w:rFonts w:eastAsia="Gungsuh"/>
        </w:rPr>
        <w:t>,</w:t>
      </w:r>
      <w:r w:rsidRPr="009F4438">
        <w:rPr>
          <w:rFonts w:eastAsia="Gungsuh"/>
        </w:rPr>
        <w:t xml:space="preserve"> patients were divided </w:t>
      </w:r>
      <w:r>
        <w:rPr>
          <w:rFonts w:eastAsia="Gungsuh"/>
        </w:rPr>
        <w:t>into</w:t>
      </w:r>
      <w:r w:rsidRPr="009F4438">
        <w:rPr>
          <w:rFonts w:eastAsia="Gungsuh"/>
        </w:rPr>
        <w:t xml:space="preserve"> groups according to </w:t>
      </w:r>
      <w:r>
        <w:rPr>
          <w:rFonts w:eastAsia="Gungsuh"/>
        </w:rPr>
        <w:t xml:space="preserve">the </w:t>
      </w:r>
      <w:r w:rsidRPr="009F4438">
        <w:rPr>
          <w:rFonts w:eastAsia="Gungsuh"/>
        </w:rPr>
        <w:t xml:space="preserve">Alcoholic Hepatitis Histological Score (AAHS) calculated by </w:t>
      </w:r>
      <w:r>
        <w:rPr>
          <w:rFonts w:eastAsia="Gungsuh"/>
        </w:rPr>
        <w:t>pathologists</w:t>
      </w:r>
      <w:r w:rsidRPr="009F4438">
        <w:rPr>
          <w:rFonts w:eastAsia="Gungsuh"/>
        </w:rPr>
        <w:t xml:space="preserve"> from </w:t>
      </w:r>
      <w:r>
        <w:rPr>
          <w:rFonts w:eastAsia="Gungsuh"/>
        </w:rPr>
        <w:t>samples</w:t>
      </w:r>
      <w:r w:rsidRPr="009F4438">
        <w:rPr>
          <w:rFonts w:eastAsia="Gungsuh"/>
        </w:rPr>
        <w:t xml:space="preserve"> obtained by transjugular liver biopsy at baseline. </w:t>
      </w:r>
      <w:r>
        <w:rPr>
          <w:rFonts w:eastAsia="Gungsuh"/>
        </w:rPr>
        <w:t>The value</w:t>
      </w:r>
      <w:r w:rsidRPr="009F4438">
        <w:rPr>
          <w:rFonts w:eastAsia="Gungsuh"/>
        </w:rPr>
        <w:t xml:space="preserve"> of AAHS ≥ 6 defines severe alcoholic hepatitis and is associated with </w:t>
      </w:r>
      <w:r>
        <w:rPr>
          <w:rFonts w:eastAsia="Gungsuh"/>
        </w:rPr>
        <w:t xml:space="preserve">a </w:t>
      </w:r>
      <w:r w:rsidRPr="009F4438">
        <w:rPr>
          <w:rFonts w:eastAsia="Gungsuh"/>
        </w:rPr>
        <w:t>bad prognosis. We did not observe any statistical difference in survival between these groups. (p=0.62)</w:t>
      </w:r>
    </w:p>
    <w:p w14:paraId="0D571073" w14:textId="77777777" w:rsidR="00D022CD" w:rsidRDefault="00D022CD" w:rsidP="00D022CD">
      <w:pPr>
        <w:spacing w:line="360" w:lineRule="auto"/>
        <w:jc w:val="center"/>
      </w:pPr>
    </w:p>
    <w:p w14:paraId="601EBF2D" w14:textId="77777777" w:rsidR="00D022CD" w:rsidRDefault="00D022CD" w:rsidP="00D022CD">
      <w:pPr>
        <w:spacing w:line="360" w:lineRule="auto"/>
        <w:jc w:val="both"/>
      </w:pPr>
      <w:r>
        <w:rPr>
          <w:b/>
        </w:rPr>
        <w:t>S Table 1.</w:t>
      </w:r>
      <w:r>
        <w:t xml:space="preserve"> Unifactorial analysis of factors associated with 30-day mortality within FMT group. The only significant factor was the MELD score.</w:t>
      </w:r>
    </w:p>
    <w:p w14:paraId="1699126B" w14:textId="77777777" w:rsidR="00D022CD" w:rsidRDefault="00D022CD" w:rsidP="00D022CD">
      <w:pPr>
        <w:spacing w:line="360" w:lineRule="auto"/>
      </w:pPr>
      <w:r>
        <w:rPr>
          <w:noProof/>
          <w:lang w:val="sk-SK" w:eastAsia="sk-SK"/>
        </w:rPr>
        <w:drawing>
          <wp:inline distT="0" distB="0" distL="0" distR="0" wp14:anchorId="698B7825" wp14:editId="268D20F3">
            <wp:extent cx="5990211" cy="1510484"/>
            <wp:effectExtent l="0" t="0" r="0" b="0"/>
            <wp:docPr id="1888731486" name="image1.png" descr="Obrázok, na ktorom je text, snímka obrazovky, rad, číslo&#10;&#10;Automaticky generovaný popi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Obrázok, na ktorom je text, snímka obrazovky, rad, číslo&#10;&#10;Automaticky generovaný popis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0211" cy="15104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644A06" w14:textId="77777777" w:rsidR="00D022CD" w:rsidRDefault="00D022CD" w:rsidP="00D022CD">
      <w:pPr>
        <w:spacing w:line="360" w:lineRule="auto"/>
      </w:pPr>
    </w:p>
    <w:p w14:paraId="67786FAA" w14:textId="77777777" w:rsidR="00D022CD" w:rsidRDefault="00D022CD" w:rsidP="00D022CD">
      <w:pPr>
        <w:spacing w:line="360" w:lineRule="auto"/>
      </w:pPr>
    </w:p>
    <w:p w14:paraId="1260C266" w14:textId="77777777" w:rsidR="00D022CD" w:rsidRDefault="00D022CD" w:rsidP="00D022CD">
      <w:pPr>
        <w:spacing w:line="360" w:lineRule="auto"/>
        <w:jc w:val="both"/>
      </w:pPr>
      <w:r>
        <w:rPr>
          <w:b/>
        </w:rPr>
        <w:t>S Table 2.</w:t>
      </w:r>
      <w:r>
        <w:t xml:space="preserve"> Unifactorial analysis of factors associated with 90-day mortality within FMT group. The significant factors were MELD score and INR measured at baseline.</w:t>
      </w:r>
    </w:p>
    <w:p w14:paraId="250E7D47" w14:textId="77777777" w:rsidR="00D022CD" w:rsidRDefault="00D022CD" w:rsidP="00D022CD">
      <w:pPr>
        <w:spacing w:line="360" w:lineRule="auto"/>
      </w:pPr>
    </w:p>
    <w:p w14:paraId="37E8C571" w14:textId="77777777" w:rsidR="00D022CD" w:rsidRDefault="00D022CD" w:rsidP="00D022CD">
      <w:pPr>
        <w:spacing w:line="360" w:lineRule="auto"/>
      </w:pPr>
      <w:r>
        <w:rPr>
          <w:noProof/>
          <w:lang w:val="sk-SK" w:eastAsia="sk-SK"/>
        </w:rPr>
        <w:drawing>
          <wp:inline distT="0" distB="0" distL="0" distR="0" wp14:anchorId="0F35C746" wp14:editId="1D2A765D">
            <wp:extent cx="5960000" cy="1499626"/>
            <wp:effectExtent l="0" t="0" r="0" b="0"/>
            <wp:docPr id="1888731488" name="image7.png" descr="Obrázok, na ktorom je text, rad, číslo, vývoj&#10;&#10;Automaticky generovaný popi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Obrázok, na ktorom je text, rad, číslo, vývoj&#10;&#10;Automaticky generovaný popis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0000" cy="14996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EB3FD0" w14:textId="77777777" w:rsidR="00D022CD" w:rsidRDefault="00D022CD" w:rsidP="00D022CD">
      <w:pPr>
        <w:spacing w:line="360" w:lineRule="auto"/>
        <w:rPr>
          <w:b/>
        </w:rPr>
      </w:pPr>
    </w:p>
    <w:p w14:paraId="16FBFE82" w14:textId="77777777" w:rsidR="00D022CD" w:rsidRDefault="00D022CD" w:rsidP="00D022CD">
      <w:pPr>
        <w:spacing w:line="360" w:lineRule="auto"/>
        <w:rPr>
          <w:b/>
        </w:rPr>
      </w:pPr>
    </w:p>
    <w:p w14:paraId="5C5F8316" w14:textId="77777777" w:rsidR="00D022CD" w:rsidRDefault="00D022CD" w:rsidP="00D022CD">
      <w:pPr>
        <w:spacing w:line="360" w:lineRule="auto"/>
        <w:jc w:val="both"/>
      </w:pPr>
      <w:r>
        <w:rPr>
          <w:b/>
        </w:rPr>
        <w:t xml:space="preserve">S Table 3. </w:t>
      </w:r>
      <w:r>
        <w:t>Multifactorial analysis of factors associated with 30-day and 90-day mortality within FMT group. We confirmed the MELD score as a factor associated with 30-day mortality. Bilirubin and INR measured at baseline were associated with 90-day mortality</w:t>
      </w:r>
    </w:p>
    <w:p w14:paraId="5734D63B" w14:textId="77777777" w:rsidR="00D022CD" w:rsidRDefault="00D022CD" w:rsidP="00D022CD">
      <w:pPr>
        <w:spacing w:line="360" w:lineRule="auto"/>
      </w:pPr>
    </w:p>
    <w:p w14:paraId="210B7D36" w14:textId="77777777" w:rsidR="00D022CD" w:rsidRDefault="00D022CD" w:rsidP="00D022CD">
      <w:pPr>
        <w:spacing w:line="360" w:lineRule="auto"/>
        <w:jc w:val="center"/>
        <w:rPr>
          <w:b/>
        </w:rPr>
      </w:pPr>
      <w:r>
        <w:rPr>
          <w:b/>
          <w:noProof/>
          <w:lang w:val="sk-SK" w:eastAsia="sk-SK"/>
        </w:rPr>
        <w:drawing>
          <wp:inline distT="0" distB="0" distL="0" distR="0" wp14:anchorId="010B8E87" wp14:editId="3367821F">
            <wp:extent cx="4429157" cy="2967059"/>
            <wp:effectExtent l="0" t="0" r="0" b="0"/>
            <wp:docPr id="1888731489" name="image14.png" descr="Obrázok, na ktorom je text, snímka obrazovky, písmo, číslo&#10;&#10;Automaticky generovaný popi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Obrázok, na ktorom je text, snímka obrazovky, písmo, číslo&#10;&#10;Automaticky generovaný popis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57" cy="29670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CF4A0C" w14:textId="77777777" w:rsidR="00D022CD" w:rsidRDefault="00D022CD" w:rsidP="00D022CD">
      <w:pPr>
        <w:spacing w:line="360" w:lineRule="auto"/>
      </w:pPr>
    </w:p>
    <w:p w14:paraId="3B588880" w14:textId="77777777" w:rsidR="00D022CD" w:rsidRDefault="00D022CD" w:rsidP="00D022CD">
      <w:pPr>
        <w:spacing w:line="360" w:lineRule="auto"/>
      </w:pPr>
    </w:p>
    <w:p w14:paraId="4E795DAE" w14:textId="77777777" w:rsidR="00D022CD" w:rsidRDefault="00D022CD" w:rsidP="00D022CD">
      <w:pPr>
        <w:spacing w:line="360" w:lineRule="auto"/>
      </w:pPr>
    </w:p>
    <w:p w14:paraId="210BCB7B" w14:textId="77777777" w:rsidR="00D022CD" w:rsidRDefault="00D022CD" w:rsidP="00D022CD">
      <w:pPr>
        <w:spacing w:line="360" w:lineRule="auto"/>
        <w:jc w:val="center"/>
        <w:rPr>
          <w:rFonts w:cstheme="minorHAnsi"/>
          <w:color w:val="000000"/>
          <w:sz w:val="22"/>
          <w:szCs w:val="22"/>
          <w:lang w:eastAsia="sk-SK"/>
        </w:rPr>
      </w:pPr>
    </w:p>
    <w:p w14:paraId="5C89FD68" w14:textId="77777777" w:rsidR="00D022CD" w:rsidRDefault="00D022CD" w:rsidP="00D022CD">
      <w:pPr>
        <w:spacing w:line="360" w:lineRule="auto"/>
        <w:jc w:val="center"/>
        <w:rPr>
          <w:rFonts w:cstheme="minorHAnsi"/>
          <w:color w:val="000000"/>
          <w:sz w:val="22"/>
          <w:szCs w:val="22"/>
          <w:lang w:eastAsia="sk-SK"/>
        </w:rPr>
      </w:pPr>
    </w:p>
    <w:p w14:paraId="34CB62D0" w14:textId="77777777" w:rsidR="00D022CD" w:rsidRDefault="00D022CD" w:rsidP="00D022CD">
      <w:pPr>
        <w:spacing w:line="360" w:lineRule="auto"/>
        <w:jc w:val="center"/>
        <w:rPr>
          <w:rFonts w:cstheme="minorHAnsi"/>
          <w:color w:val="000000"/>
          <w:sz w:val="22"/>
          <w:szCs w:val="22"/>
          <w:lang w:eastAsia="sk-SK"/>
        </w:rPr>
      </w:pPr>
    </w:p>
    <w:p w14:paraId="5BA07751" w14:textId="24AC5748" w:rsidR="00110104" w:rsidRPr="00D022CD" w:rsidRDefault="00110104" w:rsidP="00D022CD">
      <w:pPr>
        <w:spacing w:line="360" w:lineRule="auto"/>
        <w:rPr>
          <w:sz w:val="22"/>
          <w:szCs w:val="22"/>
          <w:lang w:eastAsia="sk-SK"/>
        </w:rPr>
      </w:pPr>
    </w:p>
    <w:sectPr w:rsidR="00110104" w:rsidRPr="00D022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CD"/>
    <w:rsid w:val="00110104"/>
    <w:rsid w:val="0021090F"/>
    <w:rsid w:val="00220E4E"/>
    <w:rsid w:val="003A76DF"/>
    <w:rsid w:val="00C52827"/>
    <w:rsid w:val="00D022CD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8EBED"/>
  <w15:chartTrackingRefBased/>
  <w15:docId w15:val="{CA6ACB70-85CC-4309-994F-5D6C00FC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2C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</Words>
  <Characters>1869</Characters>
  <Application>Microsoft Office Word</Application>
  <DocSecurity>0</DocSecurity>
  <Lines>15</Lines>
  <Paragraphs>4</Paragraphs>
  <ScaleCrop>false</ScaleCrop>
  <Company>Springer Nature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2024-02-29T15:41:00Z</dcterms:created>
  <dcterms:modified xsi:type="dcterms:W3CDTF">2024-02-29T15:42:00Z</dcterms:modified>
</cp:coreProperties>
</file>