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8"/>
        <w:gridCol w:w="1983"/>
        <w:gridCol w:w="971"/>
        <w:gridCol w:w="2079"/>
        <w:gridCol w:w="969"/>
      </w:tblGrid>
      <w:tr w:rsidR="008308F8" w:rsidRPr="00DE25FE" w:rsidTr="00F16650">
        <w:tc>
          <w:tcPr>
            <w:tcW w:w="5000" w:type="pct"/>
            <w:gridSpan w:val="5"/>
          </w:tcPr>
          <w:p w:rsidR="008308F8" w:rsidRPr="00DE25FE" w:rsidRDefault="008308F8" w:rsidP="00F1665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4B79E0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sTable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</w:t>
            </w:r>
            <w:r w:rsidRPr="004B79E0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.</w:t>
            </w:r>
            <w:r w:rsidRPr="00DE25FE"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Univariate and multivariate </w:t>
            </w:r>
            <w:r w:rsidRPr="00DE25FE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logistic</w:t>
            </w: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analysis associated with severe illness in COVID-19.</w:t>
            </w:r>
          </w:p>
        </w:tc>
      </w:tr>
      <w:tr w:rsidR="008308F8" w:rsidRPr="00DE25FE" w:rsidTr="00F16650">
        <w:tc>
          <w:tcPr>
            <w:tcW w:w="2131" w:type="pct"/>
            <w:tcBorders>
              <w:top w:val="single" w:sz="8" w:space="0" w:color="auto"/>
              <w:bottom w:val="single" w:sz="8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Demographics and clinical characteristic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8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Unadjusted OR</w:t>
            </w: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(95%CI)</w:t>
            </w:r>
          </w:p>
        </w:tc>
        <w:tc>
          <w:tcPr>
            <w:tcW w:w="464" w:type="pct"/>
            <w:tcBorders>
              <w:top w:val="single" w:sz="8" w:space="0" w:color="auto"/>
              <w:bottom w:val="single" w:sz="8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  <w:tc>
          <w:tcPr>
            <w:tcW w:w="994" w:type="pct"/>
            <w:tcBorders>
              <w:top w:val="single" w:sz="8" w:space="0" w:color="auto"/>
              <w:bottom w:val="single" w:sz="8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Adjusted OR</w:t>
            </w: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(95%CI)</w:t>
            </w:r>
          </w:p>
        </w:tc>
        <w:tc>
          <w:tcPr>
            <w:tcW w:w="463" w:type="pct"/>
            <w:tcBorders>
              <w:top w:val="single" w:sz="8" w:space="0" w:color="auto"/>
              <w:bottom w:val="single" w:sz="8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</w:tr>
      <w:tr w:rsidR="008308F8" w:rsidRPr="00DE25FE" w:rsidTr="00F16650">
        <w:tc>
          <w:tcPr>
            <w:tcW w:w="2131" w:type="pct"/>
            <w:tcBorders>
              <w:top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Anemia</w:t>
            </w:r>
          </w:p>
        </w:tc>
        <w:tc>
          <w:tcPr>
            <w:tcW w:w="948" w:type="pct"/>
            <w:tcBorders>
              <w:top w:val="single" w:sz="8" w:space="0" w:color="auto"/>
            </w:tcBorders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4.92(1.81-13.38)</w:t>
            </w:r>
          </w:p>
        </w:tc>
        <w:tc>
          <w:tcPr>
            <w:tcW w:w="464" w:type="pct"/>
            <w:tcBorders>
              <w:top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0.002</w:t>
            </w:r>
          </w:p>
        </w:tc>
        <w:tc>
          <w:tcPr>
            <w:tcW w:w="994" w:type="pct"/>
            <w:tcBorders>
              <w:top w:val="single" w:sz="8" w:space="0" w:color="auto"/>
            </w:tcBorders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5.07(1.82-14.18)</w:t>
            </w:r>
          </w:p>
        </w:tc>
        <w:tc>
          <w:tcPr>
            <w:tcW w:w="463" w:type="pct"/>
            <w:tcBorders>
              <w:top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0.002</w:t>
            </w:r>
          </w:p>
        </w:tc>
      </w:tr>
      <w:tr w:rsidR="008308F8" w:rsidRPr="00DE25FE" w:rsidTr="00F16650">
        <w:tc>
          <w:tcPr>
            <w:tcW w:w="2131" w:type="pct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Age ≥60</w:t>
            </w:r>
          </w:p>
        </w:tc>
        <w:tc>
          <w:tcPr>
            <w:tcW w:w="948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2.66(1.02-6.96)</w:t>
            </w:r>
          </w:p>
        </w:tc>
        <w:tc>
          <w:tcPr>
            <w:tcW w:w="46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0.046</w:t>
            </w:r>
          </w:p>
        </w:tc>
        <w:tc>
          <w:tcPr>
            <w:tcW w:w="99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63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308F8" w:rsidRPr="00DE25FE" w:rsidTr="00F16650">
        <w:tc>
          <w:tcPr>
            <w:tcW w:w="2131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Hypertension</w:t>
            </w:r>
          </w:p>
        </w:tc>
        <w:tc>
          <w:tcPr>
            <w:tcW w:w="948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4.44(1.72-11.48)</w:t>
            </w:r>
          </w:p>
        </w:tc>
        <w:tc>
          <w:tcPr>
            <w:tcW w:w="46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0.002</w:t>
            </w:r>
          </w:p>
        </w:tc>
        <w:tc>
          <w:tcPr>
            <w:tcW w:w="994" w:type="pct"/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4.59(1.72-12.27)</w:t>
            </w:r>
          </w:p>
        </w:tc>
        <w:tc>
          <w:tcPr>
            <w:tcW w:w="463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0.002</w:t>
            </w:r>
          </w:p>
        </w:tc>
      </w:tr>
      <w:tr w:rsidR="008308F8" w:rsidRPr="00DE25FE" w:rsidTr="00F16650">
        <w:tc>
          <w:tcPr>
            <w:tcW w:w="2131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CVD</w:t>
            </w:r>
          </w:p>
        </w:tc>
        <w:tc>
          <w:tcPr>
            <w:tcW w:w="948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7.44(2.40-23.11)</w:t>
            </w:r>
          </w:p>
        </w:tc>
        <w:tc>
          <w:tcPr>
            <w:tcW w:w="46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0.001</w:t>
            </w:r>
          </w:p>
        </w:tc>
        <w:tc>
          <w:tcPr>
            <w:tcW w:w="99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63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308F8" w:rsidRPr="00DE25FE" w:rsidTr="00F16650">
        <w:tc>
          <w:tcPr>
            <w:tcW w:w="2131" w:type="pct"/>
            <w:tcBorders>
              <w:bottom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COPD</w:t>
            </w:r>
          </w:p>
        </w:tc>
        <w:tc>
          <w:tcPr>
            <w:tcW w:w="948" w:type="pct"/>
            <w:tcBorders>
              <w:bottom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6.95(1.53-31.62)</w:t>
            </w:r>
          </w:p>
        </w:tc>
        <w:tc>
          <w:tcPr>
            <w:tcW w:w="464" w:type="pct"/>
            <w:tcBorders>
              <w:bottom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0.012</w:t>
            </w:r>
          </w:p>
        </w:tc>
        <w:tc>
          <w:tcPr>
            <w:tcW w:w="994" w:type="pct"/>
            <w:tcBorders>
              <w:bottom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63" w:type="pct"/>
            <w:tcBorders>
              <w:bottom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8308F8" w:rsidRPr="00DE25FE" w:rsidTr="00F16650">
        <w:tc>
          <w:tcPr>
            <w:tcW w:w="213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Cs w:val="21"/>
              </w:rPr>
              <w:t>Laboratory findings</w:t>
            </w:r>
          </w:p>
        </w:tc>
        <w:tc>
          <w:tcPr>
            <w:tcW w:w="948" w:type="pct"/>
            <w:tcBorders>
              <w:top w:val="single" w:sz="4" w:space="0" w:color="auto"/>
              <w:bottom w:val="single" w:sz="4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Univariable OR</w:t>
            </w: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(95%CI)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  <w:tc>
          <w:tcPr>
            <w:tcW w:w="994" w:type="pct"/>
            <w:tcBorders>
              <w:top w:val="single" w:sz="4" w:space="0" w:color="auto"/>
              <w:bottom w:val="single" w:sz="4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Multivariable OR</w:t>
            </w: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(95%CI)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</w:tr>
      <w:tr w:rsidR="008308F8" w:rsidRPr="00DE25FE" w:rsidTr="00F16650">
        <w:tc>
          <w:tcPr>
            <w:tcW w:w="2131" w:type="pct"/>
            <w:tcBorders>
              <w:top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hemoglobin &lt;120 g/L in women</w:t>
            </w:r>
          </w:p>
          <w:p w:rsidR="008308F8" w:rsidRPr="00DE25FE" w:rsidRDefault="008308F8" w:rsidP="00F16650">
            <w:pPr>
              <w:spacing w:line="480" w:lineRule="auto"/>
              <w:rPr>
                <w:rFonts w:ascii="Times New Roman" w:eastAsia="DengXian" w:hAnsi="Times New Roman" w:cs="Times New Roman"/>
                <w:color w:val="C00000"/>
                <w:szCs w:val="21"/>
              </w:rPr>
            </w:pPr>
            <w:r w:rsidRPr="00DE25FE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( &lt;130 g/L in men)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4.92(1.81-13.38)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0.002</w:t>
            </w:r>
          </w:p>
        </w:tc>
        <w:tc>
          <w:tcPr>
            <w:tcW w:w="994" w:type="pct"/>
            <w:tcBorders>
              <w:top w:val="single" w:sz="4" w:space="0" w:color="auto"/>
            </w:tcBorders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3.47(1.02-11.75)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0.046</w:t>
            </w:r>
          </w:p>
        </w:tc>
      </w:tr>
      <w:tr w:rsidR="008308F8" w:rsidRPr="00DE25FE" w:rsidTr="00F16650">
        <w:tc>
          <w:tcPr>
            <w:tcW w:w="2131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CRP ≥10 mg/ L</w:t>
            </w:r>
          </w:p>
        </w:tc>
        <w:tc>
          <w:tcPr>
            <w:tcW w:w="948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12.38(4.46-34.36)</w:t>
            </w:r>
          </w:p>
        </w:tc>
        <w:tc>
          <w:tcPr>
            <w:tcW w:w="46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0.000</w:t>
            </w:r>
          </w:p>
        </w:tc>
        <w:tc>
          <w:tcPr>
            <w:tcW w:w="994" w:type="pct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463" w:type="pct"/>
          </w:tcPr>
          <w:p w:rsidR="008308F8" w:rsidRPr="00DE25FE" w:rsidRDefault="008308F8" w:rsidP="00F1665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8308F8" w:rsidRPr="00DE25FE" w:rsidTr="00F16650">
        <w:tc>
          <w:tcPr>
            <w:tcW w:w="2131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LDH ≥250 U/L</w:t>
            </w:r>
          </w:p>
        </w:tc>
        <w:tc>
          <w:tcPr>
            <w:tcW w:w="948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19.22(6.38-57.94)</w:t>
            </w:r>
          </w:p>
        </w:tc>
        <w:tc>
          <w:tcPr>
            <w:tcW w:w="464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0.005</w:t>
            </w:r>
          </w:p>
        </w:tc>
        <w:tc>
          <w:tcPr>
            <w:tcW w:w="994" w:type="pct"/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13.05(3.68-46.21)</w:t>
            </w:r>
          </w:p>
        </w:tc>
        <w:tc>
          <w:tcPr>
            <w:tcW w:w="463" w:type="pct"/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0.000</w:t>
            </w:r>
          </w:p>
        </w:tc>
      </w:tr>
      <w:tr w:rsidR="008308F8" w:rsidRPr="00DE25FE" w:rsidTr="00F16650">
        <w:tc>
          <w:tcPr>
            <w:tcW w:w="2131" w:type="pct"/>
            <w:tcBorders>
              <w:bottom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25FE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D-dimer ≥0.5</w:t>
            </w:r>
            <w:r w:rsidRPr="00DE25F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E25FE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948" w:type="pct"/>
            <w:tcBorders>
              <w:bottom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8.73(1.95-39.14)</w:t>
            </w:r>
          </w:p>
        </w:tc>
        <w:tc>
          <w:tcPr>
            <w:tcW w:w="464" w:type="pct"/>
            <w:tcBorders>
              <w:bottom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0.000</w:t>
            </w:r>
          </w:p>
        </w:tc>
        <w:tc>
          <w:tcPr>
            <w:tcW w:w="994" w:type="pct"/>
            <w:tcBorders>
              <w:bottom w:val="single" w:sz="8" w:space="0" w:color="auto"/>
            </w:tcBorders>
            <w:vAlign w:val="bottom"/>
          </w:tcPr>
          <w:p w:rsidR="008308F8" w:rsidRPr="00DE25FE" w:rsidRDefault="008308F8" w:rsidP="00F16650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25FE">
              <w:rPr>
                <w:rFonts w:ascii="Times New Roman" w:hAnsi="Times New Roman" w:cs="Times New Roman"/>
                <w:color w:val="000000"/>
                <w:szCs w:val="21"/>
              </w:rPr>
              <w:t>4.79(0.98-23.42)</w:t>
            </w:r>
          </w:p>
        </w:tc>
        <w:tc>
          <w:tcPr>
            <w:tcW w:w="463" w:type="pct"/>
            <w:tcBorders>
              <w:bottom w:val="single" w:sz="8" w:space="0" w:color="auto"/>
            </w:tcBorders>
            <w:vAlign w:val="bottom"/>
          </w:tcPr>
          <w:p w:rsidR="008308F8" w:rsidRPr="00DE25FE" w:rsidRDefault="008308F8" w:rsidP="00F16650">
            <w:pPr>
              <w:spacing w:line="480" w:lineRule="auto"/>
              <w:rPr>
                <w:rFonts w:ascii="Times New Roman" w:eastAsia="MingLiU" w:hAnsi="Times New Roman" w:cs="Times New Roman"/>
                <w:color w:val="010205"/>
                <w:szCs w:val="21"/>
              </w:rPr>
            </w:pPr>
            <w:r w:rsidRPr="00DE25FE">
              <w:rPr>
                <w:rFonts w:ascii="Times New Roman" w:eastAsia="MingLiU" w:hAnsi="Times New Roman" w:cs="Times New Roman"/>
                <w:color w:val="010205"/>
                <w:szCs w:val="21"/>
              </w:rPr>
              <w:t>0.053</w:t>
            </w:r>
          </w:p>
        </w:tc>
      </w:tr>
    </w:tbl>
    <w:p w:rsidR="008308F8" w:rsidRPr="004B79E0" w:rsidRDefault="008308F8" w:rsidP="008308F8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Odds ratios were calculated by univariate and multivariate logistic regression. Variables with </w:t>
      </w:r>
      <w:r>
        <w:rPr>
          <w:rFonts w:ascii="Times New Roman" w:hAnsi="Times New Roman" w:cs="Times New Roman"/>
          <w:color w:val="000000" w:themeColor="text1"/>
          <w:szCs w:val="21"/>
        </w:rPr>
        <w:t>P</w:t>
      </w:r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&lt;0.05 were defined as potential risk factors and included in multivariate regression analysis by a backward elimination procedure. CVD: Chronic Cardiovascular Disease; COPD: Chronic Obstructive Pulmonary Disease; CRP:C-reactive protein; LDH: Lactate Dehydrogenase</w:t>
      </w:r>
    </w:p>
    <w:p w:rsidR="008308F8" w:rsidRPr="00F37B8D" w:rsidRDefault="008308F8" w:rsidP="008308F8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:rsidR="00FD4177" w:rsidRPr="008308F8" w:rsidRDefault="00FD4177">
      <w:bookmarkStart w:id="0" w:name="_GoBack"/>
      <w:bookmarkEnd w:id="0"/>
    </w:p>
    <w:sectPr w:rsidR="00FD4177" w:rsidRPr="008308F8" w:rsidSect="00793DD3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D3"/>
    <w:rsid w:val="0006040A"/>
    <w:rsid w:val="00074351"/>
    <w:rsid w:val="002A3C87"/>
    <w:rsid w:val="002C783A"/>
    <w:rsid w:val="00325A26"/>
    <w:rsid w:val="00364C4D"/>
    <w:rsid w:val="005E459F"/>
    <w:rsid w:val="006056F8"/>
    <w:rsid w:val="00693A59"/>
    <w:rsid w:val="00771B0F"/>
    <w:rsid w:val="007806C1"/>
    <w:rsid w:val="00793DD3"/>
    <w:rsid w:val="008308F8"/>
    <w:rsid w:val="00871D05"/>
    <w:rsid w:val="00915569"/>
    <w:rsid w:val="009B156A"/>
    <w:rsid w:val="00AC340B"/>
    <w:rsid w:val="00BE59B7"/>
    <w:rsid w:val="00C126B7"/>
    <w:rsid w:val="00D132E4"/>
    <w:rsid w:val="00D97E6D"/>
    <w:rsid w:val="00DB0385"/>
    <w:rsid w:val="00EE43BD"/>
    <w:rsid w:val="00F133FB"/>
    <w:rsid w:val="00FD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4E76C2"/>
  <w15:chartTrackingRefBased/>
  <w15:docId w15:val="{8D43CE24-8D40-984D-B49C-FE1A02769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8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3D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15958727638@163.com</dc:creator>
  <cp:keywords/>
  <dc:description/>
  <cp:lastModifiedBy>15958727638@163.com</cp:lastModifiedBy>
  <cp:revision>2</cp:revision>
  <dcterms:created xsi:type="dcterms:W3CDTF">2020-06-29T08:45:00Z</dcterms:created>
  <dcterms:modified xsi:type="dcterms:W3CDTF">2020-06-29T08:45:00Z</dcterms:modified>
</cp:coreProperties>
</file>