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1945C2B" w14:textId="7FF8CECF" w:rsidR="006F122C" w:rsidRDefault="00E867ED" w:rsidP="006F122C">
      <w:pPr>
        <w:rPr>
          <w:rFonts w:asciiTheme="majorHAnsi" w:hAnsiTheme="majorHAnsi"/>
          <w:sz w:val="22"/>
          <w:szCs w:val="22"/>
        </w:rPr>
      </w:pPr>
      <w:r>
        <w:rPr>
          <w:rFonts w:asciiTheme="majorHAnsi" w:hAnsiTheme="majorHAnsi"/>
          <w:sz w:val="22"/>
          <w:szCs w:val="22"/>
        </w:rPr>
        <w:t xml:space="preserve">Supplementary </w:t>
      </w:r>
      <w:r w:rsidRPr="002B6D75">
        <w:rPr>
          <w:rFonts w:asciiTheme="majorHAnsi" w:hAnsiTheme="majorHAnsi"/>
          <w:sz w:val="22"/>
          <w:szCs w:val="22"/>
        </w:rPr>
        <w:t>Table</w:t>
      </w:r>
      <w:r>
        <w:rPr>
          <w:rFonts w:asciiTheme="majorHAnsi" w:hAnsiTheme="majorHAnsi"/>
          <w:sz w:val="22"/>
          <w:szCs w:val="22"/>
        </w:rPr>
        <w:t xml:space="preserve"> 1</w:t>
      </w:r>
      <w:r w:rsidR="000E08D4">
        <w:rPr>
          <w:rFonts w:asciiTheme="majorHAnsi" w:hAnsiTheme="majorHAnsi"/>
          <w:sz w:val="22"/>
          <w:szCs w:val="22"/>
        </w:rPr>
        <w:t xml:space="preserve">: </w:t>
      </w:r>
      <w:bookmarkStart w:id="0" w:name="_Hlk42599164"/>
      <w:r w:rsidR="000E08D4">
        <w:rPr>
          <w:rFonts w:asciiTheme="majorHAnsi" w:hAnsiTheme="majorHAnsi"/>
          <w:sz w:val="22"/>
          <w:szCs w:val="22"/>
        </w:rPr>
        <w:t>Theoretical tenants</w:t>
      </w:r>
      <w:r w:rsidR="00293EF3">
        <w:rPr>
          <w:rFonts w:asciiTheme="majorHAnsi" w:hAnsiTheme="majorHAnsi"/>
          <w:sz w:val="22"/>
          <w:szCs w:val="22"/>
        </w:rPr>
        <w:t xml:space="preserve"> and strategies incorporated into</w:t>
      </w:r>
      <w:r w:rsidR="000E08D4">
        <w:rPr>
          <w:rFonts w:asciiTheme="majorHAnsi" w:hAnsiTheme="majorHAnsi"/>
          <w:sz w:val="22"/>
          <w:szCs w:val="22"/>
        </w:rPr>
        <w:t xml:space="preserve"> </w:t>
      </w:r>
      <w:r w:rsidR="00293EF3">
        <w:rPr>
          <w:rFonts w:asciiTheme="majorHAnsi" w:hAnsiTheme="majorHAnsi"/>
          <w:sz w:val="22"/>
          <w:szCs w:val="22"/>
        </w:rPr>
        <w:t xml:space="preserve">the </w:t>
      </w:r>
      <w:proofErr w:type="spellStart"/>
      <w:r w:rsidR="000E08D4">
        <w:rPr>
          <w:rFonts w:asciiTheme="majorHAnsi" w:hAnsiTheme="majorHAnsi"/>
          <w:sz w:val="22"/>
          <w:szCs w:val="22"/>
        </w:rPr>
        <w:t>ExerciseGuide</w:t>
      </w:r>
      <w:proofErr w:type="spellEnd"/>
      <w:r w:rsidR="000E08D4">
        <w:rPr>
          <w:rFonts w:asciiTheme="majorHAnsi" w:hAnsiTheme="majorHAnsi"/>
          <w:sz w:val="22"/>
          <w:szCs w:val="22"/>
        </w:rPr>
        <w:t xml:space="preserve"> program </w:t>
      </w:r>
      <w:bookmarkEnd w:id="0"/>
    </w:p>
    <w:p w14:paraId="655DD5DD" w14:textId="77777777" w:rsidR="00E867ED" w:rsidRDefault="00E867ED" w:rsidP="006F122C">
      <w:pPr>
        <w:rPr>
          <w:rFonts w:asciiTheme="majorHAnsi" w:hAnsiTheme="majorHAnsi"/>
          <w:sz w:val="22"/>
          <w:szCs w:val="22"/>
        </w:rPr>
      </w:pPr>
    </w:p>
    <w:tbl>
      <w:tblPr>
        <w:tblStyle w:val="TableGrid"/>
        <w:tblW w:w="13765" w:type="dxa"/>
        <w:tblBorders>
          <w:left w:val="none" w:sz="0" w:space="0" w:color="auto"/>
          <w:right w:val="none" w:sz="0" w:space="0" w:color="auto"/>
          <w:insideH w:val="single" w:sz="4" w:space="0" w:color="D9D9D9" w:themeColor="background1" w:themeShade="D9"/>
          <w:insideV w:val="single" w:sz="4" w:space="0" w:color="D9D9D9" w:themeColor="background1" w:themeShade="D9"/>
        </w:tblBorders>
        <w:tblLook w:val="04A0" w:firstRow="1" w:lastRow="0" w:firstColumn="1" w:lastColumn="0" w:noHBand="0" w:noVBand="1"/>
      </w:tblPr>
      <w:tblGrid>
        <w:gridCol w:w="5245"/>
        <w:gridCol w:w="8512"/>
        <w:gridCol w:w="8"/>
      </w:tblGrid>
      <w:tr w:rsidR="006F122C" w14:paraId="19B48FFF" w14:textId="77777777" w:rsidTr="00E867ED">
        <w:trPr>
          <w:gridAfter w:val="1"/>
          <w:wAfter w:w="8" w:type="dxa"/>
        </w:trPr>
        <w:tc>
          <w:tcPr>
            <w:tcW w:w="5245" w:type="dxa"/>
            <w:tcBorders>
              <w:top w:val="single" w:sz="4" w:space="0" w:color="auto"/>
              <w:bottom w:val="single" w:sz="4" w:space="0" w:color="000000" w:themeColor="text1"/>
            </w:tcBorders>
          </w:tcPr>
          <w:p w14:paraId="63A0DE32" w14:textId="77777777" w:rsidR="006F122C" w:rsidRPr="00F41790" w:rsidRDefault="006F122C" w:rsidP="00FE3BA4">
            <w:pPr>
              <w:spacing w:line="360" w:lineRule="auto"/>
              <w:jc w:val="both"/>
              <w:outlineLvl w:val="0"/>
              <w:rPr>
                <w:rFonts w:asciiTheme="majorHAnsi" w:hAnsiTheme="majorHAnsi"/>
                <w:b/>
                <w:bCs/>
                <w:sz w:val="22"/>
                <w:szCs w:val="22"/>
              </w:rPr>
            </w:pPr>
            <w:r>
              <w:rPr>
                <w:rFonts w:asciiTheme="majorHAnsi" w:hAnsiTheme="majorHAnsi"/>
                <w:b/>
                <w:bCs/>
                <w:sz w:val="22"/>
                <w:szCs w:val="22"/>
              </w:rPr>
              <w:t>Theoretical tenets and supporting evidence</w:t>
            </w:r>
          </w:p>
        </w:tc>
        <w:tc>
          <w:tcPr>
            <w:tcW w:w="8512" w:type="dxa"/>
            <w:tcBorders>
              <w:top w:val="single" w:sz="4" w:space="0" w:color="auto"/>
              <w:bottom w:val="single" w:sz="4" w:space="0" w:color="000000" w:themeColor="text1"/>
            </w:tcBorders>
          </w:tcPr>
          <w:p w14:paraId="2D7918AE" w14:textId="77777777" w:rsidR="006F122C" w:rsidRPr="00F41790" w:rsidRDefault="006F122C" w:rsidP="00FE3BA4">
            <w:pPr>
              <w:spacing w:line="360" w:lineRule="auto"/>
              <w:outlineLvl w:val="0"/>
              <w:rPr>
                <w:rFonts w:asciiTheme="majorHAnsi" w:hAnsiTheme="majorHAnsi"/>
                <w:b/>
                <w:bCs/>
                <w:sz w:val="22"/>
                <w:szCs w:val="22"/>
              </w:rPr>
            </w:pPr>
            <w:r w:rsidRPr="00F41790">
              <w:rPr>
                <w:rFonts w:asciiTheme="majorHAnsi" w:hAnsiTheme="majorHAnsi"/>
                <w:b/>
                <w:bCs/>
                <w:sz w:val="22"/>
                <w:szCs w:val="22"/>
              </w:rPr>
              <w:t xml:space="preserve">Strategies </w:t>
            </w:r>
          </w:p>
        </w:tc>
      </w:tr>
      <w:tr w:rsidR="006F122C" w14:paraId="3CED81CE" w14:textId="77777777" w:rsidTr="00E867ED">
        <w:tc>
          <w:tcPr>
            <w:tcW w:w="13765" w:type="dxa"/>
            <w:gridSpan w:val="3"/>
            <w:tcBorders>
              <w:top w:val="single" w:sz="4" w:space="0" w:color="000000" w:themeColor="text1"/>
            </w:tcBorders>
          </w:tcPr>
          <w:p w14:paraId="3F04F9BC" w14:textId="77777777" w:rsidR="006F122C" w:rsidRPr="004C715B" w:rsidRDefault="006F122C" w:rsidP="00FE3BA4">
            <w:pPr>
              <w:pStyle w:val="ListParagraph"/>
              <w:spacing w:line="360" w:lineRule="auto"/>
              <w:ind w:left="360"/>
              <w:outlineLvl w:val="0"/>
              <w:rPr>
                <w:rFonts w:asciiTheme="majorHAnsi" w:hAnsiTheme="majorHAnsi"/>
                <w:b/>
                <w:bCs/>
                <w:sz w:val="22"/>
                <w:szCs w:val="22"/>
              </w:rPr>
            </w:pPr>
            <w:r>
              <w:rPr>
                <w:rFonts w:asciiTheme="majorHAnsi" w:hAnsiTheme="majorHAnsi"/>
                <w:i/>
                <w:iCs/>
                <w:sz w:val="22"/>
                <w:szCs w:val="22"/>
              </w:rPr>
              <w:t xml:space="preserve">Self-determination theory </w:t>
            </w:r>
            <w:r w:rsidRPr="008E26D1">
              <w:rPr>
                <w:rFonts w:asciiTheme="majorHAnsi" w:hAnsiTheme="majorHAnsi"/>
                <w:i/>
                <w:iCs/>
                <w:sz w:val="22"/>
                <w:szCs w:val="22"/>
              </w:rPr>
              <w:t xml:space="preserve"> </w:t>
            </w:r>
          </w:p>
        </w:tc>
      </w:tr>
      <w:tr w:rsidR="006F122C" w14:paraId="74A2C10A" w14:textId="77777777" w:rsidTr="00E867ED">
        <w:trPr>
          <w:gridAfter w:val="1"/>
          <w:wAfter w:w="8" w:type="dxa"/>
        </w:trPr>
        <w:tc>
          <w:tcPr>
            <w:tcW w:w="5245" w:type="dxa"/>
          </w:tcPr>
          <w:p w14:paraId="7E9993E0" w14:textId="77777777" w:rsidR="006F122C" w:rsidRDefault="006F122C" w:rsidP="00FE3BA4">
            <w:pPr>
              <w:pStyle w:val="ListParagraph"/>
              <w:numPr>
                <w:ilvl w:val="0"/>
                <w:numId w:val="3"/>
              </w:numPr>
              <w:spacing w:line="360" w:lineRule="auto"/>
              <w:outlineLvl w:val="0"/>
              <w:rPr>
                <w:rFonts w:asciiTheme="majorHAnsi" w:hAnsiTheme="majorHAnsi"/>
                <w:sz w:val="22"/>
                <w:szCs w:val="22"/>
              </w:rPr>
            </w:pPr>
            <w:r w:rsidRPr="000D3742">
              <w:rPr>
                <w:rFonts w:asciiTheme="majorHAnsi" w:hAnsiTheme="majorHAnsi"/>
                <w:sz w:val="22"/>
                <w:szCs w:val="22"/>
              </w:rPr>
              <w:t>Motivation that regulates our behaviour exists on a continuum, ranging from extrinsic (doing the activity for instrumental reasons or to obtain an outcome separate from the activity) to intrinsic (performing a behaviour because it is inherently satisfying).</w:t>
            </w:r>
          </w:p>
          <w:p w14:paraId="64CAE29F" w14:textId="77777777" w:rsidR="006F122C" w:rsidRDefault="006F122C" w:rsidP="00FE3BA4">
            <w:pPr>
              <w:pStyle w:val="ListParagraph"/>
              <w:numPr>
                <w:ilvl w:val="0"/>
                <w:numId w:val="3"/>
              </w:numPr>
              <w:spacing w:line="360" w:lineRule="auto"/>
              <w:outlineLvl w:val="0"/>
              <w:rPr>
                <w:rFonts w:asciiTheme="majorHAnsi" w:hAnsiTheme="majorHAnsi"/>
                <w:sz w:val="22"/>
                <w:szCs w:val="22"/>
              </w:rPr>
            </w:pPr>
            <w:proofErr w:type="spellStart"/>
            <w:r w:rsidRPr="000D3742">
              <w:rPr>
                <w:rFonts w:asciiTheme="majorHAnsi" w:hAnsiTheme="majorHAnsi"/>
                <w:sz w:val="22"/>
                <w:szCs w:val="22"/>
              </w:rPr>
              <w:t>Behaviours</w:t>
            </w:r>
            <w:proofErr w:type="spellEnd"/>
            <w:r w:rsidRPr="000D3742">
              <w:rPr>
                <w:rFonts w:asciiTheme="majorHAnsi" w:hAnsiTheme="majorHAnsi"/>
                <w:sz w:val="22"/>
                <w:szCs w:val="22"/>
              </w:rPr>
              <w:t xml:space="preserve"> are more likely to be maintained when they are more intrinsically motivated. </w:t>
            </w:r>
          </w:p>
          <w:p w14:paraId="5664DD7B" w14:textId="77777777" w:rsidR="006F122C" w:rsidRPr="000D3742" w:rsidRDefault="006F122C" w:rsidP="00FE3BA4">
            <w:pPr>
              <w:pStyle w:val="ListParagraph"/>
              <w:numPr>
                <w:ilvl w:val="0"/>
                <w:numId w:val="3"/>
              </w:numPr>
              <w:spacing w:line="360" w:lineRule="auto"/>
              <w:outlineLvl w:val="0"/>
              <w:rPr>
                <w:rFonts w:asciiTheme="majorHAnsi" w:hAnsiTheme="majorHAnsi"/>
                <w:sz w:val="22"/>
                <w:szCs w:val="22"/>
              </w:rPr>
            </w:pPr>
            <w:r w:rsidRPr="000D3742">
              <w:rPr>
                <w:rFonts w:asciiTheme="majorHAnsi" w:hAnsiTheme="majorHAnsi"/>
                <w:sz w:val="22"/>
                <w:szCs w:val="22"/>
              </w:rPr>
              <w:t>Core determinants of intrinsic motivation include three basic psychological needs: a</w:t>
            </w:r>
            <w:r w:rsidRPr="000D3742">
              <w:rPr>
                <w:rFonts w:asciiTheme="majorHAnsi" w:hAnsiTheme="majorHAnsi"/>
                <w:bCs/>
                <w:sz w:val="22"/>
                <w:szCs w:val="22"/>
              </w:rPr>
              <w:t xml:space="preserve">utonomy, </w:t>
            </w:r>
            <w:proofErr w:type="gramStart"/>
            <w:r w:rsidRPr="000D3742">
              <w:rPr>
                <w:rFonts w:asciiTheme="majorHAnsi" w:hAnsiTheme="majorHAnsi"/>
                <w:bCs/>
                <w:sz w:val="22"/>
                <w:szCs w:val="22"/>
              </w:rPr>
              <w:t>competence</w:t>
            </w:r>
            <w:proofErr w:type="gramEnd"/>
            <w:r w:rsidRPr="000D3742">
              <w:rPr>
                <w:rFonts w:asciiTheme="majorHAnsi" w:hAnsiTheme="majorHAnsi"/>
                <w:bCs/>
                <w:sz w:val="22"/>
                <w:szCs w:val="22"/>
              </w:rPr>
              <w:t xml:space="preserve"> and relatedness</w:t>
            </w:r>
            <w:r w:rsidRPr="000D3742">
              <w:rPr>
                <w:rFonts w:asciiTheme="majorHAnsi" w:hAnsiTheme="majorHAnsi"/>
                <w:sz w:val="22"/>
                <w:szCs w:val="22"/>
              </w:rPr>
              <w:t>.</w:t>
            </w:r>
          </w:p>
        </w:tc>
        <w:tc>
          <w:tcPr>
            <w:tcW w:w="8512" w:type="dxa"/>
          </w:tcPr>
          <w:p w14:paraId="76918ADA" w14:textId="77777777" w:rsidR="006F122C" w:rsidRPr="006C1F13" w:rsidRDefault="006F122C" w:rsidP="00FE3BA4">
            <w:pPr>
              <w:pStyle w:val="ListParagraph"/>
              <w:numPr>
                <w:ilvl w:val="0"/>
                <w:numId w:val="3"/>
              </w:numPr>
              <w:spacing w:line="360" w:lineRule="auto"/>
              <w:outlineLvl w:val="0"/>
              <w:rPr>
                <w:rFonts w:asciiTheme="majorHAnsi" w:hAnsiTheme="majorHAnsi"/>
                <w:sz w:val="22"/>
                <w:szCs w:val="22"/>
              </w:rPr>
            </w:pPr>
            <w:r w:rsidRPr="006C1F13">
              <w:rPr>
                <w:rFonts w:asciiTheme="majorHAnsi" w:hAnsiTheme="majorHAnsi"/>
                <w:sz w:val="22"/>
                <w:szCs w:val="22"/>
              </w:rPr>
              <w:t>Autonomy: Intervention architecture promotes choice and is self-timed; Participant preferences are taken into account with exercise prescription where possible (balancing safety, efficacy); affect-regulated exercise is encouraged if participants are not enjoying their prescribed program</w:t>
            </w:r>
            <w:r>
              <w:rPr>
                <w:rFonts w:asciiTheme="majorHAnsi" w:hAnsiTheme="majorHAnsi"/>
                <w:sz w:val="22"/>
                <w:szCs w:val="22"/>
              </w:rPr>
              <w:t xml:space="preserve"> </w:t>
            </w:r>
            <w:r>
              <w:rPr>
                <w:rFonts w:asciiTheme="majorHAnsi" w:hAnsiTheme="majorHAnsi"/>
                <w:sz w:val="22"/>
                <w:szCs w:val="22"/>
              </w:rPr>
              <w:fldChar w:fldCharType="begin" w:fldLock="1"/>
            </w:r>
            <w:r>
              <w:rPr>
                <w:rFonts w:asciiTheme="majorHAnsi" w:hAnsiTheme="majorHAnsi"/>
                <w:sz w:val="22"/>
                <w:szCs w:val="22"/>
              </w:rPr>
              <w:instrText>ADDIN CSL_CITATION {"citationItems":[{"id":"ITEM-1","itemData":{"DOI":"10.1016/j.jsams.2012.01.005","ISSN":"14402440","abstract":"Objectives: Affect-regulated exercise to feel 'good' can be used to control exercise intensity amongst both active and sedentary individuals and should support exercise adherence. It is not known, however, whether affect-regulated exercise training can lead to physical health gains. The aim of this study was to examine if affect-regulated exercise to feel 'good' leads to improved fitness over the course of an 8-week training programme. Design: A repeated measures design (pretest-posttest) with independent groups (training and control). Methods: 20 sedentary females completed a submaximal graded exercise test and were then allocated to either a training group or control group. The training group completed two supervised sessions and one unsupervised session per week for 8 weeks. Exercise intensity was affect-regulated to feel 'good'. Following the 8 weeks of training, both groups completed a second submaximal graded exercise test. Results: Repeated measures analyses of variance indicated a significant increase in the time to reach ventilatory threshold in the training group (318 ± 23.7. s) compared to control (248 ± 16.9. s). Overall compliance to training was high (&gt;92%). Participants in the training group exercised at intensities that would be classified as being in the lower range of the recommended guidelines (</w:instrText>
            </w:r>
            <w:r>
              <w:rPr>
                <w:rFonts w:ascii="Cambria Math" w:hAnsi="Cambria Math" w:cs="Cambria Math"/>
                <w:sz w:val="22"/>
                <w:szCs w:val="22"/>
              </w:rPr>
              <w:instrText>∼</w:instrText>
            </w:r>
            <w:r>
              <w:rPr>
                <w:rFonts w:asciiTheme="majorHAnsi" w:hAnsiTheme="majorHAnsi"/>
                <w:sz w:val="22"/>
                <w:szCs w:val="22"/>
              </w:rPr>
              <w:instrText>50% V</w:instrText>
            </w:r>
            <w:r>
              <w:rPr>
                <w:rFonts w:ascii="Calibri Light" w:hAnsi="Calibri Light" w:cs="Calibri Light"/>
                <w:sz w:val="22"/>
                <w:szCs w:val="22"/>
              </w:rPr>
              <w:instrText>̇</w:instrText>
            </w:r>
            <w:r>
              <w:rPr>
                <w:rFonts w:asciiTheme="majorHAnsi" w:hAnsiTheme="majorHAnsi"/>
                <w:sz w:val="22"/>
                <w:szCs w:val="22"/>
              </w:rPr>
              <w:instrText>O2 max) for cardiovascular health. Conclusions: Affect-regulated exercise to feel 'good' can be used in a training programme to regulate exercise intensity. This approach led to a 19% increase in time to reach ventilatory threshold, which is indicative of improved fitness. © 2012 Sports Medicine Australia.","author":[{"dropping-particle":"","family":"Parfitt","given":"Gaynor","non-dropping-particle":"","parse-names":false,"suffix":""},{"dropping-particle":"","family":"Alrumh","given":"Amnah","non-dropping-particle":"","parse-names":false,"suffix":""},{"dropping-particle":"V.","family":"Rowlands","given":"Alex","non-dropping-particle":"","parse-names":false,"suffix":""}],"container-title":"Journal of Science and Medicine in Sport","id":"ITEM-1","issue":"6","issued":{"date-parts":[["2012","11"]]},"page":"548-553","title":"Affect-regulated exercise intensity: Does training at an intensity that feels 'good' improve physical health?","type":"article-journal","volume":"15"},"uris":["http://www.mendeley.com/documents/?uuid=02a7da0a-3923-3ba5-9c7c-940d46e976df"]}],"mendeley":{"formattedCitation":"(76)","plainTextFormattedCitation":"(76)","previouslyFormattedCitation":"(76)"},"properties":{"noteIndex":0},"schema":"https://github.com/citation-style-language/schema/raw/master/csl-citation.json"}</w:instrText>
            </w:r>
            <w:r>
              <w:rPr>
                <w:rFonts w:asciiTheme="majorHAnsi" w:hAnsiTheme="majorHAnsi"/>
                <w:sz w:val="22"/>
                <w:szCs w:val="22"/>
              </w:rPr>
              <w:fldChar w:fldCharType="separate"/>
            </w:r>
            <w:r w:rsidRPr="00902CB1">
              <w:rPr>
                <w:rFonts w:asciiTheme="majorHAnsi" w:hAnsiTheme="majorHAnsi"/>
                <w:noProof/>
                <w:sz w:val="22"/>
                <w:szCs w:val="22"/>
              </w:rPr>
              <w:t>(7</w:t>
            </w:r>
            <w:r>
              <w:rPr>
                <w:rFonts w:asciiTheme="majorHAnsi" w:hAnsiTheme="majorHAnsi"/>
                <w:noProof/>
                <w:sz w:val="22"/>
                <w:szCs w:val="22"/>
              </w:rPr>
              <w:t>5</w:t>
            </w:r>
            <w:r w:rsidRPr="00902CB1">
              <w:rPr>
                <w:rFonts w:asciiTheme="majorHAnsi" w:hAnsiTheme="majorHAnsi"/>
                <w:noProof/>
                <w:sz w:val="22"/>
                <w:szCs w:val="22"/>
              </w:rPr>
              <w:t>)</w:t>
            </w:r>
            <w:r>
              <w:rPr>
                <w:rFonts w:asciiTheme="majorHAnsi" w:hAnsiTheme="majorHAnsi"/>
                <w:sz w:val="22"/>
                <w:szCs w:val="22"/>
              </w:rPr>
              <w:fldChar w:fldCharType="end"/>
            </w:r>
            <w:r>
              <w:rPr>
                <w:rFonts w:asciiTheme="majorHAnsi" w:hAnsiTheme="majorHAnsi"/>
                <w:sz w:val="22"/>
                <w:szCs w:val="22"/>
              </w:rPr>
              <w:t xml:space="preserve"> </w:t>
            </w:r>
            <w:r w:rsidRPr="006C1F13">
              <w:rPr>
                <w:rFonts w:asciiTheme="majorHAnsi" w:hAnsiTheme="majorHAnsi"/>
                <w:sz w:val="22"/>
                <w:szCs w:val="22"/>
              </w:rPr>
              <w:t xml:space="preserve">     </w:t>
            </w:r>
          </w:p>
          <w:p w14:paraId="4888BEDD" w14:textId="77777777" w:rsidR="006F122C" w:rsidRPr="006C1F13" w:rsidRDefault="006F122C" w:rsidP="00FE3BA4">
            <w:pPr>
              <w:pStyle w:val="ListParagraph"/>
              <w:numPr>
                <w:ilvl w:val="0"/>
                <w:numId w:val="3"/>
              </w:numPr>
              <w:spacing w:line="360" w:lineRule="auto"/>
              <w:outlineLvl w:val="0"/>
              <w:rPr>
                <w:rFonts w:asciiTheme="majorHAnsi" w:hAnsiTheme="majorHAnsi"/>
                <w:sz w:val="22"/>
                <w:szCs w:val="22"/>
              </w:rPr>
            </w:pPr>
            <w:r w:rsidRPr="006C1F13">
              <w:rPr>
                <w:rFonts w:asciiTheme="majorHAnsi" w:hAnsiTheme="majorHAnsi"/>
                <w:sz w:val="22"/>
                <w:szCs w:val="22"/>
              </w:rPr>
              <w:t xml:space="preserve">Relatedness: The intervention provides direct access to an Exercise Physiologist twice and an option to ask questions to the Exercise Physiologist to provide a sense of attachment and personalization to the intervention. Photographs of all team members are also included on the website. Human support has been shown to enhance the efficacy of online interventions </w:t>
            </w:r>
            <w:r>
              <w:rPr>
                <w:rFonts w:asciiTheme="majorHAnsi" w:hAnsiTheme="majorHAnsi"/>
                <w:sz w:val="22"/>
                <w:szCs w:val="22"/>
              </w:rPr>
              <w:fldChar w:fldCharType="begin" w:fldLock="1"/>
            </w:r>
            <w:r>
              <w:rPr>
                <w:rFonts w:asciiTheme="majorHAnsi" w:hAnsiTheme="majorHAnsi"/>
                <w:sz w:val="22"/>
                <w:szCs w:val="22"/>
              </w:rPr>
              <w:instrText>ADDIN CSL_CITATION {"citationItems":[{"id":"ITEM-1","itemData":{"DOI":"10.2196/jmir.8480","ISSN":"14388871","abstract":"The growth of the digital environment provides tremendous opportunities to revolutionize health behavior change efforts. This paper explores the use of Web-based, mobile, and social media health behavior change interventions and determines whether there is a need for a face-to-face or an in-person component. It is further argued that that although in-person components can be beneficial for online interventions, a digital person-to-person component can foster similar results while dealing with challenges faced by traditional intervention approaches. Using a digital person-to-person component is rooted in social and behavioral theories such as the theory of reasoned action, and the social cognitive theory, and further justified by the human support constructs of the model of supportive accountability. Overall, face-to-face and online behavior change interventions have their respective advantages and disadvantages and functions, yet both serve important roles. It appears that it is in fact human support that is the most important component in the effectiveness and adherence of both face-to-face and online behavior change interventions, and thoughtfully introducing a digital person-to-person component, to replace face-to-face interactions, can provide the needed human support while diminishing the barriers of in-person meetings. The digital person-to-person component must create accountability, generate opportunities for tailored feedback, and create social support to successfully create health behavior change. As the popularity of the online world grows, and the interest in using the digital environment for health behavior change interventions continues to be embraced, further research into not only the use of online interventions, but the use of a digital person-to-person component, must be explored.","author":[{"dropping-particle":"","family":"Santarossa","given":"Sara","non-dropping-particle":"","parse-names":false,"suffix":""},{"dropping-particle":"","family":"Kane","given":"Deborah","non-dropping-particle":"","parse-names":false,"suffix":""},{"dropping-particle":"","family":"Senn","given":"Charlene Y.","non-dropping-particle":"","parse-names":false,"suffix":""},{"dropping-particle":"","family":"Woodruff","given":"Sarah J.","non-dropping-particle":"","parse-names":false,"suffix":""}],"container-title":"Journal of Medical Internet Research","id":"ITEM-1","issue":"4","issued":{"date-parts":[["2018","4","1"]]},"publisher":"Journal of Medical Internet Research","title":"Exploring the role of in-person components for online health behavior change interventions: Can a digital person-to-person component suffice?","type":"article","volume":"20"},"uris":["http://www.mendeley.com/documents/?uuid=3f6a35a2-546b-3f97-a9fa-58d42a6138e2"]}],"mendeley":{"formattedCitation":"(52)","plainTextFormattedCitation":"(52)","previouslyFormattedCitation":"(52)"},"properties":{"noteIndex":0},"schema":"https://github.com/citation-style-language/schema/raw/master/csl-citation.json"}</w:instrText>
            </w:r>
            <w:r>
              <w:rPr>
                <w:rFonts w:asciiTheme="majorHAnsi" w:hAnsiTheme="majorHAnsi"/>
                <w:sz w:val="22"/>
                <w:szCs w:val="22"/>
              </w:rPr>
              <w:fldChar w:fldCharType="separate"/>
            </w:r>
            <w:r w:rsidRPr="00902CB1">
              <w:rPr>
                <w:rFonts w:asciiTheme="majorHAnsi" w:hAnsiTheme="majorHAnsi"/>
                <w:noProof/>
                <w:sz w:val="22"/>
                <w:szCs w:val="22"/>
              </w:rPr>
              <w:t>(52)</w:t>
            </w:r>
            <w:r>
              <w:rPr>
                <w:rFonts w:asciiTheme="majorHAnsi" w:hAnsiTheme="majorHAnsi"/>
                <w:sz w:val="22"/>
                <w:szCs w:val="22"/>
              </w:rPr>
              <w:fldChar w:fldCharType="end"/>
            </w:r>
            <w:r w:rsidRPr="006C1F13">
              <w:rPr>
                <w:rFonts w:asciiTheme="majorHAnsi" w:hAnsiTheme="majorHAnsi"/>
                <w:sz w:val="22"/>
                <w:szCs w:val="22"/>
              </w:rPr>
              <w:t>.</w:t>
            </w:r>
          </w:p>
          <w:p w14:paraId="410EECE4" w14:textId="77777777" w:rsidR="006F122C" w:rsidRPr="00854A25" w:rsidRDefault="006F122C" w:rsidP="00FE3BA4">
            <w:pPr>
              <w:pStyle w:val="ListParagraph"/>
              <w:numPr>
                <w:ilvl w:val="0"/>
                <w:numId w:val="3"/>
              </w:numPr>
              <w:spacing w:line="360" w:lineRule="auto"/>
              <w:outlineLvl w:val="0"/>
              <w:rPr>
                <w:rFonts w:asciiTheme="majorHAnsi" w:hAnsiTheme="majorHAnsi"/>
                <w:sz w:val="22"/>
                <w:szCs w:val="22"/>
              </w:rPr>
            </w:pPr>
            <w:r w:rsidRPr="00854A25">
              <w:rPr>
                <w:rFonts w:asciiTheme="majorHAnsi" w:hAnsiTheme="majorHAnsi"/>
                <w:sz w:val="22"/>
                <w:szCs w:val="22"/>
              </w:rPr>
              <w:t xml:space="preserve">Competency: The intervention provides education, </w:t>
            </w:r>
            <w:proofErr w:type="spellStart"/>
            <w:r w:rsidRPr="00854A25">
              <w:rPr>
                <w:rFonts w:asciiTheme="majorHAnsi" w:hAnsiTheme="majorHAnsi"/>
                <w:sz w:val="22"/>
                <w:szCs w:val="22"/>
              </w:rPr>
              <w:t>behavioural</w:t>
            </w:r>
            <w:proofErr w:type="spellEnd"/>
            <w:r w:rsidRPr="00854A25">
              <w:rPr>
                <w:rFonts w:asciiTheme="majorHAnsi" w:hAnsiTheme="majorHAnsi"/>
                <w:sz w:val="22"/>
                <w:szCs w:val="22"/>
              </w:rPr>
              <w:t xml:space="preserve"> change tools and individualised exercise prescription with video demonstrations to increase skill level that is needed to help take actions that will help them achieve their goals. A positive, encouraging tone is adopted throughout and the intervention has been designed to be simple and easy to use.</w:t>
            </w:r>
            <w:r>
              <w:rPr>
                <w:rFonts w:asciiTheme="majorHAnsi" w:hAnsiTheme="majorHAnsi"/>
                <w:sz w:val="22"/>
                <w:szCs w:val="22"/>
              </w:rPr>
              <w:t xml:space="preserve"> </w:t>
            </w:r>
            <w:r>
              <w:rPr>
                <w:rFonts w:asciiTheme="majorHAnsi" w:hAnsiTheme="majorHAnsi"/>
                <w:sz w:val="22"/>
                <w:szCs w:val="22"/>
              </w:rPr>
              <w:fldChar w:fldCharType="begin" w:fldLock="1"/>
            </w:r>
            <w:r>
              <w:rPr>
                <w:rFonts w:asciiTheme="majorHAnsi" w:hAnsiTheme="majorHAnsi"/>
                <w:sz w:val="22"/>
                <w:szCs w:val="22"/>
              </w:rPr>
              <w:instrText>ADDIN CSL_CITATION {"citationItems":[{"id":"ITEM-1","itemData":{"DOI":"10.1007/s00520-017-3786-5","ISSN":"14337339","abstract":"Background: Participating in regular physical activity is a recommended cancer recovery strategy for breast cancer survivors. However, tailored support services are not widely available and most survivors are insufficiently active to obtain health benefits. Delivering tailored programs via the Internet offers one promising approach. However, recent evaluations of such programs suggest that major improvements are needed to ensure programs meet the needs of users and are delivered in an engaging way. Understanding participants’ experiences with current programs can help to inform the next generation of systems. Purpose: The purposes of this study are to explore breast cancer survivor’s perspectives of and experiences using a novel computer-tailored intervention and to describe recommendations for future iterations. Methods: Qualitative data from a sub-sample of iMove More for Life study participants were analysed thematically to identify key themes. Participants long-term goals for participating in the program were explored by analysing open-ended data extracted from action plans completed during the intervention (n = 370). Participants negative and positive perceptions of the website and recommendations for improvement were explored using data extracted from open-ended survey items collected at the immediate intervention follow-up (n = 156). Results: The majority of participants reported multi-faceted goals, consisting of two or more outcomes they hoped to achieve within a year. While clear themes were identified (e.g. ‘being satisfied with body weight’), there was considerable variability in the scope of the goal (e.g. desired weight loss ranged from 2 to 30 kg). Participants’ perceptions of the website were mixed, but clear indications were provided of how intervention content and structure could be improved. Conclusions: This study provides insight into how to better accommodate breast cancer survivors in the future and ultimately design more engaging computer-tailored interventions.","author":[{"dropping-particle":"","family":"Short","given":"C. E.","non-dropping-particle":"","parse-names":false,"suffix":""},{"dropping-particle":"","family":"James","given":"E. L.","non-dropping-particle":"","parse-names":false,"suffix":""},{"dropping-particle":"","family":"Rebar","given":"A. L.","non-dropping-particle":"","parse-names":false,"suffix":""},{"dropping-particle":"","family":"Duncan","given":"M. J.","non-dropping-particle":"","parse-names":false,"suffix":""},{"dropping-particle":"","family":"Courneya","given":"K. S.","non-dropping-particle":"","parse-names":false,"suffix":""},{"dropping-particle":"","family":"Plotnikoff","given":"R. C.","non-dropping-particle":"","parse-names":false,"suffix":""},{"dropping-particle":"","family":"Crutzen","given":"R.","non-dropping-particle":"","parse-names":false,"suffix":""},{"dropping-particle":"","family":"Bidargaddi","given":"N.","non-dropping-particle":"","parse-names":false,"suffix":""},{"dropping-particle":"","family":"Vandelanotte","given":"C.","non-dropping-particle":"","parse-names":false,"suffix":""}],"container-title":"Supportive Care in Cancer","id":"ITEM-1","issue":"11","issued":{"date-parts":[["2017","11","1"]]},"page":"3569-3585","publisher":"Springer Verlag","title":"Designing more engaging computer-tailored physical activity behaviour change interventions for breast cancer survivors: lessons from the iMove More for Life study","type":"article-journal","volume":"25"},"uris":["http://www.mendeley.com/documents/?uuid=f1a89f1c-a2cd-34a6-9d58-dae3bad119e0"]}],"mendeley":{"formattedCitation":"(77)","manualFormatting":"(76)","plainTextFormattedCitation":"(77)","previouslyFormattedCitation":"(77)"},"properties":{"noteIndex":0},"schema":"https://github.com/citation-style-language/schema/raw/master/csl-citation.json"}</w:instrText>
            </w:r>
            <w:r>
              <w:rPr>
                <w:rFonts w:asciiTheme="majorHAnsi" w:hAnsiTheme="majorHAnsi"/>
                <w:sz w:val="22"/>
                <w:szCs w:val="22"/>
              </w:rPr>
              <w:fldChar w:fldCharType="separate"/>
            </w:r>
            <w:r w:rsidRPr="00902CB1">
              <w:rPr>
                <w:rFonts w:asciiTheme="majorHAnsi" w:hAnsiTheme="majorHAnsi"/>
                <w:noProof/>
                <w:sz w:val="22"/>
                <w:szCs w:val="22"/>
              </w:rPr>
              <w:t>(7</w:t>
            </w:r>
            <w:r>
              <w:rPr>
                <w:rFonts w:asciiTheme="majorHAnsi" w:hAnsiTheme="majorHAnsi"/>
                <w:noProof/>
                <w:sz w:val="22"/>
                <w:szCs w:val="22"/>
              </w:rPr>
              <w:t>6</w:t>
            </w:r>
            <w:r w:rsidRPr="00902CB1">
              <w:rPr>
                <w:rFonts w:asciiTheme="majorHAnsi" w:hAnsiTheme="majorHAnsi"/>
                <w:noProof/>
                <w:sz w:val="22"/>
                <w:szCs w:val="22"/>
              </w:rPr>
              <w:t>)</w:t>
            </w:r>
            <w:r>
              <w:rPr>
                <w:rFonts w:asciiTheme="majorHAnsi" w:hAnsiTheme="majorHAnsi"/>
                <w:sz w:val="22"/>
                <w:szCs w:val="22"/>
              </w:rPr>
              <w:fldChar w:fldCharType="end"/>
            </w:r>
            <w:r w:rsidRPr="00854A25">
              <w:rPr>
                <w:rFonts w:asciiTheme="majorHAnsi" w:hAnsiTheme="majorHAnsi"/>
                <w:sz w:val="22"/>
                <w:szCs w:val="22"/>
              </w:rPr>
              <w:t xml:space="preserve"> </w:t>
            </w:r>
          </w:p>
        </w:tc>
      </w:tr>
      <w:tr w:rsidR="006F122C" w14:paraId="4FD123AA" w14:textId="77777777" w:rsidTr="00E867ED">
        <w:tc>
          <w:tcPr>
            <w:tcW w:w="13765" w:type="dxa"/>
            <w:gridSpan w:val="3"/>
          </w:tcPr>
          <w:p w14:paraId="22D49126" w14:textId="77777777" w:rsidR="006F122C" w:rsidRPr="00A10404" w:rsidRDefault="006F122C" w:rsidP="00FE3BA4">
            <w:pPr>
              <w:spacing w:line="360" w:lineRule="auto"/>
              <w:jc w:val="both"/>
              <w:outlineLvl w:val="0"/>
              <w:rPr>
                <w:rFonts w:asciiTheme="majorHAnsi" w:hAnsiTheme="majorHAnsi"/>
                <w:sz w:val="22"/>
                <w:szCs w:val="22"/>
              </w:rPr>
            </w:pPr>
            <w:r w:rsidRPr="00AD1A51">
              <w:rPr>
                <w:rFonts w:asciiTheme="majorHAnsi" w:hAnsiTheme="majorHAnsi"/>
                <w:i/>
                <w:iCs/>
                <w:sz w:val="22"/>
                <w:szCs w:val="22"/>
              </w:rPr>
              <w:t>Social Cognitive Theory</w:t>
            </w:r>
          </w:p>
        </w:tc>
      </w:tr>
      <w:tr w:rsidR="006F122C" w14:paraId="404E751C" w14:textId="77777777" w:rsidTr="00E867ED">
        <w:trPr>
          <w:gridAfter w:val="1"/>
          <w:wAfter w:w="8" w:type="dxa"/>
        </w:trPr>
        <w:tc>
          <w:tcPr>
            <w:tcW w:w="5245" w:type="dxa"/>
          </w:tcPr>
          <w:p w14:paraId="255207D4" w14:textId="77777777" w:rsidR="006F122C" w:rsidRDefault="006F122C" w:rsidP="00FE3BA4">
            <w:pPr>
              <w:spacing w:line="360" w:lineRule="auto"/>
              <w:jc w:val="both"/>
              <w:outlineLvl w:val="0"/>
              <w:rPr>
                <w:rFonts w:asciiTheme="majorHAnsi" w:hAnsiTheme="majorHAnsi"/>
                <w:sz w:val="22"/>
                <w:szCs w:val="22"/>
              </w:rPr>
            </w:pPr>
            <w:r>
              <w:rPr>
                <w:rFonts w:asciiTheme="majorHAnsi" w:hAnsiTheme="majorHAnsi"/>
                <w:sz w:val="22"/>
                <w:szCs w:val="22"/>
              </w:rPr>
              <w:t xml:space="preserve">The core determinants that influence behaviour include perceived self-efficacy, outcome expectations, goals people set for themselves and strategies people have for </w:t>
            </w:r>
            <w:r>
              <w:rPr>
                <w:rFonts w:asciiTheme="majorHAnsi" w:hAnsiTheme="majorHAnsi"/>
                <w:sz w:val="22"/>
                <w:szCs w:val="22"/>
              </w:rPr>
              <w:lastRenderedPageBreak/>
              <w:t xml:space="preserve">realizing them and perceived impediments and facilitators </w:t>
            </w:r>
            <w:r>
              <w:rPr>
                <w:rFonts w:asciiTheme="majorHAnsi" w:hAnsiTheme="majorHAnsi"/>
                <w:sz w:val="22"/>
                <w:szCs w:val="22"/>
              </w:rPr>
              <w:fldChar w:fldCharType="begin" w:fldLock="1"/>
            </w:r>
            <w:r>
              <w:rPr>
                <w:rFonts w:asciiTheme="majorHAnsi" w:hAnsiTheme="majorHAnsi"/>
                <w:sz w:val="22"/>
                <w:szCs w:val="22"/>
              </w:rPr>
              <w:instrText>ADDIN CSL_CITATION {"citationItems":[{"id":"ITEM-1","itemData":{"DOI":"10.1177/1090198104263660","ISSN":"1090-1981","abstract":"This article examines health promotion and disease prevention from the perspective of social cognitive theory. This theory posits a multifaceted causal structure in which self-efficacy beliefs operate together with goals, outcome expectations, and perceived environmental impediments and facilitators in the regulation of human motivation, behavior, and well-being. Belief in one’s efficacy to exercise control is a common pathway through which psychosocial influences affect health functioning. This core belief affects each of the basic processes of personal change—whether people even consider changing their health habits, whether they mobilize the motivation and perseverance needed to succeed should they do so, their ability to recover from setbacks and relapses, and how well they maintain the habit changes they have achieved. Human health is a social matter, not just an individual one. A comprehensive approach to health promotion also requires changing the practices of social systems that have widespread ef...","author":[{"dropping-particle":"","family":"Bandura","given":"Albert","non-dropping-particle":"","parse-names":false,"suffix":""}],"container-title":"Health Education &amp; Behavior","id":"ITEM-1","issue":"2","issued":{"date-parts":[["2004","4","30"]]},"page":"143-164","publisher":"SAGE Publications","title":"Health Promotion by Social Cognitive Means","type":"article-journal","volume":"31"},"uris":["http://www.mendeley.com/documents/?uuid=3bc08c52-d179-3ff2-9f68-9e3b449f8a55"]}],"mendeley":{"formattedCitation":"(78)","plainTextFormattedCitation":"(78)","previouslyFormattedCitation":"(78)"},"properties":{"noteIndex":0},"schema":"https://github.com/citation-style-language/schema/raw/master/csl-citation.json"}</w:instrText>
            </w:r>
            <w:r>
              <w:rPr>
                <w:rFonts w:asciiTheme="majorHAnsi" w:hAnsiTheme="majorHAnsi"/>
                <w:sz w:val="22"/>
                <w:szCs w:val="22"/>
              </w:rPr>
              <w:fldChar w:fldCharType="separate"/>
            </w:r>
            <w:r w:rsidRPr="00902CB1">
              <w:rPr>
                <w:rFonts w:asciiTheme="majorHAnsi" w:hAnsiTheme="majorHAnsi"/>
                <w:noProof/>
                <w:sz w:val="22"/>
                <w:szCs w:val="22"/>
              </w:rPr>
              <w:t>(7</w:t>
            </w:r>
            <w:r>
              <w:rPr>
                <w:rFonts w:asciiTheme="majorHAnsi" w:hAnsiTheme="majorHAnsi"/>
                <w:noProof/>
                <w:sz w:val="22"/>
                <w:szCs w:val="22"/>
              </w:rPr>
              <w:t>7</w:t>
            </w:r>
            <w:r w:rsidRPr="00902CB1">
              <w:rPr>
                <w:rFonts w:asciiTheme="majorHAnsi" w:hAnsiTheme="majorHAnsi"/>
                <w:noProof/>
                <w:sz w:val="22"/>
                <w:szCs w:val="22"/>
              </w:rPr>
              <w:t>)</w:t>
            </w:r>
            <w:r>
              <w:rPr>
                <w:rFonts w:asciiTheme="majorHAnsi" w:hAnsiTheme="majorHAnsi"/>
                <w:sz w:val="22"/>
                <w:szCs w:val="22"/>
              </w:rPr>
              <w:fldChar w:fldCharType="end"/>
            </w:r>
            <w:r w:rsidRPr="001F5E05">
              <w:rPr>
                <w:rFonts w:asciiTheme="majorHAnsi" w:hAnsiTheme="majorHAnsi"/>
                <w:color w:val="FF0000"/>
                <w:sz w:val="22"/>
                <w:szCs w:val="22"/>
              </w:rPr>
              <w:t>.</w:t>
            </w:r>
            <w:r w:rsidRPr="00B6633E">
              <w:rPr>
                <w:rFonts w:asciiTheme="majorHAnsi" w:hAnsiTheme="majorHAnsi"/>
                <w:color w:val="000000" w:themeColor="text1"/>
                <w:sz w:val="22"/>
                <w:szCs w:val="22"/>
              </w:rPr>
              <w:t xml:space="preserve"> Self-efficacy and goals (proximal intentions), as well as perceived health impediments have been associated with exercise behaviour change in prostate cancer patients. </w:t>
            </w:r>
            <w:r w:rsidRPr="00B6633E">
              <w:rPr>
                <w:rFonts w:asciiTheme="majorHAnsi" w:hAnsiTheme="majorHAnsi"/>
                <w:color w:val="000000" w:themeColor="text1"/>
                <w:sz w:val="22"/>
                <w:szCs w:val="22"/>
              </w:rPr>
              <w:fldChar w:fldCharType="begin" w:fldLock="1"/>
            </w:r>
            <w:r>
              <w:rPr>
                <w:rFonts w:asciiTheme="majorHAnsi" w:hAnsiTheme="majorHAnsi"/>
                <w:color w:val="000000" w:themeColor="text1"/>
                <w:sz w:val="22"/>
                <w:szCs w:val="22"/>
              </w:rPr>
              <w:instrText>ADDIN CSL_CITATION {"citationItems":[{"id":"ITEM-1","itemData":{"DOI":"10.1093/abm/kax055","ISSN":"15324796","abstract":"Background Exercise is beneficial for prostate cancer survivors. Therefore, understanding the mechanisms of physical activity (PA) behavior change is imperative. Purpose The ENGAGE study was an exercise intervention for prostate cancer survivors, which improved vigorous physical activity (VPA) at postintervention and follow-up. The purpose of this study was to assess (a) whether the intervention improved social cognitive determinants of behavior and (b) the extent to which social cognitive determinants mediated the effect of the exercise intervention on VPA. Methods Overall, 147 men consented to be involved in the study (intervention = 54, usual care = 93). Data from baseline, postintervention (12 weeks) and follow-up (6 months) were used in this analysis. Social cognitive determinants were measured using appropriate measures. VPA was measured using an adapted version of the Leisure-Time Exercise Questionnaire. Results Compared with the control condition, men in the intervention condition had higher task self-efficacy postintervention (+16.23; 95% confidence interval [CI] +9.19 to +23.31; effect size [d] = 0.85, p &lt;.001) and at follow-up (+12.58; 95% CI = +4.45 to +20.71, d = 0.50, p =.002). Task self-efficacy partially mediated the effect of the exercise intervention on VPA (indirect effect: B = 19.90; 95% CI 1.56 to 38.25, p =.033). Conclusion The intervention improved the belief among prostate cancer survivors that they could perform challenging exercises for longer periods of time, which partially explained the positive effect of the intervention on VPA.","author":[{"dropping-particle":"","family":"Craike","given":"Melinda J","non-dropping-particle":"","parse-names":false,"suffix":""},{"dropping-particle":"","family":"Gaskin","given":"Cadeyrn J","non-dropping-particle":"","parse-names":false,"suffix":""},{"dropping-particle":"","family":"Mohebbi","given":"Mohammadreza","non-dropping-particle":"","parse-names":false,"suffix":""},{"dropping-particle":"","family":"Courneya","given":"Kerry S","non-dropping-particle":"","parse-names":false,"suffix":""},{"dropping-particle":"","family":"Livingston","given":"Patricia M","non-dropping-particle":"","parse-names":false,"suffix":""}],"container-title":"Annals of Behavioral Medicine","id":"ITEM-1","issue":"9","issued":{"date-parts":[["2018","8","16"]]},"page":"798-808","publisher":"Oxford Academic","title":"Mechanisms of physical activity behavior change for prostate cancer survivors: A cluster randomized controlled trial","type":"article-journal","volume":"52"},"uris":["http://www.mendeley.com/documents/?uuid=770f6cdf-f8e0-3005-a00d-44a25c00d095"]},{"id":"ITEM-2","itemData":{"DOI":"10.1002/cam4.639","ISSN":"20457634","PMID":"26872005","abstract":"Understanding the factors that influence adherence to exercise programs is necessary to develop effective interventions for people with cancer. We examined the predictors of adherence to a supervised exercise program for participants in the ENGAGE study - a cluster randomized controlled trial that assessed the efficacy of a clinician-referred 12-week exercise program among men treated for prostate cancer. Demographic, clinical, behavioral, and psychosocial data from 52 participants in the intervention group were collected at baseline through self-report and medical records. Adherence to the supervised exercise program was assessed through objective attendance records. Adherence to the supervised exercise program was 80.3%. In the univariate analyses, cancer-specific quality of life subscales (role functioning r = 0.37, P = 0.01; sexual activity r = 0.26, P = 0.06; fatigue r = -0.26, P = 0.06, and hormonal symptoms r = -0.31, P = 0.03) and education (d = -0.60, P = 0.011) were associated with adherence. In the subsequent multivariate analysis, role functioning (B = 0.309, P = 0.019) and hormonal symptoms (B = -0.483, P = 0.054) independently predicted adherence. Men who experienced more severe hormonal symptoms had lower levels of adherence to the exercise program. Those who experienced more positive perceptions of their ability to perform daily tasks and leisure activities had higher levels of adherence to the exercise program. Hormonal symptoms and role functioning need to be considered when conducting exercise programs for men who have been treated for prostate cancer.","author":[{"dropping-particle":"","family":"Craike","given":"Melinda","non-dropping-particle":"","parse-names":false,"suffix":""},{"dropping-particle":"","family":"Gaskin","given":"Cadeyrn J.","non-dropping-particle":"","parse-names":false,"suffix":""},{"dropping-particle":"","family":"Courneya","given":"Kerry S.","non-dropping-particle":"","parse-names":false,"suffix":""},{"dropping-particle":"","family":"Fraser","given":"Steve F.","non-dropping-particle":"","parse-names":false,"suffix":""},{"dropping-particle":"","family":"Salmon","given":"Jo","non-dropping-particle":"","parse-names":false,"suffix":""},{"dropping-particle":"","family":"Owen","given":"Patrick J.","non-dropping-particle":"","parse-names":false,"suffix":""},{"dropping-particle":"","family":"Broadbent","given":"Suzanne","non-dropping-particle":"","parse-names":false,"suffix":""},{"dropping-particle":"","family":"Livingston","given":"Patricia M.","non-dropping-particle":"","parse-names":false,"suffix":""}],"container-title":"Cancer Medicine","id":"ITEM-2","issue":"5","issued":{"date-parts":[["2016","5","1"]]},"page":"787-794","publisher":"Blackwell Publishing Ltd","title":"Predictors of adherence to a 12-week exercise program among men treated for prostate cancer: ENGAGE study","type":"article-journal","volume":"5"},"uris":["http://www.mendeley.com/documents/?uuid=dff3cc9f-91df-37ba-a161-302d5ab1c1b5"]},{"id":"ITEM-3","itemData":{"DOI":"10.1016/j.jclinepi.2003.11.010","ISSN":"08954356","PMID":"15246125","abstract":"Objective To examine predictors of adherence in a randomized controlled trial of resistance exercise training (RET) in prostate cancer survivors receiving androgen deprivation therapy. Study design and setting A randomized controlled trial conducted at fitness centers in Ottawa and Edmonton, Canada. Prostate cancer survivors (n = 155) completed measures of social cognitive variables, quality of life (QOL), behavior, and fitness before being randomized to either an exercise (n = 82) or control (n = 73) group. The exercise group was asked to perform supervised RET three times per week for 12 weeks. Results The exercise group attended 28.2 of the 36 (78.3%) RET sessions. Univariate analyses revealed eight different significant (Ps &lt; .05) predictors of exercise adherence including exercise stage of change, intention, age, QOL, fatigue, subjective norm, leg-press test, and perceived behavioral control. A multivariate analysis indicated that there were three independent predictors of adherence that explained 20.4% of the variance: exercise stage of change (β = 0.26; P = .013), age (β = -0.22; P = .037), and intention (β = 0.19; P = .073). Conclusion Exercise adherence in the trial was very good but not optimal. Adherence was predicted by variables from many different categories including social cognitive, QOL, behavioral, fitness, and demographic. These findings may have important implications for maximizing adherence during clinical trials of exercise in prostate cancer survivors. © 2004 Elsevier Inc. All rights reserved.","author":[{"dropping-particle":"","family":"Courneya","given":"Kerry S.","non-dropping-particle":"","parse-names":false,"suffix":""},{"dropping-particle":"","family":"Segal","given":"Roanne J.","non-dropping-particle":"","parse-names":false,"suffix":""},{"dropping-particle":"","family":"Reid","given":"Robert D.","non-dropping-particle":"","parse-names":false,"suffix":""},{"dropping-particle":"","family":"Jones","given":"Lee W.","non-dropping-particle":"","parse-names":false,"suffix":""},{"dropping-particle":"","family":"Malone","given":"Shawn C.","non-dropping-particle":"","parse-names":false,"suffix":""},{"dropping-particle":"","family":"Venner","given":"Peter M.","non-dropping-particle":"","parse-names":false,"suffix":""},{"dropping-particle":"","family":"Parliament","given":"Matthew B.","non-dropping-particle":"","parse-names":false,"suffix":""},{"dropping-particle":"","family":"Scott","given":"Chris G.","non-dropping-particle":"","parse-names":false,"suffix":""},{"dropping-particle":"","family":"Quinney","given":"H. Arthur","non-dropping-particle":"","parse-names":false,"suffix":""},{"dropping-particle":"","family":"Wells","given":"George A.","non-dropping-particle":"","parse-names":false,"suffix":""}],"container-title":"Journal of Clinical Epidemiology","id":"ITEM-3","issue":"6","issued":{"date-parts":[["2004","6","1"]]},"page":"571-579","publisher":"Elsevier","title":"Three independent factors predicted adherence in a randomized controlled trial of resistance exercise training among prostate cancer survivors","type":"article-journal","volume":"57"},"uris":["http://www.mendeley.com/documents/?uuid=72d05783-7ad2-3ff8-92ec-27fde47d9ea4"]}],"mendeley":{"formattedCitation":"(39,79,80)","manualFormatting":"(39,78,79)","plainTextFormattedCitation":"(39,79,80)","previouslyFormattedCitation":"(39,79,80)"},"properties":{"noteIndex":0},"schema":"https://github.com/citation-style-language/schema/raw/master/csl-citation.json"}</w:instrText>
            </w:r>
            <w:r w:rsidRPr="00B6633E">
              <w:rPr>
                <w:rFonts w:asciiTheme="majorHAnsi" w:hAnsiTheme="majorHAnsi"/>
                <w:color w:val="000000" w:themeColor="text1"/>
                <w:sz w:val="22"/>
                <w:szCs w:val="22"/>
              </w:rPr>
              <w:fldChar w:fldCharType="separate"/>
            </w:r>
            <w:r w:rsidRPr="00902CB1">
              <w:rPr>
                <w:rFonts w:asciiTheme="majorHAnsi" w:hAnsiTheme="majorHAnsi"/>
                <w:noProof/>
                <w:color w:val="000000" w:themeColor="text1"/>
                <w:sz w:val="22"/>
                <w:szCs w:val="22"/>
              </w:rPr>
              <w:t>(39,7</w:t>
            </w:r>
            <w:r>
              <w:rPr>
                <w:rFonts w:asciiTheme="majorHAnsi" w:hAnsiTheme="majorHAnsi"/>
                <w:noProof/>
                <w:color w:val="000000" w:themeColor="text1"/>
                <w:sz w:val="22"/>
                <w:szCs w:val="22"/>
              </w:rPr>
              <w:t>8</w:t>
            </w:r>
            <w:r w:rsidRPr="00902CB1">
              <w:rPr>
                <w:rFonts w:asciiTheme="majorHAnsi" w:hAnsiTheme="majorHAnsi"/>
                <w:noProof/>
                <w:color w:val="000000" w:themeColor="text1"/>
                <w:sz w:val="22"/>
                <w:szCs w:val="22"/>
              </w:rPr>
              <w:t>,</w:t>
            </w:r>
            <w:r>
              <w:rPr>
                <w:rFonts w:asciiTheme="majorHAnsi" w:hAnsiTheme="majorHAnsi"/>
                <w:noProof/>
                <w:color w:val="000000" w:themeColor="text1"/>
                <w:sz w:val="22"/>
                <w:szCs w:val="22"/>
              </w:rPr>
              <w:t>79</w:t>
            </w:r>
            <w:r w:rsidRPr="00902CB1">
              <w:rPr>
                <w:rFonts w:asciiTheme="majorHAnsi" w:hAnsiTheme="majorHAnsi"/>
                <w:noProof/>
                <w:color w:val="000000" w:themeColor="text1"/>
                <w:sz w:val="22"/>
                <w:szCs w:val="22"/>
              </w:rPr>
              <w:t>)</w:t>
            </w:r>
            <w:r w:rsidRPr="00B6633E">
              <w:rPr>
                <w:rFonts w:asciiTheme="majorHAnsi" w:hAnsiTheme="majorHAnsi"/>
                <w:color w:val="000000" w:themeColor="text1"/>
                <w:sz w:val="22"/>
                <w:szCs w:val="22"/>
              </w:rPr>
              <w:fldChar w:fldCharType="end"/>
            </w:r>
            <w:r w:rsidRPr="00B6633E">
              <w:rPr>
                <w:rFonts w:asciiTheme="majorHAnsi" w:hAnsiTheme="majorHAnsi"/>
                <w:color w:val="000000" w:themeColor="text1"/>
                <w:sz w:val="22"/>
                <w:szCs w:val="22"/>
              </w:rPr>
              <w:t xml:space="preserve">   </w:t>
            </w:r>
          </w:p>
        </w:tc>
        <w:tc>
          <w:tcPr>
            <w:tcW w:w="8512" w:type="dxa"/>
          </w:tcPr>
          <w:p w14:paraId="5703060A" w14:textId="77777777" w:rsidR="006F122C" w:rsidRDefault="006F122C" w:rsidP="00FE3BA4">
            <w:pPr>
              <w:pStyle w:val="ListParagraph"/>
              <w:numPr>
                <w:ilvl w:val="0"/>
                <w:numId w:val="4"/>
              </w:numPr>
              <w:spacing w:line="360" w:lineRule="auto"/>
              <w:jc w:val="both"/>
              <w:outlineLvl w:val="0"/>
              <w:rPr>
                <w:rFonts w:asciiTheme="majorHAnsi" w:hAnsiTheme="majorHAnsi"/>
                <w:sz w:val="22"/>
                <w:szCs w:val="22"/>
              </w:rPr>
            </w:pPr>
            <w:r w:rsidRPr="00661470">
              <w:rPr>
                <w:rFonts w:asciiTheme="majorHAnsi" w:hAnsiTheme="majorHAnsi"/>
                <w:sz w:val="22"/>
                <w:szCs w:val="22"/>
              </w:rPr>
              <w:lastRenderedPageBreak/>
              <w:t xml:space="preserve">Self-efficacy: Video demonstrations and safety advice provided to improve task self-efficacy, especially for resistance-training. Exercise prescription is progressed over-time </w:t>
            </w:r>
            <w:r w:rsidRPr="00661470">
              <w:rPr>
                <w:rFonts w:asciiTheme="majorHAnsi" w:hAnsiTheme="majorHAnsi"/>
                <w:sz w:val="22"/>
                <w:szCs w:val="22"/>
              </w:rPr>
              <w:lastRenderedPageBreak/>
              <w:t xml:space="preserve">and tailored </w:t>
            </w:r>
            <w:r>
              <w:rPr>
                <w:rFonts w:asciiTheme="majorHAnsi" w:hAnsiTheme="majorHAnsi"/>
                <w:sz w:val="22"/>
                <w:szCs w:val="22"/>
              </w:rPr>
              <w:t>to meet individual needs</w:t>
            </w:r>
            <w:r w:rsidRPr="00661470">
              <w:rPr>
                <w:rFonts w:asciiTheme="majorHAnsi" w:hAnsiTheme="majorHAnsi"/>
                <w:sz w:val="22"/>
                <w:szCs w:val="22"/>
              </w:rPr>
              <w:t xml:space="preserve">. </w:t>
            </w:r>
            <w:r>
              <w:rPr>
                <w:rFonts w:asciiTheme="majorHAnsi" w:hAnsiTheme="majorHAnsi"/>
                <w:sz w:val="22"/>
                <w:szCs w:val="22"/>
              </w:rPr>
              <w:t xml:space="preserve"> E</w:t>
            </w:r>
            <w:r w:rsidRPr="00661470">
              <w:rPr>
                <w:rFonts w:asciiTheme="majorHAnsi" w:hAnsiTheme="majorHAnsi"/>
                <w:sz w:val="22"/>
                <w:szCs w:val="22"/>
              </w:rPr>
              <w:t>ncouragement is provided throughout</w:t>
            </w:r>
            <w:r>
              <w:rPr>
                <w:rFonts w:asciiTheme="majorHAnsi" w:hAnsiTheme="majorHAnsi"/>
                <w:sz w:val="22"/>
                <w:szCs w:val="22"/>
              </w:rPr>
              <w:t xml:space="preserve"> to build confidence</w:t>
            </w:r>
            <w:r w:rsidRPr="00661470">
              <w:rPr>
                <w:rFonts w:asciiTheme="majorHAnsi" w:hAnsiTheme="majorHAnsi"/>
                <w:sz w:val="22"/>
                <w:szCs w:val="22"/>
              </w:rPr>
              <w:t xml:space="preserve">. </w:t>
            </w:r>
          </w:p>
          <w:p w14:paraId="2A0B860D" w14:textId="77777777" w:rsidR="006F122C" w:rsidRPr="00956564" w:rsidRDefault="006F122C" w:rsidP="00FE3BA4">
            <w:pPr>
              <w:pStyle w:val="ListParagraph"/>
              <w:numPr>
                <w:ilvl w:val="0"/>
                <w:numId w:val="4"/>
              </w:numPr>
              <w:spacing w:line="360" w:lineRule="auto"/>
              <w:jc w:val="both"/>
              <w:outlineLvl w:val="0"/>
              <w:rPr>
                <w:rFonts w:asciiTheme="majorHAnsi" w:hAnsiTheme="majorHAnsi"/>
                <w:sz w:val="22"/>
                <w:szCs w:val="22"/>
              </w:rPr>
            </w:pPr>
            <w:r w:rsidRPr="00956564">
              <w:rPr>
                <w:rFonts w:asciiTheme="majorHAnsi" w:hAnsiTheme="majorHAnsi"/>
                <w:sz w:val="22"/>
                <w:szCs w:val="22"/>
              </w:rPr>
              <w:t xml:space="preserve">Outcome expectations: </w:t>
            </w:r>
            <w:r>
              <w:rPr>
                <w:rFonts w:asciiTheme="majorHAnsi" w:hAnsiTheme="majorHAnsi"/>
                <w:sz w:val="22"/>
                <w:szCs w:val="22"/>
              </w:rPr>
              <w:t xml:space="preserve">Comprehensive education is provided on exercise benefits focusing on both physical and mental health. Perceived costs of participating reduced by providing convenient program structure and all necessary equipment and information.  </w:t>
            </w:r>
          </w:p>
          <w:p w14:paraId="17226117" w14:textId="77777777" w:rsidR="006F122C" w:rsidRDefault="006F122C" w:rsidP="00FE3BA4">
            <w:pPr>
              <w:pStyle w:val="ListParagraph"/>
              <w:numPr>
                <w:ilvl w:val="0"/>
                <w:numId w:val="1"/>
              </w:numPr>
              <w:spacing w:line="360" w:lineRule="auto"/>
              <w:ind w:left="454"/>
              <w:jc w:val="both"/>
              <w:outlineLvl w:val="0"/>
              <w:rPr>
                <w:rFonts w:asciiTheme="majorHAnsi" w:hAnsiTheme="majorHAnsi"/>
                <w:sz w:val="22"/>
                <w:szCs w:val="22"/>
              </w:rPr>
            </w:pPr>
            <w:r>
              <w:rPr>
                <w:rFonts w:asciiTheme="majorHAnsi" w:hAnsiTheme="majorHAnsi"/>
                <w:sz w:val="22"/>
                <w:szCs w:val="22"/>
              </w:rPr>
              <w:t xml:space="preserve">Goal and self-control strategies: A print-based exercise diary and tracking module is provided allowing participants to monitor progress. Tailored </w:t>
            </w:r>
            <w:proofErr w:type="gramStart"/>
            <w:r>
              <w:rPr>
                <w:rFonts w:asciiTheme="majorHAnsi" w:hAnsiTheme="majorHAnsi"/>
                <w:sz w:val="22"/>
                <w:szCs w:val="22"/>
              </w:rPr>
              <w:t>psycho-education</w:t>
            </w:r>
            <w:proofErr w:type="gramEnd"/>
            <w:r>
              <w:rPr>
                <w:rFonts w:asciiTheme="majorHAnsi" w:hAnsiTheme="majorHAnsi"/>
                <w:sz w:val="22"/>
                <w:szCs w:val="22"/>
              </w:rPr>
              <w:t xml:space="preserve"> is provided regarding implementation planning.   </w:t>
            </w:r>
          </w:p>
          <w:p w14:paraId="1CF363F5" w14:textId="77777777" w:rsidR="006F122C" w:rsidRPr="00E90881" w:rsidRDefault="006F122C" w:rsidP="00FE3BA4">
            <w:pPr>
              <w:pStyle w:val="ListParagraph"/>
              <w:numPr>
                <w:ilvl w:val="0"/>
                <w:numId w:val="1"/>
              </w:numPr>
              <w:spacing w:line="360" w:lineRule="auto"/>
              <w:ind w:left="454"/>
              <w:jc w:val="both"/>
              <w:outlineLvl w:val="0"/>
              <w:rPr>
                <w:rFonts w:asciiTheme="majorHAnsi" w:hAnsiTheme="majorHAnsi"/>
                <w:sz w:val="22"/>
                <w:szCs w:val="22"/>
              </w:rPr>
            </w:pPr>
            <w:r>
              <w:rPr>
                <w:rFonts w:asciiTheme="majorHAnsi" w:hAnsiTheme="majorHAnsi"/>
                <w:sz w:val="22"/>
                <w:szCs w:val="22"/>
              </w:rPr>
              <w:t xml:space="preserve">Impediments: Health impediments are addressed by tailoring exercise prescriptions based on functional capacity. Environmental barriers are reduced by offering a distance-based program free of charge.  </w:t>
            </w:r>
          </w:p>
        </w:tc>
      </w:tr>
      <w:tr w:rsidR="006F122C" w14:paraId="2F2C44CE" w14:textId="77777777" w:rsidTr="00E867ED">
        <w:tc>
          <w:tcPr>
            <w:tcW w:w="13765" w:type="dxa"/>
            <w:gridSpan w:val="3"/>
          </w:tcPr>
          <w:p w14:paraId="1CEF9B79" w14:textId="77777777" w:rsidR="006F122C" w:rsidRDefault="006F122C" w:rsidP="00FE3BA4">
            <w:pPr>
              <w:spacing w:line="360" w:lineRule="auto"/>
              <w:jc w:val="both"/>
              <w:outlineLvl w:val="0"/>
              <w:rPr>
                <w:rFonts w:asciiTheme="majorHAnsi" w:hAnsiTheme="majorHAnsi"/>
                <w:sz w:val="22"/>
                <w:szCs w:val="22"/>
              </w:rPr>
            </w:pPr>
            <w:r w:rsidRPr="007B7053">
              <w:rPr>
                <w:rFonts w:asciiTheme="majorHAnsi" w:hAnsiTheme="majorHAnsi"/>
                <w:i/>
                <w:iCs/>
                <w:sz w:val="22"/>
                <w:szCs w:val="22"/>
              </w:rPr>
              <w:lastRenderedPageBreak/>
              <w:t>Habit Formation Theory</w:t>
            </w:r>
          </w:p>
        </w:tc>
      </w:tr>
      <w:tr w:rsidR="006F122C" w14:paraId="42D225BA" w14:textId="77777777" w:rsidTr="00E867ED">
        <w:trPr>
          <w:gridAfter w:val="1"/>
          <w:wAfter w:w="8" w:type="dxa"/>
        </w:trPr>
        <w:tc>
          <w:tcPr>
            <w:tcW w:w="5245" w:type="dxa"/>
          </w:tcPr>
          <w:p w14:paraId="50585020" w14:textId="77777777" w:rsidR="006F122C" w:rsidRDefault="006F122C" w:rsidP="00FE3BA4">
            <w:pPr>
              <w:spacing w:line="360" w:lineRule="auto"/>
              <w:jc w:val="both"/>
              <w:outlineLvl w:val="0"/>
              <w:rPr>
                <w:rFonts w:asciiTheme="majorHAnsi" w:hAnsiTheme="majorHAnsi"/>
                <w:sz w:val="22"/>
                <w:szCs w:val="22"/>
              </w:rPr>
            </w:pPr>
            <w:r>
              <w:rPr>
                <w:rFonts w:asciiTheme="majorHAnsi" w:hAnsiTheme="majorHAnsi"/>
                <w:sz w:val="22"/>
                <w:szCs w:val="22"/>
              </w:rPr>
              <w:t xml:space="preserve">Habit formation theory states that </w:t>
            </w:r>
            <w:r w:rsidRPr="00352433">
              <w:rPr>
                <w:rFonts w:asciiTheme="majorHAnsi" w:hAnsiTheme="majorHAnsi"/>
                <w:sz w:val="22"/>
                <w:szCs w:val="22"/>
              </w:rPr>
              <w:t xml:space="preserve">‘habits’ are </w:t>
            </w:r>
            <w:proofErr w:type="spellStart"/>
            <w:r w:rsidRPr="00352433">
              <w:rPr>
                <w:rFonts w:asciiTheme="majorHAnsi" w:hAnsiTheme="majorHAnsi"/>
                <w:sz w:val="22"/>
                <w:szCs w:val="22"/>
              </w:rPr>
              <w:t>behavio</w:t>
            </w:r>
            <w:r>
              <w:rPr>
                <w:rFonts w:asciiTheme="majorHAnsi" w:hAnsiTheme="majorHAnsi"/>
                <w:sz w:val="22"/>
                <w:szCs w:val="22"/>
              </w:rPr>
              <w:t>u</w:t>
            </w:r>
            <w:r w:rsidRPr="00352433">
              <w:rPr>
                <w:rFonts w:asciiTheme="majorHAnsi" w:hAnsiTheme="majorHAnsi"/>
                <w:sz w:val="22"/>
                <w:szCs w:val="22"/>
              </w:rPr>
              <w:t>rs</w:t>
            </w:r>
            <w:proofErr w:type="spellEnd"/>
            <w:r w:rsidRPr="00352433">
              <w:rPr>
                <w:rFonts w:asciiTheme="majorHAnsi" w:hAnsiTheme="majorHAnsi"/>
                <w:sz w:val="22"/>
                <w:szCs w:val="22"/>
              </w:rPr>
              <w:t xml:space="preserve"> that are triggered automatically in response to cues that have been linked with th</w:t>
            </w:r>
            <w:r>
              <w:rPr>
                <w:rFonts w:asciiTheme="majorHAnsi" w:hAnsiTheme="majorHAnsi"/>
                <w:sz w:val="22"/>
                <w:szCs w:val="22"/>
              </w:rPr>
              <w:t xml:space="preserve">e </w:t>
            </w:r>
            <w:proofErr w:type="spellStart"/>
            <w:r>
              <w:rPr>
                <w:rFonts w:asciiTheme="majorHAnsi" w:hAnsiTheme="majorHAnsi"/>
                <w:sz w:val="22"/>
                <w:szCs w:val="22"/>
              </w:rPr>
              <w:t>behaviours’</w:t>
            </w:r>
            <w:proofErr w:type="spellEnd"/>
            <w:r w:rsidRPr="00352433">
              <w:rPr>
                <w:rFonts w:asciiTheme="majorHAnsi" w:hAnsiTheme="majorHAnsi"/>
                <w:sz w:val="22"/>
                <w:szCs w:val="22"/>
              </w:rPr>
              <w:t xml:space="preserve"> performance</w:t>
            </w:r>
            <w:r>
              <w:rPr>
                <w:rFonts w:asciiTheme="majorHAnsi" w:hAnsiTheme="majorHAnsi"/>
                <w:sz w:val="22"/>
                <w:szCs w:val="22"/>
              </w:rPr>
              <w:t xml:space="preserve"> </w:t>
            </w:r>
            <w:r>
              <w:rPr>
                <w:rFonts w:asciiTheme="majorHAnsi" w:hAnsiTheme="majorHAnsi"/>
                <w:sz w:val="22"/>
                <w:szCs w:val="22"/>
              </w:rPr>
              <w:fldChar w:fldCharType="begin" w:fldLock="1"/>
            </w:r>
            <w:r>
              <w:rPr>
                <w:rFonts w:asciiTheme="majorHAnsi" w:hAnsiTheme="majorHAnsi"/>
                <w:sz w:val="22"/>
                <w:szCs w:val="22"/>
              </w:rPr>
              <w:instrText>ADDIN CSL_CITATION {"citationItems":[{"id":"ITEM-1","itemData":{"DOI":"10.3399/bjgp12X659466","ISSN":"09601643","PMID":"23211256","author":[{"dropping-particle":"","family":"Gardner","given":"Benjamin","non-dropping-particle":"","parse-names":false,"suffix":""},{"dropping-particle":"","family":"Lally","given":"Phillippa","non-dropping-particle":"","parse-names":false,"suffix":""},{"dropping-particle":"","family":"Wardle","given":"Jane","non-dropping-particle":"","parse-names":false,"suffix":""}],"container-title":"British Journal of General Practice","id":"ITEM-1","issue":"605","issued":{"date-parts":[["2012","12"]]},"page":"664-666","publisher":"Royal College of General Practitioners","title":"Making health habitual: The psychology of 'habit-formation' and general practice","type":"article","volume":"62"},"uris":["http://www.mendeley.com/documents/?uuid=d7d7bc3c-4ad9-363d-8e93-54bc27cdbaef"]}],"mendeley":{"formattedCitation":"(43)","plainTextFormattedCitation":"(43)","previouslyFormattedCitation":"(43)"},"properties":{"noteIndex":0},"schema":"https://github.com/citation-style-language/schema/raw/master/csl-citation.json"}</w:instrText>
            </w:r>
            <w:r>
              <w:rPr>
                <w:rFonts w:asciiTheme="majorHAnsi" w:hAnsiTheme="majorHAnsi"/>
                <w:sz w:val="22"/>
                <w:szCs w:val="22"/>
              </w:rPr>
              <w:fldChar w:fldCharType="separate"/>
            </w:r>
            <w:r w:rsidRPr="00902CB1">
              <w:rPr>
                <w:rFonts w:asciiTheme="majorHAnsi" w:hAnsiTheme="majorHAnsi"/>
                <w:noProof/>
                <w:sz w:val="22"/>
                <w:szCs w:val="22"/>
              </w:rPr>
              <w:t>(43)</w:t>
            </w:r>
            <w:r>
              <w:rPr>
                <w:rFonts w:asciiTheme="majorHAnsi" w:hAnsiTheme="majorHAnsi"/>
                <w:sz w:val="22"/>
                <w:szCs w:val="22"/>
              </w:rPr>
              <w:fldChar w:fldCharType="end"/>
            </w:r>
            <w:r>
              <w:rPr>
                <w:rFonts w:asciiTheme="majorHAnsi" w:hAnsiTheme="majorHAnsi"/>
                <w:sz w:val="22"/>
                <w:szCs w:val="22"/>
              </w:rPr>
              <w:t xml:space="preserve">. Habitual behaviour is regulated by impulsive processes, and so does not require large amounts of cognitive effort, control or even a conscious intention. Habits have been shown to predict physical activity behaviour when intentions are weak </w:t>
            </w:r>
            <w:r>
              <w:rPr>
                <w:rFonts w:asciiTheme="majorHAnsi" w:hAnsiTheme="majorHAnsi"/>
                <w:sz w:val="22"/>
                <w:szCs w:val="22"/>
              </w:rPr>
              <w:fldChar w:fldCharType="begin" w:fldLock="1"/>
            </w:r>
            <w:r>
              <w:rPr>
                <w:rFonts w:asciiTheme="majorHAnsi" w:hAnsiTheme="majorHAnsi"/>
                <w:sz w:val="22"/>
                <w:szCs w:val="22"/>
              </w:rPr>
              <w:instrText>ADDIN CSL_CITATION {"citationItems":[{"id":"ITEM-1","itemData":{"DOI":"10.1123/jsep.2013-0173","ISSN":"15432904","abstract":"Physical activity is regulated by controlled processes, such as intentions, and automatic processes, such as habits. Intentions relate to physical activity more strongly for people with weak habits than for people with strong habits, but people's intentions vary day by day. Physical activity may be regulated by habits unless daily physical activity intentions are strong. University students (N = 128) self-reported their physical activity habit strength and subsequently self-reported daily physical activity intentions and wore an accelerometer for 14 days. On days when people had intentions that were weaker than typical for them, habit strength was positively related to physical activity, but on days when people had typical or stronger intentions than was typical for them, habit strength was unrelated to daily physical activity. Efforts to promote physical activity may need to account for habits and the dynamics of intentions. © 2014 Human Kinetics, Inc.","author":[{"dropping-particle":"","family":"Rebar","given":"Amanda L.","non-dropping-particle":"","parse-names":false,"suffix":""},{"dropping-particle":"","family":"Elavsky","given":"Steriani","non-dropping-particle":"","parse-names":false,"suffix":""},{"dropping-particle":"","family":"Maher","given":"Jaclyn P.","non-dropping-particle":"","parse-names":false,"suffix":""},{"dropping-particle":"","family":"Doerksen","given":"Shawna E.","non-dropping-particle":"","parse-names":false,"suffix":""},{"dropping-particle":"","family":"Conroy","given":"David E.","non-dropping-particle":"","parse-names":false,"suffix":""}],"container-title":"Journal of Sport and Exercise Psychology","id":"ITEM-1","issue":"2","issued":{"date-parts":[["2014","4","1"]]},"page":"157-165","publisher":"Human Kinetics Publishers Inc.","title":"Habits predict physical activity on days when intentions are weak","type":"article-journal","volume":"36"},"uris":["http://www.mendeley.com/documents/?uuid=27e598db-a32d-3877-963d-feed1542fa59"]}],"mendeley":{"formattedCitation":"(81)","plainTextFormattedCitation":"(81)","previouslyFormattedCitation":"(81)"},"properties":{"noteIndex":0},"schema":"https://github.com/citation-style-language/schema/raw/master/csl-citation.json"}</w:instrText>
            </w:r>
            <w:r>
              <w:rPr>
                <w:rFonts w:asciiTheme="majorHAnsi" w:hAnsiTheme="majorHAnsi"/>
                <w:sz w:val="22"/>
                <w:szCs w:val="22"/>
              </w:rPr>
              <w:fldChar w:fldCharType="separate"/>
            </w:r>
            <w:r w:rsidRPr="00902CB1">
              <w:rPr>
                <w:rFonts w:asciiTheme="majorHAnsi" w:hAnsiTheme="majorHAnsi"/>
                <w:noProof/>
                <w:sz w:val="22"/>
                <w:szCs w:val="22"/>
              </w:rPr>
              <w:t>(8</w:t>
            </w:r>
            <w:r>
              <w:rPr>
                <w:rFonts w:asciiTheme="majorHAnsi" w:hAnsiTheme="majorHAnsi"/>
                <w:noProof/>
                <w:sz w:val="22"/>
                <w:szCs w:val="22"/>
              </w:rPr>
              <w:t>0</w:t>
            </w:r>
            <w:r w:rsidRPr="00902CB1">
              <w:rPr>
                <w:rFonts w:asciiTheme="majorHAnsi" w:hAnsiTheme="majorHAnsi"/>
                <w:noProof/>
                <w:sz w:val="22"/>
                <w:szCs w:val="22"/>
              </w:rPr>
              <w:t>)</w:t>
            </w:r>
            <w:r>
              <w:rPr>
                <w:rFonts w:asciiTheme="majorHAnsi" w:hAnsiTheme="majorHAnsi"/>
                <w:sz w:val="22"/>
                <w:szCs w:val="22"/>
              </w:rPr>
              <w:fldChar w:fldCharType="end"/>
            </w:r>
            <w:r>
              <w:rPr>
                <w:rFonts w:asciiTheme="majorHAnsi" w:hAnsiTheme="majorHAnsi"/>
                <w:sz w:val="22"/>
                <w:szCs w:val="22"/>
              </w:rPr>
              <w:t xml:space="preserve">. Having an exercise habit has been associated with increased maintenance of behaviour change </w:t>
            </w:r>
            <w:r>
              <w:rPr>
                <w:rFonts w:asciiTheme="majorHAnsi" w:hAnsiTheme="majorHAnsi"/>
                <w:sz w:val="22"/>
                <w:szCs w:val="22"/>
              </w:rPr>
              <w:fldChar w:fldCharType="begin" w:fldLock="1"/>
            </w:r>
            <w:r>
              <w:rPr>
                <w:rFonts w:asciiTheme="majorHAnsi" w:hAnsiTheme="majorHAnsi"/>
                <w:sz w:val="22"/>
                <w:szCs w:val="22"/>
              </w:rPr>
              <w:instrText>ADDIN CSL_CITATION {"citationItems":[{"id":"ITEM-1","itemData":{"DOI":"10.1080/17437190903229462","ISSN":"17437199","abstract":"Understanding the determinants of changing physical activity among older adults is crucial for effective intervention development. The aim of this study was to review and update the evidence relating to the determinants of physical activity initiation and maintenance among older adults, and to explore the main similarities and dissimilarities in determinants between the two phases. Only longitudinal and experimental studies were used to assess the level of evidence. Fifty-nine longitudinal observational and experimental studies were identified. Recent studies were identified that focused on some recently developed concepts, especially in the field of the post-motivational concepts and several environmental determinants in predicting physical activity initiation and maintenance. Furthermore, dissimilarities were found in determinants between physical activity initiation and maintenance. It can be concluded that determinants are to a large degree phase-specific, which should be taken into account during further investigation, theory development and intervention development. Further investigation is needed to study the importance of promising concepts, such as post-motivational and environmental determinants. Recommendations for further empirical research, theory development and intervention development are outlined in this review. © 2009 Taylor &amp; Francis.","author":[{"dropping-particle":"","family":"Stralen","given":"Maartje M.","non-dropping-particle":"van","parse-names":false,"suffix":""},{"dropping-particle":"","family":"Vries","given":"Hein","non-dropping-particle":"de","parse-names":false,"suffix":""},{"dropping-particle":"","family":"Mudde","given":"Aart N.","non-dropping-particle":"","parse-names":false,"suffix":""},{"dropping-particle":"","family":"Bolman","given":"Catherine","non-dropping-particle":"","parse-names":false,"suffix":""},{"dropping-particle":"","family":"Lechner","given":"Lilian","non-dropping-particle":"","parse-names":false,"suffix":""}],"container-title":"Health Psychology Review","id":"ITEM-1","issue":"2","issued":{"date-parts":[["2009","9"]]},"page":"147-207","publisher":" Taylor &amp; Francis Group ","title":"Determinants of initiation and maintenance of physical activity among older adults: A literature review","type":"article","volume":"3"},"uris":["http://www.mendeley.com/documents/?uuid=b68a279d-a431-30d9-bdb2-acaf8999aaa9"]}],"mendeley":{"formattedCitation":"(82)","manualFormatting":"(81)","plainTextFormattedCitation":"(82)","previouslyFormattedCitation":"(82)"},"properties":{"noteIndex":0},"schema":"https://github.com/citation-style-language/schema/raw/master/csl-citation.json"}</w:instrText>
            </w:r>
            <w:r>
              <w:rPr>
                <w:rFonts w:asciiTheme="majorHAnsi" w:hAnsiTheme="majorHAnsi"/>
                <w:sz w:val="22"/>
                <w:szCs w:val="22"/>
              </w:rPr>
              <w:fldChar w:fldCharType="separate"/>
            </w:r>
            <w:r w:rsidRPr="00902CB1">
              <w:rPr>
                <w:rFonts w:asciiTheme="majorHAnsi" w:hAnsiTheme="majorHAnsi"/>
                <w:noProof/>
                <w:sz w:val="22"/>
                <w:szCs w:val="22"/>
              </w:rPr>
              <w:t>(8</w:t>
            </w:r>
            <w:r>
              <w:rPr>
                <w:rFonts w:asciiTheme="majorHAnsi" w:hAnsiTheme="majorHAnsi"/>
                <w:noProof/>
                <w:sz w:val="22"/>
                <w:szCs w:val="22"/>
              </w:rPr>
              <w:t>1</w:t>
            </w:r>
            <w:r w:rsidRPr="00902CB1">
              <w:rPr>
                <w:rFonts w:asciiTheme="majorHAnsi" w:hAnsiTheme="majorHAnsi"/>
                <w:noProof/>
                <w:sz w:val="22"/>
                <w:szCs w:val="22"/>
              </w:rPr>
              <w:t>)</w:t>
            </w:r>
            <w:r>
              <w:rPr>
                <w:rFonts w:asciiTheme="majorHAnsi" w:hAnsiTheme="majorHAnsi"/>
                <w:sz w:val="22"/>
                <w:szCs w:val="22"/>
              </w:rPr>
              <w:fldChar w:fldCharType="end"/>
            </w:r>
            <w:r>
              <w:rPr>
                <w:rFonts w:asciiTheme="majorHAnsi" w:hAnsiTheme="majorHAnsi"/>
                <w:sz w:val="22"/>
                <w:szCs w:val="22"/>
              </w:rPr>
              <w:t xml:space="preserve">.  </w:t>
            </w:r>
          </w:p>
        </w:tc>
        <w:tc>
          <w:tcPr>
            <w:tcW w:w="8512" w:type="dxa"/>
          </w:tcPr>
          <w:p w14:paraId="6706CBCA" w14:textId="77777777" w:rsidR="006F122C" w:rsidRDefault="006F122C" w:rsidP="00FE3BA4">
            <w:pPr>
              <w:pStyle w:val="ListParagraph"/>
              <w:numPr>
                <w:ilvl w:val="0"/>
                <w:numId w:val="2"/>
              </w:numPr>
              <w:spacing w:line="360" w:lineRule="auto"/>
              <w:ind w:left="457"/>
              <w:jc w:val="both"/>
              <w:outlineLvl w:val="0"/>
              <w:rPr>
                <w:rFonts w:asciiTheme="majorHAnsi" w:hAnsiTheme="majorHAnsi"/>
                <w:sz w:val="22"/>
                <w:szCs w:val="22"/>
              </w:rPr>
            </w:pPr>
            <w:r>
              <w:rPr>
                <w:rFonts w:asciiTheme="majorHAnsi" w:hAnsiTheme="majorHAnsi"/>
                <w:sz w:val="22"/>
                <w:szCs w:val="22"/>
              </w:rPr>
              <w:t>Context-behaviour associations</w:t>
            </w:r>
            <w:r w:rsidRPr="007B573E">
              <w:rPr>
                <w:rFonts w:asciiTheme="majorHAnsi" w:hAnsiTheme="majorHAnsi"/>
                <w:sz w:val="22"/>
                <w:szCs w:val="22"/>
              </w:rPr>
              <w:t>:</w:t>
            </w:r>
            <w:r>
              <w:rPr>
                <w:rFonts w:asciiTheme="majorHAnsi" w:hAnsiTheme="majorHAnsi"/>
                <w:sz w:val="22"/>
                <w:szCs w:val="22"/>
              </w:rPr>
              <w:t xml:space="preserve"> Tailored </w:t>
            </w:r>
            <w:proofErr w:type="gramStart"/>
            <w:r>
              <w:rPr>
                <w:rFonts w:asciiTheme="majorHAnsi" w:hAnsiTheme="majorHAnsi"/>
                <w:sz w:val="22"/>
                <w:szCs w:val="22"/>
              </w:rPr>
              <w:t>psycho-education</w:t>
            </w:r>
            <w:proofErr w:type="gramEnd"/>
            <w:r>
              <w:rPr>
                <w:rFonts w:asciiTheme="majorHAnsi" w:hAnsiTheme="majorHAnsi"/>
                <w:sz w:val="22"/>
                <w:szCs w:val="22"/>
              </w:rPr>
              <w:t xml:space="preserve"> is provided describing current habit strength and providing information on the benefits of habits and guidance on how they are formed. </w:t>
            </w:r>
            <w:r w:rsidRPr="007B573E">
              <w:rPr>
                <w:rFonts w:asciiTheme="majorHAnsi" w:hAnsiTheme="majorHAnsi"/>
                <w:sz w:val="22"/>
                <w:szCs w:val="22"/>
              </w:rPr>
              <w:t xml:space="preserve"> </w:t>
            </w:r>
            <w:r>
              <w:rPr>
                <w:rFonts w:asciiTheme="majorHAnsi" w:hAnsiTheme="majorHAnsi"/>
                <w:sz w:val="22"/>
                <w:szCs w:val="22"/>
              </w:rPr>
              <w:t xml:space="preserve"> </w:t>
            </w:r>
          </w:p>
          <w:p w14:paraId="0AC5015E" w14:textId="77777777" w:rsidR="006F122C" w:rsidRPr="00A834B3" w:rsidRDefault="006F122C" w:rsidP="00FE3BA4">
            <w:pPr>
              <w:spacing w:line="360" w:lineRule="auto"/>
              <w:ind w:left="97"/>
              <w:jc w:val="both"/>
              <w:outlineLvl w:val="0"/>
              <w:rPr>
                <w:rFonts w:asciiTheme="majorHAnsi" w:hAnsiTheme="majorHAnsi"/>
                <w:sz w:val="22"/>
                <w:szCs w:val="22"/>
              </w:rPr>
            </w:pPr>
            <w:r w:rsidRPr="00A834B3">
              <w:rPr>
                <w:rFonts w:asciiTheme="majorHAnsi" w:hAnsiTheme="majorHAnsi"/>
                <w:sz w:val="22"/>
                <w:szCs w:val="22"/>
              </w:rPr>
              <w:t>.</w:t>
            </w:r>
          </w:p>
        </w:tc>
      </w:tr>
      <w:tr w:rsidR="006F122C" w14:paraId="396C09D0" w14:textId="77777777" w:rsidTr="00E867ED">
        <w:tc>
          <w:tcPr>
            <w:tcW w:w="13765" w:type="dxa"/>
            <w:gridSpan w:val="3"/>
          </w:tcPr>
          <w:p w14:paraId="12FE1B5A" w14:textId="77777777" w:rsidR="006F122C" w:rsidRDefault="006F122C" w:rsidP="00FE3BA4">
            <w:pPr>
              <w:spacing w:line="360" w:lineRule="auto"/>
              <w:jc w:val="both"/>
              <w:outlineLvl w:val="0"/>
              <w:rPr>
                <w:rFonts w:asciiTheme="majorHAnsi" w:hAnsiTheme="majorHAnsi"/>
                <w:sz w:val="22"/>
                <w:szCs w:val="22"/>
              </w:rPr>
            </w:pPr>
            <w:r w:rsidRPr="00A834B3">
              <w:rPr>
                <w:rFonts w:asciiTheme="majorHAnsi" w:hAnsiTheme="majorHAnsi"/>
                <w:i/>
                <w:iCs/>
                <w:sz w:val="22"/>
                <w:szCs w:val="22"/>
              </w:rPr>
              <w:lastRenderedPageBreak/>
              <w:t xml:space="preserve">Elaboration Likelihood Model of Persuasion </w:t>
            </w:r>
          </w:p>
        </w:tc>
      </w:tr>
      <w:tr w:rsidR="006F122C" w14:paraId="3DE1D785" w14:textId="77777777" w:rsidTr="00E867ED">
        <w:trPr>
          <w:gridAfter w:val="1"/>
          <w:wAfter w:w="8" w:type="dxa"/>
        </w:trPr>
        <w:tc>
          <w:tcPr>
            <w:tcW w:w="5245" w:type="dxa"/>
          </w:tcPr>
          <w:p w14:paraId="00C13A4C" w14:textId="77777777" w:rsidR="006F122C" w:rsidRDefault="006F122C" w:rsidP="00FE3BA4">
            <w:pPr>
              <w:spacing w:line="360" w:lineRule="auto"/>
              <w:jc w:val="both"/>
              <w:outlineLvl w:val="0"/>
              <w:rPr>
                <w:rFonts w:asciiTheme="majorHAnsi" w:hAnsiTheme="majorHAnsi"/>
                <w:sz w:val="22"/>
                <w:szCs w:val="22"/>
              </w:rPr>
            </w:pPr>
            <w:r>
              <w:rPr>
                <w:rFonts w:asciiTheme="majorHAnsi" w:hAnsiTheme="majorHAnsi"/>
                <w:sz w:val="22"/>
                <w:szCs w:val="22"/>
              </w:rPr>
              <w:t xml:space="preserve">According to this information processing theory persuasion can occur via two pathways, a central route involving elaborate thinking and a peripheral route involving the use of heuristics and feelings. Persuasion can occur via either pathway but persuasion via the central route may result in more enduring attitude change.  A key determinant of using the central route pathway is perceived personal relevance of the information. Need for Cognition, a personality factor also predicts tendency to use central or peripheral route processing </w:t>
            </w:r>
            <w:r>
              <w:rPr>
                <w:rFonts w:asciiTheme="majorHAnsi" w:hAnsiTheme="majorHAnsi"/>
                <w:sz w:val="22"/>
                <w:szCs w:val="22"/>
              </w:rPr>
              <w:fldChar w:fldCharType="begin" w:fldLock="1"/>
            </w:r>
            <w:r>
              <w:rPr>
                <w:rFonts w:asciiTheme="majorHAnsi" w:hAnsiTheme="majorHAnsi"/>
                <w:sz w:val="22"/>
                <w:szCs w:val="22"/>
              </w:rPr>
              <w:instrText>ADDIN CSL_CITATION {"citationItems":[{"id":"ITEM-1","itemData":{"DOI":"10.1080/17437199.2018.1525571","ISSN":"17437202","abstract":"Computer-tailored interventions, which deliver health messages adjusted based on characteristics of the message recipient, can effectively improve a range of health behaviours. Typically, the content of the message is tailored to user demographics, health behaviours and social cognitive factors (e.g., intentions, attitudes, self-efficacy, perceived social support) to increase message relevance, and thus the extent to which the message is read, considered and translated into attitude and behaviour change. Some researchers have suggested that the efficacy of computer-tailored interventions may be further enhanced by adapting messages to suit recipients’ need for cognition (NFC)–a personality trait describing how individuals tend to process information. However, the likely impact of doing so, especially when tailored in conjunction with other variables, requires further consideration. It is possible that intervention effects may be reduced in some circumstances due to interactions with other variables (e.g., perceived relevance) that also influence information processing. From a practical point of view, it is also necessary to consider how to optimally operationalise and measure NFC if it is to be a useful tailoring variable. This paper aims to facilitate further research in this area by critically examining these issues based on relevant theories and existing evidence.","author":[{"dropping-particle":"","family":"Nikoloudakis","given":"I. A.","non-dropping-particle":"","parse-names":false,"suffix":""},{"dropping-particle":"","family":"Crutzen","given":"R.","non-dropping-particle":"","parse-names":false,"suffix":""},{"dropping-particle":"","family":"Rebar","given":"A. L.","non-dropping-particle":"","parse-names":false,"suffix":""},{"dropping-particle":"","family":"Vandelanotte","given":"C.","non-dropping-particle":"","parse-names":false,"suffix":""},{"dropping-particle":"","family":"Quester","given":"P.","non-dropping-particle":"","parse-names":false,"suffix":""},{"dropping-particle":"","family":"Dry","given":"M.","non-dropping-particle":"","parse-names":false,"suffix":""},{"dropping-particle":"","family":"Skuse","given":"A.","non-dropping-particle":"","parse-names":false,"suffix":""},{"dropping-particle":"","family":"Duncan","given":"M. J.","non-dropping-particle":"","parse-names":false,"suffix":""},{"dropping-particle":"","family":"Short","given":"C. E.","non-dropping-particle":"","parse-names":false,"suffix":""}],"container-title":"Health Psychology Review","id":"ITEM-1","issue":"4","issued":{"date-parts":[["2018","10","2"]]},"page":"437-452","publisher":"Routledge","title":"Can you elaborate on that? Addressing participants’ need for cognition in computer-tailored health behavior interventions","type":"article-journal","volume":"12"},"uris":["http://www.mendeley.com/documents/?uuid=b1e7b662-1adf-37fa-b653-8ecf555e0c69"]},{"id":"ITEM-2","itemData":{"abstract":"(from the chapter) This chapter presents the Elaboration Likelihood Model of persuasion (ELM) as a useful framework for interpreting and predicting the impact that health communications have on subsequent attitudes and behavior. The model proposes that attitudes can be formed as the result of different types of processes. Peripheral route processes are those that involve minimal cognitive effort and instead rely on superficial cues or heuristics as the primary bases for attitude change. Central route processes are those that involve effortful cognitive elaboration and rely on careful scrutiny of issue-relevant information and one's own cognitive responses as the primary bases for attitude change. Although each category of process can sometimes result in attitudes with similar valence, the two routes to change typically lead to attitudes with different consequences. High effort central route processes are more likely to lead to attitudes that are persistent over time, resistant to counterattack, and influential in guiding thought and behavior than are peripheral route processes. Because enduring attitude and behavioral change is likely to be a key goal of any health communication campaign, promoting attitude formation via central route processes is important. Consequently, using techniques that increase the perceived relevance of the communication and the quality of the arguments will promote achievement of a health promotion program's goals. A thorough understanding of these principles should result in more effective health communication campaigns thereby favorably influencing public health. (PsycINFO Database Record (c) 2012 APA, all rights reserved)","author":[{"dropping-particle":"","family":"Petty","given":"Richard E","non-dropping-particle":"","parse-names":false,"suffix":""},{"dropping-particle":"","family":"Barden","given":"Jamie","non-dropping-particle":"","parse-names":false,"suffix":""},{"dropping-particle":"","family":"Wheeler","given":"S. Christian.","non-dropping-particle":"","parse-names":false,"suffix":""}],"container-title":"DiClemente, Ralph J [Ed]; Crosby, Richard A [Ed]; Kegler, Michelle C [Ed]","id":"ITEM-2","issued":{"date-parts":[["2009"]]},"number-of-pages":"185-214","title":"Chapter: The Elaboration Likelihood Model of persuasion: Developing health promotions for sustained behavioral change.","type":"book"},"uris":["http://www.mendeley.com/documents/?uuid=6dfea8fc-5e21-3ef8-a71b-610622a4908a"]}],"mendeley":{"formattedCitation":"(45,46)","plainTextFormattedCitation":"(45,46)","previouslyFormattedCitation":"(45,46)"},"properties":{"noteIndex":0},"schema":"https://github.com/citation-style-language/schema/raw/master/csl-citation.json"}</w:instrText>
            </w:r>
            <w:r>
              <w:rPr>
                <w:rFonts w:asciiTheme="majorHAnsi" w:hAnsiTheme="majorHAnsi"/>
                <w:sz w:val="22"/>
                <w:szCs w:val="22"/>
              </w:rPr>
              <w:fldChar w:fldCharType="separate"/>
            </w:r>
            <w:r w:rsidRPr="00902CB1">
              <w:rPr>
                <w:rFonts w:asciiTheme="majorHAnsi" w:hAnsiTheme="majorHAnsi"/>
                <w:noProof/>
                <w:sz w:val="22"/>
                <w:szCs w:val="22"/>
              </w:rPr>
              <w:t>(45,46)</w:t>
            </w:r>
            <w:r>
              <w:rPr>
                <w:rFonts w:asciiTheme="majorHAnsi" w:hAnsiTheme="majorHAnsi"/>
                <w:sz w:val="22"/>
                <w:szCs w:val="22"/>
              </w:rPr>
              <w:fldChar w:fldCharType="end"/>
            </w:r>
            <w:r>
              <w:rPr>
                <w:rFonts w:asciiTheme="majorHAnsi" w:hAnsiTheme="majorHAnsi"/>
                <w:sz w:val="22"/>
                <w:szCs w:val="22"/>
              </w:rPr>
              <w:t>.</w:t>
            </w:r>
          </w:p>
        </w:tc>
        <w:tc>
          <w:tcPr>
            <w:tcW w:w="8512" w:type="dxa"/>
          </w:tcPr>
          <w:p w14:paraId="0FE61EE6" w14:textId="77777777" w:rsidR="006F122C" w:rsidRDefault="006F122C" w:rsidP="006F122C">
            <w:pPr>
              <w:pStyle w:val="ListParagraph"/>
              <w:numPr>
                <w:ilvl w:val="0"/>
                <w:numId w:val="5"/>
              </w:numPr>
              <w:tabs>
                <w:tab w:val="left" w:pos="1600"/>
              </w:tabs>
              <w:spacing w:line="360" w:lineRule="auto"/>
              <w:jc w:val="both"/>
              <w:outlineLvl w:val="0"/>
              <w:rPr>
                <w:rFonts w:asciiTheme="majorHAnsi" w:hAnsiTheme="majorHAnsi"/>
                <w:sz w:val="22"/>
                <w:szCs w:val="22"/>
              </w:rPr>
            </w:pPr>
            <w:r>
              <w:rPr>
                <w:rFonts w:asciiTheme="majorHAnsi" w:hAnsiTheme="majorHAnsi"/>
                <w:sz w:val="22"/>
                <w:szCs w:val="22"/>
              </w:rPr>
              <w:t xml:space="preserve">Relevance: All modules provide tailored content based on an individual assessment. This is expected to increase perceived personal relevance of the website content. </w:t>
            </w:r>
          </w:p>
          <w:p w14:paraId="0A3C1442" w14:textId="77777777" w:rsidR="006F122C" w:rsidRPr="00CA2B07" w:rsidRDefault="006F122C" w:rsidP="00FE3BA4">
            <w:pPr>
              <w:pStyle w:val="ListParagraph"/>
              <w:numPr>
                <w:ilvl w:val="0"/>
                <w:numId w:val="5"/>
              </w:numPr>
              <w:spacing w:line="360" w:lineRule="auto"/>
              <w:jc w:val="both"/>
              <w:outlineLvl w:val="0"/>
              <w:rPr>
                <w:rFonts w:asciiTheme="majorHAnsi" w:hAnsiTheme="majorHAnsi"/>
                <w:sz w:val="22"/>
                <w:szCs w:val="22"/>
              </w:rPr>
            </w:pPr>
            <w:r>
              <w:rPr>
                <w:rFonts w:asciiTheme="majorHAnsi" w:hAnsiTheme="majorHAnsi"/>
                <w:sz w:val="22"/>
                <w:szCs w:val="22"/>
              </w:rPr>
              <w:t xml:space="preserve">Need for cognition: Detailed explanations and source of recommendations are provided to appeal to those with moderate-high need for cognition (i.e., those who tend to enjoy effortful cognitive activities). Pictures and videos, credibility cues (e.g. university logos), and the ability to skip information and ask direct questions is designed to appeal to those with a lower need for cognition.     </w:t>
            </w:r>
          </w:p>
        </w:tc>
      </w:tr>
    </w:tbl>
    <w:p w14:paraId="2E372DBE" w14:textId="77777777" w:rsidR="00E73D50" w:rsidRDefault="00E73D50"/>
    <w:sectPr w:rsidR="00E73D50" w:rsidSect="006F122C">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4756EC2"/>
    <w:multiLevelType w:val="hybridMultilevel"/>
    <w:tmpl w:val="9F22862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38A97A9F"/>
    <w:multiLevelType w:val="hybridMultilevel"/>
    <w:tmpl w:val="09BA988E"/>
    <w:lvl w:ilvl="0" w:tplc="08090001">
      <w:start w:val="1"/>
      <w:numFmt w:val="bullet"/>
      <w:lvlText w:val=""/>
      <w:lvlJc w:val="left"/>
      <w:pPr>
        <w:ind w:left="454" w:hanging="360"/>
      </w:pPr>
      <w:rPr>
        <w:rFonts w:ascii="Symbol" w:hAnsi="Symbol" w:cs="Symbol" w:hint="default"/>
      </w:rPr>
    </w:lvl>
    <w:lvl w:ilvl="1" w:tplc="08090003" w:tentative="1">
      <w:start w:val="1"/>
      <w:numFmt w:val="bullet"/>
      <w:lvlText w:val="o"/>
      <w:lvlJc w:val="left"/>
      <w:pPr>
        <w:ind w:left="1174" w:hanging="360"/>
      </w:pPr>
      <w:rPr>
        <w:rFonts w:ascii="Courier New" w:hAnsi="Courier New" w:cs="Courier New" w:hint="default"/>
      </w:rPr>
    </w:lvl>
    <w:lvl w:ilvl="2" w:tplc="08090005" w:tentative="1">
      <w:start w:val="1"/>
      <w:numFmt w:val="bullet"/>
      <w:lvlText w:val=""/>
      <w:lvlJc w:val="left"/>
      <w:pPr>
        <w:ind w:left="1894" w:hanging="360"/>
      </w:pPr>
      <w:rPr>
        <w:rFonts w:ascii="Wingdings" w:hAnsi="Wingdings" w:cs="Wingdings" w:hint="default"/>
      </w:rPr>
    </w:lvl>
    <w:lvl w:ilvl="3" w:tplc="08090001" w:tentative="1">
      <w:start w:val="1"/>
      <w:numFmt w:val="bullet"/>
      <w:lvlText w:val=""/>
      <w:lvlJc w:val="left"/>
      <w:pPr>
        <w:ind w:left="2614" w:hanging="360"/>
      </w:pPr>
      <w:rPr>
        <w:rFonts w:ascii="Symbol" w:hAnsi="Symbol" w:cs="Symbol" w:hint="default"/>
      </w:rPr>
    </w:lvl>
    <w:lvl w:ilvl="4" w:tplc="08090003" w:tentative="1">
      <w:start w:val="1"/>
      <w:numFmt w:val="bullet"/>
      <w:lvlText w:val="o"/>
      <w:lvlJc w:val="left"/>
      <w:pPr>
        <w:ind w:left="3334" w:hanging="360"/>
      </w:pPr>
      <w:rPr>
        <w:rFonts w:ascii="Courier New" w:hAnsi="Courier New" w:cs="Courier New" w:hint="default"/>
      </w:rPr>
    </w:lvl>
    <w:lvl w:ilvl="5" w:tplc="08090005" w:tentative="1">
      <w:start w:val="1"/>
      <w:numFmt w:val="bullet"/>
      <w:lvlText w:val=""/>
      <w:lvlJc w:val="left"/>
      <w:pPr>
        <w:ind w:left="4054" w:hanging="360"/>
      </w:pPr>
      <w:rPr>
        <w:rFonts w:ascii="Wingdings" w:hAnsi="Wingdings" w:cs="Wingdings" w:hint="default"/>
      </w:rPr>
    </w:lvl>
    <w:lvl w:ilvl="6" w:tplc="08090001" w:tentative="1">
      <w:start w:val="1"/>
      <w:numFmt w:val="bullet"/>
      <w:lvlText w:val=""/>
      <w:lvlJc w:val="left"/>
      <w:pPr>
        <w:ind w:left="4774" w:hanging="360"/>
      </w:pPr>
      <w:rPr>
        <w:rFonts w:ascii="Symbol" w:hAnsi="Symbol" w:cs="Symbol" w:hint="default"/>
      </w:rPr>
    </w:lvl>
    <w:lvl w:ilvl="7" w:tplc="08090003" w:tentative="1">
      <w:start w:val="1"/>
      <w:numFmt w:val="bullet"/>
      <w:lvlText w:val="o"/>
      <w:lvlJc w:val="left"/>
      <w:pPr>
        <w:ind w:left="5494" w:hanging="360"/>
      </w:pPr>
      <w:rPr>
        <w:rFonts w:ascii="Courier New" w:hAnsi="Courier New" w:cs="Courier New" w:hint="default"/>
      </w:rPr>
    </w:lvl>
    <w:lvl w:ilvl="8" w:tplc="08090005" w:tentative="1">
      <w:start w:val="1"/>
      <w:numFmt w:val="bullet"/>
      <w:lvlText w:val=""/>
      <w:lvlJc w:val="left"/>
      <w:pPr>
        <w:ind w:left="6214" w:hanging="360"/>
      </w:pPr>
      <w:rPr>
        <w:rFonts w:ascii="Wingdings" w:hAnsi="Wingdings" w:cs="Wingdings" w:hint="default"/>
      </w:rPr>
    </w:lvl>
  </w:abstractNum>
  <w:abstractNum w:abstractNumId="2" w15:restartNumberingAfterBreak="0">
    <w:nsid w:val="4B220969"/>
    <w:multiLevelType w:val="hybridMultilevel"/>
    <w:tmpl w:val="9C4EFD6A"/>
    <w:lvl w:ilvl="0" w:tplc="08090001">
      <w:start w:val="1"/>
      <w:numFmt w:val="bullet"/>
      <w:lvlText w:val=""/>
      <w:lvlJc w:val="left"/>
      <w:pPr>
        <w:ind w:left="360" w:hanging="360"/>
      </w:pPr>
      <w:rPr>
        <w:rFonts w:ascii="Symbol" w:hAnsi="Symbol" w:cs="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cs="Wingdings" w:hint="default"/>
      </w:rPr>
    </w:lvl>
    <w:lvl w:ilvl="3" w:tplc="08090001">
      <w:start w:val="1"/>
      <w:numFmt w:val="bullet"/>
      <w:lvlText w:val=""/>
      <w:lvlJc w:val="left"/>
      <w:pPr>
        <w:ind w:left="2520" w:hanging="360"/>
      </w:pPr>
      <w:rPr>
        <w:rFonts w:ascii="Symbol" w:hAnsi="Symbol" w:cs="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cs="Wingdings" w:hint="default"/>
      </w:rPr>
    </w:lvl>
    <w:lvl w:ilvl="6" w:tplc="08090001" w:tentative="1">
      <w:start w:val="1"/>
      <w:numFmt w:val="bullet"/>
      <w:lvlText w:val=""/>
      <w:lvlJc w:val="left"/>
      <w:pPr>
        <w:ind w:left="4680" w:hanging="360"/>
      </w:pPr>
      <w:rPr>
        <w:rFonts w:ascii="Symbol" w:hAnsi="Symbol" w:cs="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cs="Wingdings" w:hint="default"/>
      </w:rPr>
    </w:lvl>
  </w:abstractNum>
  <w:abstractNum w:abstractNumId="3" w15:restartNumberingAfterBreak="0">
    <w:nsid w:val="54E10F5C"/>
    <w:multiLevelType w:val="hybridMultilevel"/>
    <w:tmpl w:val="C06A53CA"/>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4" w15:restartNumberingAfterBreak="0">
    <w:nsid w:val="5F8650CB"/>
    <w:multiLevelType w:val="hybridMultilevel"/>
    <w:tmpl w:val="87729FE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0"/>
  </w:num>
  <w:num w:numId="2">
    <w:abstractNumId w:val="4"/>
  </w:num>
  <w:num w:numId="3">
    <w:abstractNumId w:val="2"/>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jM0MbI0NTA1NjEwsjBR0lEKTi0uzszPAykwqgUAfD6NjiwAAAA="/>
  </w:docVars>
  <w:rsids>
    <w:rsidRoot w:val="006F122C"/>
    <w:rsid w:val="000E08D4"/>
    <w:rsid w:val="00272334"/>
    <w:rsid w:val="00293EF3"/>
    <w:rsid w:val="006F122C"/>
    <w:rsid w:val="00757806"/>
    <w:rsid w:val="00E73D50"/>
    <w:rsid w:val="00E867ED"/>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5880EF"/>
  <w15:chartTrackingRefBased/>
  <w15:docId w15:val="{C625463C-ED04-4E1F-A095-4C8CCE0CF3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F122C"/>
    <w:pPr>
      <w:spacing w:after="0" w:line="240" w:lineRule="auto"/>
    </w:pPr>
    <w:rPr>
      <w:rFonts w:eastAsiaTheme="minorEastAsia"/>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F122C"/>
    <w:pPr>
      <w:ind w:left="720"/>
      <w:contextualSpacing/>
    </w:pPr>
  </w:style>
  <w:style w:type="table" w:styleId="TableGrid">
    <w:name w:val="Table Grid"/>
    <w:basedOn w:val="TableNormal"/>
    <w:uiPriority w:val="39"/>
    <w:rsid w:val="006F122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TotalTime>
  <Pages>3</Pages>
  <Words>5702</Words>
  <Characters>32506</Characters>
  <Application>Microsoft Office Word</Application>
  <DocSecurity>0</DocSecurity>
  <Lines>270</Lines>
  <Paragraphs>76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38132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Holly Evans</dc:creator>
  <cp:keywords/>
  <dc:description/>
  <cp:lastModifiedBy>Holly Evans</cp:lastModifiedBy>
  <cp:revision>2</cp:revision>
  <dcterms:created xsi:type="dcterms:W3CDTF">2020-06-09T02:22:00Z</dcterms:created>
  <dcterms:modified xsi:type="dcterms:W3CDTF">2020-06-09T03:19:00Z</dcterms:modified>
</cp:coreProperties>
</file>